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68" w:rsidRDefault="005F3568" w:rsidP="00384C9C">
      <w:pPr>
        <w:spacing w:line="240" w:lineRule="auto"/>
        <w:ind w:right="1134"/>
        <w:jc w:val="both"/>
        <w:rPr>
          <w:b/>
          <w:sz w:val="22"/>
        </w:rPr>
      </w:pPr>
    </w:p>
    <w:p w:rsidR="00387AF7" w:rsidRPr="003C0CFE" w:rsidRDefault="00387AF7" w:rsidP="00384C9C">
      <w:pPr>
        <w:spacing w:line="240" w:lineRule="auto"/>
        <w:ind w:right="1134"/>
        <w:jc w:val="both"/>
        <w:rPr>
          <w:b/>
          <w:sz w:val="22"/>
        </w:rPr>
      </w:pPr>
      <w:r w:rsidRPr="003C0CFE">
        <w:rPr>
          <w:b/>
          <w:sz w:val="22"/>
        </w:rPr>
        <w:t>Introduction of OICA proposal on AEBS-LDWS regulations</w:t>
      </w:r>
    </w:p>
    <w:p w:rsidR="00387AF7" w:rsidRPr="003C0CFE" w:rsidRDefault="00387AF7" w:rsidP="00384C9C">
      <w:pPr>
        <w:spacing w:line="240" w:lineRule="auto"/>
        <w:ind w:right="1134"/>
        <w:jc w:val="both"/>
        <w:rPr>
          <w:b/>
          <w:sz w:val="22"/>
        </w:rPr>
      </w:pPr>
    </w:p>
    <w:p w:rsidR="00384C9C" w:rsidRPr="003C0CFE" w:rsidRDefault="00384C9C" w:rsidP="00384C9C">
      <w:pPr>
        <w:spacing w:line="240" w:lineRule="auto"/>
        <w:ind w:right="1134"/>
        <w:jc w:val="both"/>
        <w:rPr>
          <w:sz w:val="22"/>
        </w:rPr>
      </w:pPr>
    </w:p>
    <w:p w:rsidR="00CC46C5" w:rsidRPr="003C0CFE" w:rsidRDefault="00CC46C5" w:rsidP="00384C9C">
      <w:pPr>
        <w:spacing w:line="240" w:lineRule="auto"/>
        <w:ind w:right="1134"/>
        <w:jc w:val="both"/>
        <w:rPr>
          <w:sz w:val="22"/>
        </w:rPr>
      </w:pPr>
      <w:r w:rsidRPr="003C0CFE">
        <w:rPr>
          <w:sz w:val="22"/>
        </w:rPr>
        <w:t xml:space="preserve">Vehicle manufacturers are currently implementing AEBS and LDWS on a large variety of models, e.g. to fulfil requirements </w:t>
      </w:r>
      <w:r w:rsidR="00185771" w:rsidRPr="003C0CFE">
        <w:rPr>
          <w:sz w:val="22"/>
        </w:rPr>
        <w:t>mandat</w:t>
      </w:r>
      <w:r w:rsidR="00185771">
        <w:rPr>
          <w:sz w:val="22"/>
        </w:rPr>
        <w:t>ed</w:t>
      </w:r>
      <w:r w:rsidR="00185771" w:rsidRPr="003C0CFE">
        <w:rPr>
          <w:sz w:val="22"/>
        </w:rPr>
        <w:t xml:space="preserve"> </w:t>
      </w:r>
      <w:r w:rsidRPr="003C0CFE">
        <w:rPr>
          <w:sz w:val="22"/>
        </w:rPr>
        <w:t>by some Contracting Parties. This implementation work confirms the concerns which have been brought up for discussion during the AEBS/LDWS informal group</w:t>
      </w:r>
      <w:r w:rsidR="00185771">
        <w:rPr>
          <w:sz w:val="22"/>
        </w:rPr>
        <w:t xml:space="preserve"> activities</w:t>
      </w:r>
      <w:r w:rsidRPr="003C0CFE">
        <w:rPr>
          <w:sz w:val="22"/>
        </w:rPr>
        <w:t xml:space="preserve"> and </w:t>
      </w:r>
      <w:r w:rsidR="00185771">
        <w:rPr>
          <w:sz w:val="22"/>
        </w:rPr>
        <w:t>sheds</w:t>
      </w:r>
      <w:r w:rsidRPr="003C0CFE">
        <w:rPr>
          <w:sz w:val="22"/>
        </w:rPr>
        <w:t xml:space="preserve"> light </w:t>
      </w:r>
      <w:r w:rsidR="00185771">
        <w:rPr>
          <w:sz w:val="22"/>
        </w:rPr>
        <w:t>on</w:t>
      </w:r>
      <w:r w:rsidR="00185771" w:rsidRPr="003C0CFE">
        <w:rPr>
          <w:sz w:val="22"/>
        </w:rPr>
        <w:t xml:space="preserve"> </w:t>
      </w:r>
      <w:r w:rsidRPr="003C0CFE">
        <w:rPr>
          <w:sz w:val="22"/>
        </w:rPr>
        <w:t xml:space="preserve">a number of technical issues </w:t>
      </w:r>
      <w:r w:rsidR="00185771">
        <w:rPr>
          <w:sz w:val="22"/>
        </w:rPr>
        <w:t xml:space="preserve">that </w:t>
      </w:r>
      <w:r w:rsidR="00AA6A85">
        <w:rPr>
          <w:sz w:val="22"/>
        </w:rPr>
        <w:t>appeared</w:t>
      </w:r>
      <w:r w:rsidR="00185771">
        <w:rPr>
          <w:sz w:val="22"/>
        </w:rPr>
        <w:t xml:space="preserve"> when</w:t>
      </w:r>
      <w:r w:rsidR="00185771" w:rsidRPr="003C0CFE">
        <w:rPr>
          <w:sz w:val="22"/>
        </w:rPr>
        <w:t xml:space="preserve"> </w:t>
      </w:r>
      <w:r w:rsidRPr="003C0CFE">
        <w:rPr>
          <w:sz w:val="22"/>
        </w:rPr>
        <w:t>install</w:t>
      </w:r>
      <w:r w:rsidR="00185771">
        <w:rPr>
          <w:sz w:val="22"/>
        </w:rPr>
        <w:t>ing</w:t>
      </w:r>
      <w:r w:rsidRPr="003C0CFE">
        <w:rPr>
          <w:sz w:val="22"/>
        </w:rPr>
        <w:t xml:space="preserve"> obstacle and lane marking detection devices on some specific vehicles</w:t>
      </w:r>
      <w:r w:rsidR="00185771">
        <w:rPr>
          <w:sz w:val="22"/>
        </w:rPr>
        <w:t>, in particular in case of</w:t>
      </w:r>
      <w:r w:rsidRPr="003C0CFE">
        <w:rPr>
          <w:sz w:val="22"/>
        </w:rPr>
        <w:t xml:space="preserve"> </w:t>
      </w:r>
      <w:r w:rsidR="00185771" w:rsidRPr="003C0CFE">
        <w:rPr>
          <w:sz w:val="22"/>
        </w:rPr>
        <w:t xml:space="preserve">huge </w:t>
      </w:r>
      <w:r w:rsidRPr="003C0CFE">
        <w:rPr>
          <w:sz w:val="22"/>
        </w:rPr>
        <w:t xml:space="preserve">technical diversity and where the vehicle environment can have negative impact on system reliability and </w:t>
      </w:r>
      <w:r w:rsidR="00185771">
        <w:rPr>
          <w:sz w:val="22"/>
        </w:rPr>
        <w:t xml:space="preserve">on </w:t>
      </w:r>
      <w:r w:rsidRPr="003C0CFE">
        <w:rPr>
          <w:sz w:val="22"/>
        </w:rPr>
        <w:t>its ability to operate.</w:t>
      </w:r>
    </w:p>
    <w:p w:rsidR="00CC46C5" w:rsidRPr="003C0CFE" w:rsidRDefault="00CC46C5" w:rsidP="00384C9C">
      <w:pPr>
        <w:spacing w:line="240" w:lineRule="auto"/>
        <w:ind w:right="1134"/>
        <w:jc w:val="both"/>
        <w:rPr>
          <w:sz w:val="22"/>
        </w:rPr>
      </w:pPr>
    </w:p>
    <w:p w:rsidR="00387AF7" w:rsidRPr="003C0CFE" w:rsidRDefault="00387AF7" w:rsidP="00384C9C">
      <w:pPr>
        <w:spacing w:line="240" w:lineRule="auto"/>
        <w:ind w:right="1134"/>
        <w:jc w:val="both"/>
        <w:rPr>
          <w:sz w:val="22"/>
        </w:rPr>
      </w:pPr>
      <w:r w:rsidRPr="003C0CFE">
        <w:rPr>
          <w:sz w:val="22"/>
        </w:rPr>
        <w:t>For example:</w:t>
      </w:r>
    </w:p>
    <w:p w:rsidR="00387AF7" w:rsidRPr="003C0CFE" w:rsidRDefault="00387AF7" w:rsidP="00384C9C">
      <w:pPr>
        <w:pStyle w:val="ListParagraph"/>
        <w:numPr>
          <w:ilvl w:val="0"/>
          <w:numId w:val="1"/>
        </w:numPr>
        <w:spacing w:line="240" w:lineRule="auto"/>
        <w:ind w:left="709" w:right="1134"/>
        <w:jc w:val="both"/>
        <w:rPr>
          <w:sz w:val="22"/>
        </w:rPr>
      </w:pPr>
      <w:r w:rsidRPr="003C0CFE">
        <w:rPr>
          <w:sz w:val="22"/>
        </w:rPr>
        <w:t>Due to the technical environment specific to off-road vehicles (</w:t>
      </w:r>
      <w:r w:rsidR="00B2354C" w:rsidRPr="003C0CFE">
        <w:rPr>
          <w:sz w:val="22"/>
        </w:rPr>
        <w:t xml:space="preserve">e.g. </w:t>
      </w:r>
      <w:r w:rsidRPr="003C0CFE">
        <w:rPr>
          <w:sz w:val="22"/>
        </w:rPr>
        <w:t xml:space="preserve">steel bumpers, truck electric winches, thickness of windshield, split windshields, asymmetrical cabs, front hood vehicles etc.) robust and reliable sensor integration is </w:t>
      </w:r>
      <w:r w:rsidR="00B2354C" w:rsidRPr="003C0CFE">
        <w:rPr>
          <w:sz w:val="22"/>
        </w:rPr>
        <w:t>often</w:t>
      </w:r>
      <w:r w:rsidRPr="003C0CFE">
        <w:rPr>
          <w:sz w:val="22"/>
        </w:rPr>
        <w:t xml:space="preserve"> </w:t>
      </w:r>
      <w:r w:rsidR="00095AEC">
        <w:rPr>
          <w:sz w:val="22"/>
        </w:rPr>
        <w:t xml:space="preserve">not </w:t>
      </w:r>
      <w:r w:rsidRPr="003C0CFE">
        <w:rPr>
          <w:sz w:val="22"/>
        </w:rPr>
        <w:t>possible.</w:t>
      </w:r>
    </w:p>
    <w:p w:rsidR="00387AF7" w:rsidRPr="003C0CFE" w:rsidRDefault="00387AF7" w:rsidP="00384C9C">
      <w:pPr>
        <w:pStyle w:val="ListParagraph"/>
        <w:numPr>
          <w:ilvl w:val="0"/>
          <w:numId w:val="1"/>
        </w:numPr>
        <w:spacing w:line="240" w:lineRule="auto"/>
        <w:ind w:left="709" w:right="1134"/>
        <w:jc w:val="both"/>
        <w:rPr>
          <w:sz w:val="22"/>
        </w:rPr>
      </w:pPr>
      <w:r w:rsidRPr="003C0CFE">
        <w:rPr>
          <w:sz w:val="22"/>
          <w:lang w:val="en-US"/>
        </w:rPr>
        <w:t xml:space="preserve">Robust sensor installation on special purpose vehicles is </w:t>
      </w:r>
      <w:r w:rsidR="00B2354C" w:rsidRPr="003C0CFE">
        <w:rPr>
          <w:sz w:val="22"/>
          <w:lang w:val="en-US"/>
        </w:rPr>
        <w:t xml:space="preserve">also </w:t>
      </w:r>
      <w:r w:rsidRPr="003C0CFE">
        <w:rPr>
          <w:sz w:val="22"/>
          <w:lang w:val="en-US"/>
        </w:rPr>
        <w:t>often not possible (</w:t>
      </w:r>
      <w:r w:rsidR="00B2354C" w:rsidRPr="003C0CFE">
        <w:rPr>
          <w:sz w:val="22"/>
          <w:lang w:val="en-US"/>
        </w:rPr>
        <w:t xml:space="preserve">e.g. </w:t>
      </w:r>
      <w:r w:rsidRPr="003C0CFE">
        <w:rPr>
          <w:sz w:val="22"/>
          <w:lang w:val="en-US"/>
        </w:rPr>
        <w:t xml:space="preserve">snow plows, external devices, </w:t>
      </w:r>
      <w:r w:rsidRPr="00823534">
        <w:rPr>
          <w:sz w:val="22"/>
        </w:rPr>
        <w:t>front</w:t>
      </w:r>
      <w:r w:rsidRPr="003C0CFE">
        <w:rPr>
          <w:sz w:val="22"/>
          <w:lang w:val="en-US"/>
        </w:rPr>
        <w:t xml:space="preserve"> mounted equipment etc.).</w:t>
      </w:r>
    </w:p>
    <w:p w:rsidR="00387AF7" w:rsidRPr="003C0CFE" w:rsidRDefault="00387AF7" w:rsidP="00384C9C">
      <w:pPr>
        <w:pStyle w:val="ListParagraph"/>
        <w:numPr>
          <w:ilvl w:val="0"/>
          <w:numId w:val="1"/>
        </w:numPr>
        <w:spacing w:line="240" w:lineRule="auto"/>
        <w:ind w:left="709" w:right="1134"/>
        <w:jc w:val="both"/>
        <w:rPr>
          <w:sz w:val="22"/>
        </w:rPr>
      </w:pPr>
      <w:r w:rsidRPr="003C0CFE">
        <w:rPr>
          <w:sz w:val="22"/>
        </w:rPr>
        <w:t>The environment conditions for construction vehicles may also negatively affect the sensors, in a similar way as for off</w:t>
      </w:r>
      <w:r w:rsidR="00095AEC">
        <w:rPr>
          <w:sz w:val="22"/>
        </w:rPr>
        <w:t>-</w:t>
      </w:r>
      <w:r w:rsidRPr="003C0CFE">
        <w:rPr>
          <w:sz w:val="22"/>
        </w:rPr>
        <w:t>road vehicles (</w:t>
      </w:r>
      <w:r w:rsidR="00B2354C" w:rsidRPr="003C0CFE">
        <w:rPr>
          <w:sz w:val="22"/>
        </w:rPr>
        <w:t xml:space="preserve">e.g. due to </w:t>
      </w:r>
      <w:r w:rsidRPr="003C0CFE">
        <w:rPr>
          <w:sz w:val="22"/>
        </w:rPr>
        <w:t>dust, mud, humidity in off-road areas or on gravelled tracks…).</w:t>
      </w:r>
    </w:p>
    <w:p w:rsidR="00387AF7" w:rsidRPr="003C0CFE" w:rsidRDefault="00387AF7" w:rsidP="00384C9C">
      <w:pPr>
        <w:spacing w:line="240" w:lineRule="auto"/>
        <w:ind w:right="1134"/>
        <w:jc w:val="both"/>
        <w:rPr>
          <w:sz w:val="22"/>
        </w:rPr>
      </w:pPr>
    </w:p>
    <w:p w:rsidR="00387AF7" w:rsidRPr="003C0CFE" w:rsidRDefault="00387AF7" w:rsidP="00384C9C">
      <w:pPr>
        <w:spacing w:line="240" w:lineRule="auto"/>
        <w:ind w:right="1134"/>
        <w:jc w:val="both"/>
        <w:rPr>
          <w:sz w:val="22"/>
        </w:rPr>
      </w:pPr>
      <w:r w:rsidRPr="003C0CFE">
        <w:rPr>
          <w:sz w:val="22"/>
        </w:rPr>
        <w:t>At the 76</w:t>
      </w:r>
      <w:r w:rsidRPr="003C0CFE">
        <w:rPr>
          <w:sz w:val="22"/>
          <w:vertAlign w:val="superscript"/>
        </w:rPr>
        <w:t>th</w:t>
      </w:r>
      <w:r w:rsidRPr="003C0CFE">
        <w:rPr>
          <w:sz w:val="22"/>
        </w:rPr>
        <w:t xml:space="preserve"> session of GRRF, OICA proposed an approach where a footnote was added to the scope, which was </w:t>
      </w:r>
      <w:r w:rsidR="00B2354C" w:rsidRPr="003C0CFE">
        <w:rPr>
          <w:sz w:val="22"/>
        </w:rPr>
        <w:t>proposing a list of</w:t>
      </w:r>
      <w:r w:rsidRPr="003C0CFE">
        <w:rPr>
          <w:sz w:val="22"/>
        </w:rPr>
        <w:t xml:space="preserve"> </w:t>
      </w:r>
      <w:r w:rsidR="00B2354C" w:rsidRPr="003C0CFE">
        <w:rPr>
          <w:sz w:val="22"/>
        </w:rPr>
        <w:t>“</w:t>
      </w:r>
      <w:r w:rsidRPr="003C0CFE">
        <w:rPr>
          <w:sz w:val="22"/>
        </w:rPr>
        <w:t>exemptions</w:t>
      </w:r>
      <w:r w:rsidR="00B2354C" w:rsidRPr="003C0CFE">
        <w:rPr>
          <w:sz w:val="22"/>
        </w:rPr>
        <w:t>”</w:t>
      </w:r>
      <w:r w:rsidRPr="003C0CFE">
        <w:rPr>
          <w:sz w:val="22"/>
        </w:rPr>
        <w:t xml:space="preserve"> as recommendation to the Contracting Parties applying th</w:t>
      </w:r>
      <w:r w:rsidR="00095AEC">
        <w:rPr>
          <w:sz w:val="22"/>
        </w:rPr>
        <w:t>ese</w:t>
      </w:r>
      <w:r w:rsidRPr="003C0CFE">
        <w:rPr>
          <w:sz w:val="22"/>
        </w:rPr>
        <w:t xml:space="preserve"> regulation</w:t>
      </w:r>
      <w:r w:rsidR="00095AEC">
        <w:rPr>
          <w:sz w:val="22"/>
        </w:rPr>
        <w:t>s</w:t>
      </w:r>
      <w:r w:rsidR="00B2354C" w:rsidRPr="003C0CFE">
        <w:rPr>
          <w:sz w:val="22"/>
        </w:rPr>
        <w:t xml:space="preserve">. The proposal met some support from a few contracting parties but was mostly rejected by GRRF. The </w:t>
      </w:r>
      <w:r w:rsidR="00095AEC">
        <w:rPr>
          <w:sz w:val="22"/>
        </w:rPr>
        <w:t>C</w:t>
      </w:r>
      <w:r w:rsidR="00B2354C" w:rsidRPr="003C0CFE">
        <w:rPr>
          <w:sz w:val="22"/>
        </w:rPr>
        <w:t>hair invited OICA to find another approach. During the session, two approaches were suggested: amend</w:t>
      </w:r>
      <w:r w:rsidR="00095AEC">
        <w:rPr>
          <w:sz w:val="22"/>
        </w:rPr>
        <w:t>ing</w:t>
      </w:r>
      <w:r w:rsidR="00B2354C" w:rsidRPr="003C0CFE">
        <w:rPr>
          <w:sz w:val="22"/>
        </w:rPr>
        <w:t xml:space="preserve"> the AEBS introduction (and add</w:t>
      </w:r>
      <w:r w:rsidR="00095AEC">
        <w:rPr>
          <w:sz w:val="22"/>
        </w:rPr>
        <w:t>ing</w:t>
      </w:r>
      <w:r w:rsidR="00B2354C" w:rsidRPr="003C0CFE">
        <w:rPr>
          <w:sz w:val="22"/>
        </w:rPr>
        <w:t xml:space="preserve"> an introduction in the case of LDWS) or exclud</w:t>
      </w:r>
      <w:r w:rsidR="00095AEC">
        <w:rPr>
          <w:sz w:val="22"/>
        </w:rPr>
        <w:t>ing</w:t>
      </w:r>
      <w:r w:rsidR="00B2354C" w:rsidRPr="003C0CFE">
        <w:rPr>
          <w:sz w:val="22"/>
        </w:rPr>
        <w:t xml:space="preserve"> from scope</w:t>
      </w:r>
      <w:r w:rsidR="00CC46C5" w:rsidRPr="003C0CFE">
        <w:rPr>
          <w:sz w:val="22"/>
        </w:rPr>
        <w:t xml:space="preserve"> the vehicle categories where </w:t>
      </w:r>
      <w:r w:rsidR="00095AEC">
        <w:rPr>
          <w:sz w:val="22"/>
        </w:rPr>
        <w:t xml:space="preserve">acceptable </w:t>
      </w:r>
      <w:r w:rsidR="00CC46C5" w:rsidRPr="003C0CFE">
        <w:rPr>
          <w:sz w:val="22"/>
        </w:rPr>
        <w:t>technical justifications can</w:t>
      </w:r>
      <w:r w:rsidR="00823534">
        <w:rPr>
          <w:sz w:val="22"/>
        </w:rPr>
        <w:t xml:space="preserve"> be</w:t>
      </w:r>
      <w:r w:rsidR="00CC46C5" w:rsidRPr="003C0CFE">
        <w:rPr>
          <w:sz w:val="22"/>
        </w:rPr>
        <w:t xml:space="preserve"> </w:t>
      </w:r>
      <w:r w:rsidR="00823534">
        <w:rPr>
          <w:sz w:val="22"/>
        </w:rPr>
        <w:t>shown</w:t>
      </w:r>
      <w:r w:rsidR="00CC46C5" w:rsidRPr="003C0CFE">
        <w:rPr>
          <w:sz w:val="22"/>
        </w:rPr>
        <w:t>.</w:t>
      </w:r>
    </w:p>
    <w:p w:rsidR="00B2354C" w:rsidRPr="003C0CFE" w:rsidRDefault="00B2354C" w:rsidP="00384C9C">
      <w:pPr>
        <w:spacing w:line="240" w:lineRule="auto"/>
        <w:ind w:right="1134"/>
        <w:jc w:val="both"/>
        <w:rPr>
          <w:sz w:val="22"/>
        </w:rPr>
      </w:pPr>
    </w:p>
    <w:p w:rsidR="00CC46C5" w:rsidRPr="003C0CFE" w:rsidRDefault="00CC46C5" w:rsidP="00384C9C">
      <w:pPr>
        <w:spacing w:line="240" w:lineRule="auto"/>
        <w:ind w:right="1134"/>
        <w:jc w:val="both"/>
        <w:rPr>
          <w:sz w:val="22"/>
        </w:rPr>
      </w:pPr>
      <w:r w:rsidRPr="003C0CFE">
        <w:rPr>
          <w:sz w:val="22"/>
        </w:rPr>
        <w:t xml:space="preserve">Thus </w:t>
      </w:r>
      <w:r w:rsidR="00B2354C" w:rsidRPr="003C0CFE">
        <w:rPr>
          <w:sz w:val="22"/>
        </w:rPr>
        <w:t xml:space="preserve">OICA </w:t>
      </w:r>
      <w:r w:rsidRPr="003C0CFE">
        <w:rPr>
          <w:sz w:val="22"/>
        </w:rPr>
        <w:t>prepared two set</w:t>
      </w:r>
      <w:r w:rsidR="00823534">
        <w:rPr>
          <w:sz w:val="22"/>
        </w:rPr>
        <w:t>s</w:t>
      </w:r>
      <w:r w:rsidRPr="003C0CFE">
        <w:rPr>
          <w:sz w:val="22"/>
        </w:rPr>
        <w:t xml:space="preserve"> of proposals based on these two approaches:</w:t>
      </w:r>
    </w:p>
    <w:p w:rsidR="00CC46C5" w:rsidRPr="003C0CFE" w:rsidRDefault="00384C9C" w:rsidP="00384C9C">
      <w:pPr>
        <w:pStyle w:val="ListParagraph"/>
        <w:numPr>
          <w:ilvl w:val="0"/>
          <w:numId w:val="1"/>
        </w:numPr>
        <w:spacing w:line="240" w:lineRule="auto"/>
        <w:ind w:left="709" w:right="1134"/>
        <w:jc w:val="both"/>
        <w:rPr>
          <w:sz w:val="22"/>
        </w:rPr>
      </w:pPr>
      <w:r w:rsidRPr="003C0CFE">
        <w:rPr>
          <w:sz w:val="22"/>
        </w:rPr>
        <w:t>Approach 1: a</w:t>
      </w:r>
      <w:r w:rsidR="00CC46C5" w:rsidRPr="003C0CFE">
        <w:rPr>
          <w:sz w:val="22"/>
        </w:rPr>
        <w:t>mend</w:t>
      </w:r>
      <w:r w:rsidR="00823534">
        <w:rPr>
          <w:sz w:val="22"/>
        </w:rPr>
        <w:t>ing</w:t>
      </w:r>
      <w:r w:rsidR="00CC46C5" w:rsidRPr="003C0CFE">
        <w:rPr>
          <w:sz w:val="22"/>
        </w:rPr>
        <w:t xml:space="preserve"> the AEBS introduction (and add</w:t>
      </w:r>
      <w:r w:rsidR="00823534">
        <w:rPr>
          <w:sz w:val="22"/>
        </w:rPr>
        <w:t>ing</w:t>
      </w:r>
      <w:r w:rsidR="00CC46C5" w:rsidRPr="003C0CFE">
        <w:rPr>
          <w:sz w:val="22"/>
        </w:rPr>
        <w:t xml:space="preserve"> an introduction in the case of LDWS)</w:t>
      </w:r>
      <w:r w:rsidRPr="003C0CFE">
        <w:rPr>
          <w:sz w:val="22"/>
        </w:rPr>
        <w:t xml:space="preserve"> to mention concerned vehicle categories </w:t>
      </w:r>
    </w:p>
    <w:p w:rsidR="00CC46C5" w:rsidRPr="003C0CFE" w:rsidRDefault="00384C9C" w:rsidP="00384C9C">
      <w:pPr>
        <w:pStyle w:val="ListParagraph"/>
        <w:numPr>
          <w:ilvl w:val="0"/>
          <w:numId w:val="1"/>
        </w:numPr>
        <w:spacing w:line="240" w:lineRule="auto"/>
        <w:ind w:left="709" w:right="1134"/>
        <w:jc w:val="both"/>
        <w:rPr>
          <w:sz w:val="22"/>
        </w:rPr>
      </w:pPr>
      <w:r w:rsidRPr="003C0CFE">
        <w:rPr>
          <w:sz w:val="22"/>
        </w:rPr>
        <w:t xml:space="preserve">Approach 2: </w:t>
      </w:r>
      <w:r w:rsidR="00CC46C5" w:rsidRPr="003C0CFE">
        <w:rPr>
          <w:sz w:val="22"/>
        </w:rPr>
        <w:t>exclud</w:t>
      </w:r>
      <w:r w:rsidR="00823534">
        <w:rPr>
          <w:sz w:val="22"/>
        </w:rPr>
        <w:t>ing</w:t>
      </w:r>
      <w:r w:rsidR="00CC46C5" w:rsidRPr="003C0CFE">
        <w:rPr>
          <w:sz w:val="22"/>
        </w:rPr>
        <w:t xml:space="preserve"> from scope the concerned vehicles categories</w:t>
      </w:r>
      <w:r w:rsidR="003C0CFE" w:rsidRPr="003C0CFE">
        <w:rPr>
          <w:sz w:val="22"/>
        </w:rPr>
        <w:t>, keeping the possibility for a vehicle manufacturer to approve an AEBS on a vehicle excluded from scope, if the system can be installed in such a way that the AEBS requirements can all be fulfilled. This possibility may also give the opportunity to a vehicle manufacturer to respond to a Contracting Party who may mandate the installation of AEBS on vehicles excluded from the scope, due to some traffic / market specificities in this particular country.</w:t>
      </w:r>
    </w:p>
    <w:p w:rsidR="00387AF7" w:rsidRPr="003C0CFE" w:rsidRDefault="00387AF7" w:rsidP="00384C9C">
      <w:pPr>
        <w:spacing w:line="240" w:lineRule="auto"/>
        <w:ind w:right="1134"/>
        <w:jc w:val="both"/>
        <w:rPr>
          <w:sz w:val="22"/>
        </w:rPr>
      </w:pPr>
    </w:p>
    <w:p w:rsidR="00384C9C" w:rsidRPr="003C0CFE" w:rsidRDefault="00384C9C" w:rsidP="00384C9C">
      <w:pPr>
        <w:spacing w:line="240" w:lineRule="auto"/>
        <w:ind w:right="1134"/>
        <w:jc w:val="both"/>
        <w:rPr>
          <w:sz w:val="22"/>
        </w:rPr>
      </w:pPr>
      <w:r w:rsidRPr="003C0CFE">
        <w:rPr>
          <w:sz w:val="22"/>
        </w:rPr>
        <w:t>OICA is now seeking for guidance from GRRF</w:t>
      </w:r>
      <w:r w:rsidR="003C0CFE" w:rsidRPr="003C0CFE">
        <w:rPr>
          <w:sz w:val="22"/>
        </w:rPr>
        <w:t xml:space="preserve"> on one or the other approach, </w:t>
      </w:r>
      <w:r w:rsidR="00823534">
        <w:rPr>
          <w:sz w:val="22"/>
        </w:rPr>
        <w:t xml:space="preserve">the </w:t>
      </w:r>
      <w:r w:rsidR="003C0CFE" w:rsidRPr="003C0CFE">
        <w:rPr>
          <w:sz w:val="22"/>
        </w:rPr>
        <w:t>possib</w:t>
      </w:r>
      <w:r w:rsidR="00823534">
        <w:rPr>
          <w:sz w:val="22"/>
        </w:rPr>
        <w:t>i</w:t>
      </w:r>
      <w:r w:rsidR="003C0CFE" w:rsidRPr="003C0CFE">
        <w:rPr>
          <w:sz w:val="22"/>
        </w:rPr>
        <w:t>l</w:t>
      </w:r>
      <w:r w:rsidR="00823534">
        <w:rPr>
          <w:sz w:val="22"/>
        </w:rPr>
        <w:t>it</w:t>
      </w:r>
      <w:r w:rsidR="003C0CFE" w:rsidRPr="003C0CFE">
        <w:rPr>
          <w:sz w:val="22"/>
        </w:rPr>
        <w:t xml:space="preserve">y </w:t>
      </w:r>
      <w:r w:rsidR="00823534">
        <w:rPr>
          <w:sz w:val="22"/>
        </w:rPr>
        <w:t xml:space="preserve">of </w:t>
      </w:r>
      <w:r w:rsidR="003C0CFE" w:rsidRPr="003C0CFE">
        <w:rPr>
          <w:sz w:val="22"/>
        </w:rPr>
        <w:t xml:space="preserve">combining the two approaches or </w:t>
      </w:r>
      <w:r w:rsidR="00823534">
        <w:rPr>
          <w:sz w:val="22"/>
        </w:rPr>
        <w:t xml:space="preserve">on </w:t>
      </w:r>
      <w:r w:rsidR="003C0CFE" w:rsidRPr="003C0CFE">
        <w:rPr>
          <w:sz w:val="22"/>
        </w:rPr>
        <w:t xml:space="preserve">finding a third one. </w:t>
      </w:r>
      <w:bookmarkStart w:id="0" w:name="_GoBack"/>
      <w:bookmarkEnd w:id="0"/>
    </w:p>
    <w:p w:rsidR="00384C9C" w:rsidRPr="003C0CFE" w:rsidRDefault="00384C9C" w:rsidP="00384C9C">
      <w:pPr>
        <w:spacing w:line="240" w:lineRule="auto"/>
        <w:ind w:right="1134"/>
        <w:jc w:val="both"/>
        <w:rPr>
          <w:sz w:val="22"/>
        </w:rPr>
      </w:pPr>
    </w:p>
    <w:p w:rsidR="00D36104" w:rsidRPr="003C0CFE" w:rsidRDefault="00D36104" w:rsidP="00384C9C">
      <w:pPr>
        <w:rPr>
          <w:sz w:val="22"/>
        </w:rPr>
      </w:pPr>
    </w:p>
    <w:sectPr w:rsidR="00D36104" w:rsidRPr="003C0C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7F" w:rsidRDefault="007F7A7F" w:rsidP="007F7A7F">
      <w:pPr>
        <w:spacing w:line="240" w:lineRule="auto"/>
      </w:pPr>
      <w:r>
        <w:separator/>
      </w:r>
    </w:p>
  </w:endnote>
  <w:endnote w:type="continuationSeparator" w:id="0">
    <w:p w:rsidR="007F7A7F" w:rsidRDefault="007F7A7F" w:rsidP="007F7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7F" w:rsidRDefault="007F7A7F" w:rsidP="007F7A7F">
      <w:pPr>
        <w:spacing w:line="240" w:lineRule="auto"/>
      </w:pPr>
      <w:r>
        <w:separator/>
      </w:r>
    </w:p>
  </w:footnote>
  <w:footnote w:type="continuationSeparator" w:id="0">
    <w:p w:rsidR="007F7A7F" w:rsidRDefault="007F7A7F" w:rsidP="007F7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7F7A7F" w:rsidRPr="00510AA1" w:rsidTr="00A658B6">
      <w:tblPrEx>
        <w:tblCellMar>
          <w:top w:w="0" w:type="dxa"/>
          <w:bottom w:w="0" w:type="dxa"/>
        </w:tblCellMar>
      </w:tblPrEx>
      <w:tc>
        <w:tcPr>
          <w:tcW w:w="4924" w:type="dxa"/>
          <w:tcBorders>
            <w:left w:val="nil"/>
          </w:tcBorders>
        </w:tcPr>
        <w:p w:rsidR="007F7A7F" w:rsidRPr="003E4E9F" w:rsidRDefault="007F7A7F" w:rsidP="00A658B6">
          <w:pPr>
            <w:ind w:left="120"/>
            <w:rPr>
              <w:sz w:val="24"/>
              <w:szCs w:val="24"/>
            </w:rPr>
          </w:pPr>
          <w:r>
            <w:rPr>
              <w:sz w:val="24"/>
              <w:szCs w:val="24"/>
            </w:rPr>
            <w:t>Submitted</w:t>
          </w:r>
          <w:r w:rsidRPr="003E4E9F">
            <w:rPr>
              <w:sz w:val="24"/>
              <w:szCs w:val="24"/>
            </w:rPr>
            <w:t xml:space="preserve"> by </w:t>
          </w:r>
          <w:r>
            <w:rPr>
              <w:sz w:val="24"/>
              <w:szCs w:val="24"/>
            </w:rPr>
            <w:t>the expert from OICA</w:t>
          </w:r>
        </w:p>
      </w:tc>
      <w:tc>
        <w:tcPr>
          <w:tcW w:w="4924" w:type="dxa"/>
          <w:tcBorders>
            <w:left w:val="nil"/>
          </w:tcBorders>
        </w:tcPr>
        <w:p w:rsidR="007F7A7F" w:rsidRPr="003E4E9F" w:rsidRDefault="007F7A7F" w:rsidP="00A658B6">
          <w:pPr>
            <w:ind w:left="120"/>
            <w:rPr>
              <w:b/>
              <w:bCs/>
              <w:sz w:val="24"/>
              <w:szCs w:val="24"/>
              <w:lang w:val="en-US"/>
            </w:rPr>
          </w:pPr>
          <w:r w:rsidRPr="003E4E9F">
            <w:rPr>
              <w:sz w:val="24"/>
              <w:szCs w:val="24"/>
              <w:u w:val="single"/>
            </w:rPr>
            <w:t>Informal document</w:t>
          </w:r>
          <w:r w:rsidRPr="003E4E9F">
            <w:rPr>
              <w:sz w:val="24"/>
              <w:szCs w:val="24"/>
            </w:rPr>
            <w:t xml:space="preserve"> </w:t>
          </w:r>
          <w:r w:rsidRPr="003E4E9F">
            <w:rPr>
              <w:b/>
              <w:bCs/>
              <w:sz w:val="24"/>
              <w:szCs w:val="24"/>
              <w:lang w:val="en-US"/>
            </w:rPr>
            <w:t>GR</w:t>
          </w:r>
          <w:r>
            <w:rPr>
              <w:b/>
              <w:bCs/>
              <w:sz w:val="24"/>
              <w:szCs w:val="24"/>
              <w:lang w:val="en-US"/>
            </w:rPr>
            <w:t>RF</w:t>
          </w:r>
          <w:r w:rsidRPr="003E4E9F">
            <w:rPr>
              <w:b/>
              <w:bCs/>
              <w:sz w:val="24"/>
              <w:szCs w:val="24"/>
              <w:lang w:val="en-US"/>
            </w:rPr>
            <w:t>-</w:t>
          </w:r>
          <w:r>
            <w:rPr>
              <w:b/>
              <w:bCs/>
              <w:sz w:val="24"/>
              <w:szCs w:val="24"/>
              <w:lang w:val="en-US"/>
            </w:rPr>
            <w:t>78</w:t>
          </w:r>
          <w:r w:rsidRPr="003E4E9F">
            <w:rPr>
              <w:b/>
              <w:bCs/>
              <w:sz w:val="24"/>
              <w:szCs w:val="24"/>
              <w:lang w:val="en-US"/>
            </w:rPr>
            <w:t>-</w:t>
          </w:r>
          <w:r>
            <w:rPr>
              <w:b/>
              <w:bCs/>
              <w:sz w:val="24"/>
              <w:szCs w:val="24"/>
              <w:lang w:val="en-US"/>
            </w:rPr>
            <w:t>30</w:t>
          </w:r>
        </w:p>
        <w:p w:rsidR="007F7A7F" w:rsidRPr="003E4E9F" w:rsidRDefault="007F7A7F" w:rsidP="00A658B6">
          <w:pPr>
            <w:pStyle w:val="Header"/>
            <w:ind w:left="120"/>
            <w:rPr>
              <w:b/>
              <w:bCs/>
              <w:sz w:val="24"/>
              <w:szCs w:val="24"/>
              <w:lang w:val="en-US"/>
            </w:rPr>
          </w:pPr>
          <w:r w:rsidRPr="003E4E9F">
            <w:rPr>
              <w:b/>
              <w:bCs/>
              <w:sz w:val="24"/>
              <w:szCs w:val="24"/>
              <w:lang w:val="en-US"/>
            </w:rPr>
            <w:t>(</w:t>
          </w:r>
          <w:r>
            <w:rPr>
              <w:b/>
              <w:bCs/>
              <w:sz w:val="24"/>
              <w:szCs w:val="24"/>
              <w:lang w:val="en-US"/>
            </w:rPr>
            <w:t>78</w:t>
          </w:r>
          <w:r w:rsidRPr="0001170B">
            <w:rPr>
              <w:b/>
              <w:bCs/>
              <w:sz w:val="24"/>
              <w:szCs w:val="24"/>
              <w:vertAlign w:val="superscript"/>
              <w:lang w:val="en-US"/>
            </w:rPr>
            <w:t>th</w:t>
          </w:r>
          <w:r>
            <w:rPr>
              <w:b/>
              <w:bCs/>
              <w:sz w:val="24"/>
              <w:szCs w:val="24"/>
              <w:lang w:val="en-US"/>
            </w:rPr>
            <w:t xml:space="preserve"> GRRF, 16 – 19 </w:t>
          </w:r>
          <w:r w:rsidRPr="000F7C1C">
            <w:rPr>
              <w:rFonts w:hint="eastAsia"/>
              <w:b/>
              <w:bCs/>
              <w:sz w:val="24"/>
              <w:szCs w:val="24"/>
              <w:lang w:val="en-US"/>
            </w:rPr>
            <w:t>September</w:t>
          </w:r>
          <w:r w:rsidRPr="000F7C1C">
            <w:rPr>
              <w:b/>
              <w:bCs/>
              <w:sz w:val="24"/>
              <w:szCs w:val="24"/>
              <w:lang w:val="en-US"/>
            </w:rPr>
            <w:t xml:space="preserve"> 2014</w:t>
          </w:r>
          <w:r w:rsidRPr="003E4E9F">
            <w:rPr>
              <w:b/>
              <w:bCs/>
              <w:sz w:val="24"/>
              <w:szCs w:val="24"/>
              <w:lang w:val="en-US"/>
            </w:rPr>
            <w:t>,</w:t>
          </w:r>
        </w:p>
        <w:p w:rsidR="007F7A7F" w:rsidRPr="00510AA1" w:rsidRDefault="007F7A7F" w:rsidP="007F7A7F">
          <w:pPr>
            <w:pStyle w:val="Header"/>
            <w:ind w:left="120"/>
            <w:rPr>
              <w:b/>
              <w:bCs/>
              <w:lang w:val="en-US"/>
            </w:rPr>
          </w:pPr>
          <w:r w:rsidRPr="003E4E9F">
            <w:rPr>
              <w:sz w:val="24"/>
              <w:szCs w:val="24"/>
              <w:lang w:val="en-US"/>
            </w:rPr>
            <w:t xml:space="preserve"> </w:t>
          </w:r>
          <w:r w:rsidRPr="00732E66">
            <w:rPr>
              <w:b/>
              <w:sz w:val="24"/>
              <w:szCs w:val="24"/>
              <w:lang w:val="sv-SE"/>
            </w:rPr>
            <w:t>agenda item</w:t>
          </w:r>
          <w:r w:rsidRPr="003E4E9F">
            <w:rPr>
              <w:sz w:val="24"/>
              <w:szCs w:val="24"/>
              <w:lang w:val="sv-SE"/>
            </w:rPr>
            <w:t xml:space="preserve"> </w:t>
          </w:r>
          <w:r>
            <w:rPr>
              <w:b/>
              <w:sz w:val="24"/>
              <w:szCs w:val="24"/>
              <w:lang w:val="sv-SE"/>
            </w:rPr>
            <w:t>2</w:t>
          </w:r>
          <w:r w:rsidRPr="00AA2513">
            <w:rPr>
              <w:b/>
              <w:sz w:val="24"/>
              <w:szCs w:val="24"/>
              <w:lang w:val="sv-SE"/>
            </w:rPr>
            <w:t>)</w:t>
          </w:r>
        </w:p>
      </w:tc>
    </w:tr>
  </w:tbl>
  <w:p w:rsidR="007F7A7F" w:rsidRDefault="007F7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30D7"/>
    <w:multiLevelType w:val="hybridMultilevel"/>
    <w:tmpl w:val="C210562C"/>
    <w:lvl w:ilvl="0" w:tplc="4072BA76">
      <w:start w:val="2"/>
      <w:numFmt w:val="bullet"/>
      <w:lvlText w:val="-"/>
      <w:lvlJc w:val="left"/>
      <w:pPr>
        <w:ind w:left="322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0"/>
    <w:rsid w:val="00086713"/>
    <w:rsid w:val="00095AEC"/>
    <w:rsid w:val="00185771"/>
    <w:rsid w:val="00384C9C"/>
    <w:rsid w:val="00387AF7"/>
    <w:rsid w:val="003C0CFE"/>
    <w:rsid w:val="005F3568"/>
    <w:rsid w:val="007F7A7F"/>
    <w:rsid w:val="00823534"/>
    <w:rsid w:val="00867E00"/>
    <w:rsid w:val="00AA6A85"/>
    <w:rsid w:val="00B2354C"/>
    <w:rsid w:val="00CC46C5"/>
    <w:rsid w:val="00D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F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aliases w:val="6_G"/>
    <w:basedOn w:val="Normal"/>
    <w:link w:val="HeaderChar"/>
    <w:unhideWhenUsed/>
    <w:rsid w:val="007F7A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7F7A7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7A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7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F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aliases w:val="6_G"/>
    <w:basedOn w:val="Normal"/>
    <w:link w:val="HeaderChar"/>
    <w:unhideWhenUsed/>
    <w:rsid w:val="007F7A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7F7A7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7A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7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GRRF</dc:creator>
  <cp:lastModifiedBy>Armengol</cp:lastModifiedBy>
  <cp:revision>2</cp:revision>
  <dcterms:created xsi:type="dcterms:W3CDTF">2014-09-15T12:00:00Z</dcterms:created>
  <dcterms:modified xsi:type="dcterms:W3CDTF">2014-09-15T12:00:00Z</dcterms:modified>
</cp:coreProperties>
</file>