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D316C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9F3D53">
              <w:rPr>
                <w:b/>
                <w:sz w:val="40"/>
                <w:szCs w:val="40"/>
              </w:rPr>
              <w:t>29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D316C7">
              <w:rPr>
                <w:b/>
                <w:sz w:val="40"/>
                <w:szCs w:val="40"/>
              </w:rPr>
              <w:t>20</w:t>
            </w:r>
          </w:p>
        </w:tc>
      </w:tr>
      <w:tr w:rsidR="0099001C" w:rsidTr="00944216">
        <w:trPr>
          <w:cantSplit/>
          <w:trHeight w:hRule="exact" w:val="270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91F2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9F0F06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FD4F7E">
              <w:rPr>
                <w:b/>
                <w:lang w:val="en-US"/>
              </w:rPr>
              <w:tab/>
            </w:r>
            <w:r w:rsidR="00D316C7" w:rsidRPr="00D316C7">
              <w:rPr>
                <w:b/>
                <w:lang w:val="en-US"/>
              </w:rPr>
              <w:t>30 June</w:t>
            </w:r>
            <w:r w:rsidR="00E70DF5" w:rsidRPr="00D316C7">
              <w:rPr>
                <w:b/>
                <w:lang w:val="en-US"/>
              </w:rPr>
              <w:t xml:space="preserve"> 201</w:t>
            </w:r>
            <w:r w:rsidR="009F3D53" w:rsidRPr="00D316C7">
              <w:rPr>
                <w:b/>
                <w:lang w:val="en-US"/>
              </w:rPr>
              <w:t>5</w:t>
            </w:r>
          </w:p>
          <w:p w:rsidR="00D316C7" w:rsidRDefault="00D316C7" w:rsidP="00D316C7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Twenty-ninth</w:t>
            </w:r>
            <w:r w:rsidRPr="002219F6">
              <w:rPr>
                <w:b/>
                <w:bCs/>
              </w:rPr>
              <w:t xml:space="preserve"> session</w:t>
            </w:r>
          </w:p>
          <w:p w:rsidR="00D316C7" w:rsidRPr="00882518" w:rsidRDefault="00D316C7" w:rsidP="00D316C7">
            <w:r>
              <w:t>Geneva, 29 June – 1 July 2015</w:t>
            </w:r>
            <w:r>
              <w:br/>
            </w:r>
            <w:r w:rsidRPr="00882518">
              <w:t>Item 3 (c) of the provisional agenda</w:t>
            </w:r>
          </w:p>
          <w:p w:rsidR="0099001C" w:rsidRDefault="00D316C7" w:rsidP="00944216">
            <w:r w:rsidRPr="00882518">
              <w:rPr>
                <w:b/>
              </w:rPr>
              <w:t>Hazard communication issues: Miscellaneous</w:t>
            </w:r>
          </w:p>
        </w:tc>
      </w:tr>
    </w:tbl>
    <w:p w:rsidR="00D316C7" w:rsidRPr="006A7071" w:rsidRDefault="0099001C" w:rsidP="00944216">
      <w:pPr>
        <w:pStyle w:val="HChG"/>
        <w:spacing w:before="240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D316C7">
        <w:rPr>
          <w:rFonts w:eastAsia="MS Mincho"/>
          <w:lang w:val="en-US" w:eastAsia="ja-JP"/>
        </w:rPr>
        <w:t xml:space="preserve">Amendments to the proposal </w:t>
      </w:r>
      <w:r w:rsidR="00944216">
        <w:rPr>
          <w:rFonts w:eastAsia="MS Mincho"/>
          <w:lang w:val="en-US" w:eastAsia="ja-JP"/>
        </w:rPr>
        <w:t>in ST/SG/AC.10/</w:t>
      </w:r>
      <w:r w:rsidR="00CC5F28">
        <w:rPr>
          <w:rFonts w:eastAsia="MS Mincho"/>
          <w:lang w:val="en-US" w:eastAsia="ja-JP"/>
        </w:rPr>
        <w:t>C.4/</w:t>
      </w:r>
      <w:r w:rsidR="00944216">
        <w:rPr>
          <w:rFonts w:eastAsia="MS Mincho"/>
          <w:lang w:val="en-US" w:eastAsia="ja-JP"/>
        </w:rPr>
        <w:t>2015/5</w:t>
      </w:r>
    </w:p>
    <w:p w:rsidR="00C945EB" w:rsidRPr="003B342C" w:rsidRDefault="00D316C7" w:rsidP="00944216">
      <w:pPr>
        <w:pStyle w:val="HChG"/>
        <w:spacing w:before="240"/>
        <w:rPr>
          <w:rFonts w:eastAsia="MS Mincho"/>
          <w:lang w:eastAsia="ja-JP"/>
        </w:rPr>
      </w:pPr>
      <w:r>
        <w:tab/>
      </w:r>
      <w:r>
        <w:tab/>
      </w:r>
      <w:r w:rsidRPr="006A7071">
        <w:t>Transmitted by the expert from Sweden</w:t>
      </w:r>
    </w:p>
    <w:p w:rsidR="00D316C7" w:rsidRDefault="00D316C7" w:rsidP="00944216">
      <w:pPr>
        <w:pStyle w:val="SingleTxtG"/>
      </w:pPr>
      <w:r>
        <w:t>1.</w:t>
      </w:r>
      <w:r>
        <w:tab/>
        <w:t xml:space="preserve">The expert from Sweden was invited to redraft the proposal made in document </w:t>
      </w:r>
      <w:r>
        <w:rPr>
          <w:rFonts w:eastAsia="MS Mincho"/>
          <w:lang w:val="en-US" w:eastAsia="ja-JP"/>
        </w:rPr>
        <w:t>ST/SG/AC.10/</w:t>
      </w:r>
      <w:r w:rsidR="00CC5F28">
        <w:rPr>
          <w:rFonts w:eastAsia="MS Mincho"/>
          <w:lang w:val="en-US" w:eastAsia="ja-JP"/>
        </w:rPr>
        <w:t>C.4/</w:t>
      </w:r>
      <w:r>
        <w:rPr>
          <w:rFonts w:eastAsia="MS Mincho"/>
          <w:lang w:val="en-US" w:eastAsia="ja-JP"/>
        </w:rPr>
        <w:t xml:space="preserve">2015/5 </w:t>
      </w:r>
      <w:r>
        <w:t xml:space="preserve">to incorporate the interventions made during the discussions on the first day of the 29th session of the Sub-Committee. </w:t>
      </w:r>
      <w:proofErr w:type="gramStart"/>
      <w:r>
        <w:t>The experts tha</w:t>
      </w:r>
      <w:r w:rsidR="008A6950">
        <w:t>t spoke preferred Option </w:t>
      </w:r>
      <w:r w:rsidR="00BA72B1">
        <w:t>B and a</w:t>
      </w:r>
      <w:r>
        <w:t xml:space="preserve">dditional option C </w:t>
      </w:r>
      <w:r w:rsidR="00BA72B1">
        <w:t xml:space="preserve">in </w:t>
      </w:r>
      <w:r w:rsidR="00CC5F28">
        <w:rPr>
          <w:rFonts w:eastAsia="MS Mincho"/>
          <w:lang w:val="en-US" w:eastAsia="ja-JP"/>
        </w:rPr>
        <w:t>ST/SG/AC.10/C.4/2015/5</w:t>
      </w:r>
      <w:r>
        <w:t>.</w:t>
      </w:r>
      <w:proofErr w:type="gramEnd"/>
      <w:r>
        <w:t xml:space="preserve"> </w:t>
      </w:r>
    </w:p>
    <w:p w:rsidR="00D316C7" w:rsidRDefault="00BA72B1" w:rsidP="00944216">
      <w:pPr>
        <w:pStyle w:val="SingleTxtG"/>
      </w:pPr>
      <w:r>
        <w:t>2.</w:t>
      </w:r>
      <w:r>
        <w:tab/>
      </w:r>
      <w:r w:rsidR="00D316C7">
        <w:t>In post-consideration, t</w:t>
      </w:r>
      <w:r w:rsidR="00D316C7" w:rsidRPr="005702E2">
        <w:t>he expert from Sweden has realised</w:t>
      </w:r>
      <w:r w:rsidR="00D316C7">
        <w:t xml:space="preserve"> that the current wording of P502 as in Rev. 6 of the GHS reads “Refer to manufacturer or supplier for information on recovery or recycling”. Consequently, incorporation of the changes as proposed in Option B and Additional option C </w:t>
      </w:r>
      <w:r>
        <w:t xml:space="preserve">in </w:t>
      </w:r>
      <w:r w:rsidR="00CC5F28">
        <w:rPr>
          <w:rFonts w:eastAsia="MS Mincho"/>
          <w:lang w:val="en-US" w:eastAsia="ja-JP"/>
        </w:rPr>
        <w:t xml:space="preserve">ST/SG/AC.10/C.4/2015/5 </w:t>
      </w:r>
      <w:r w:rsidR="00D316C7">
        <w:t>would instead read: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12"/>
        <w:gridCol w:w="2410"/>
        <w:gridCol w:w="1881"/>
        <w:gridCol w:w="2552"/>
        <w:gridCol w:w="1582"/>
      </w:tblGrid>
      <w:tr w:rsidR="00D316C7" w:rsidRPr="00944216" w:rsidTr="00944216">
        <w:tc>
          <w:tcPr>
            <w:tcW w:w="812" w:type="dxa"/>
          </w:tcPr>
          <w:p w:rsidR="00D316C7" w:rsidRPr="00944216" w:rsidRDefault="00D316C7" w:rsidP="00904474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Code</w:t>
            </w:r>
            <w:r w:rsidRPr="00944216">
              <w:rPr>
                <w:b/>
                <w:sz w:val="18"/>
              </w:rPr>
              <w:br/>
              <w:t>(1)</w:t>
            </w:r>
          </w:p>
        </w:tc>
        <w:tc>
          <w:tcPr>
            <w:tcW w:w="2410" w:type="dxa"/>
          </w:tcPr>
          <w:p w:rsidR="00D316C7" w:rsidRPr="00944216" w:rsidRDefault="00D316C7" w:rsidP="00904474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Disposal precautionary statements</w:t>
            </w:r>
            <w:r w:rsidRPr="00944216">
              <w:rPr>
                <w:b/>
                <w:sz w:val="18"/>
              </w:rPr>
              <w:br/>
              <w:t>(2)</w:t>
            </w:r>
          </w:p>
        </w:tc>
        <w:tc>
          <w:tcPr>
            <w:tcW w:w="1881" w:type="dxa"/>
          </w:tcPr>
          <w:p w:rsidR="00D316C7" w:rsidRPr="00944216" w:rsidRDefault="00D316C7" w:rsidP="00904474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Hazard class</w:t>
            </w:r>
          </w:p>
          <w:p w:rsidR="00D316C7" w:rsidRPr="00944216" w:rsidRDefault="00D316C7" w:rsidP="00904474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(3)</w:t>
            </w:r>
          </w:p>
        </w:tc>
        <w:tc>
          <w:tcPr>
            <w:tcW w:w="2552" w:type="dxa"/>
          </w:tcPr>
          <w:p w:rsidR="00D316C7" w:rsidRPr="00944216" w:rsidRDefault="00D316C7" w:rsidP="00904474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Hazard category</w:t>
            </w:r>
          </w:p>
          <w:p w:rsidR="00D316C7" w:rsidRPr="00944216" w:rsidRDefault="00D316C7" w:rsidP="00904474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(4)</w:t>
            </w:r>
          </w:p>
        </w:tc>
        <w:tc>
          <w:tcPr>
            <w:tcW w:w="1582" w:type="dxa"/>
          </w:tcPr>
          <w:p w:rsidR="00D316C7" w:rsidRPr="00944216" w:rsidRDefault="00D316C7" w:rsidP="00904474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 xml:space="preserve">Conditions for use </w:t>
            </w:r>
            <w:r w:rsidRPr="00944216">
              <w:rPr>
                <w:b/>
                <w:sz w:val="18"/>
              </w:rPr>
              <w:br/>
              <w:t>(5)</w:t>
            </w:r>
          </w:p>
        </w:tc>
      </w:tr>
      <w:tr w:rsidR="00D316C7" w:rsidRPr="00944216" w:rsidTr="00944216">
        <w:tc>
          <w:tcPr>
            <w:tcW w:w="812" w:type="dxa"/>
            <w:vMerge w:val="restart"/>
          </w:tcPr>
          <w:p w:rsidR="00D316C7" w:rsidRPr="00944216" w:rsidRDefault="00D316C7" w:rsidP="00BA72B1">
            <w:pPr>
              <w:ind w:left="-16" w:firstLine="8"/>
              <w:jc w:val="center"/>
              <w:rPr>
                <w:sz w:val="18"/>
              </w:rPr>
            </w:pPr>
            <w:r w:rsidRPr="00944216">
              <w:rPr>
                <w:sz w:val="18"/>
              </w:rPr>
              <w:t>P502</w:t>
            </w:r>
          </w:p>
        </w:tc>
        <w:tc>
          <w:tcPr>
            <w:tcW w:w="2410" w:type="dxa"/>
            <w:vMerge w:val="restart"/>
          </w:tcPr>
          <w:p w:rsidR="00D316C7" w:rsidRPr="00944216" w:rsidRDefault="00D316C7" w:rsidP="00BA72B1">
            <w:pPr>
              <w:ind w:left="181"/>
              <w:rPr>
                <w:sz w:val="18"/>
              </w:rPr>
            </w:pPr>
            <w:r w:rsidRPr="00944216">
              <w:rPr>
                <w:sz w:val="18"/>
              </w:rPr>
              <w:t>Refer to manufacturer or supplier for information on recovery</w:t>
            </w:r>
            <w:r w:rsidRPr="00944216">
              <w:rPr>
                <w:b/>
                <w:sz w:val="18"/>
                <w:u w:val="single"/>
              </w:rPr>
              <w:t xml:space="preserve">, </w:t>
            </w:r>
            <w:r w:rsidRPr="00944216">
              <w:rPr>
                <w:sz w:val="18"/>
              </w:rPr>
              <w:t xml:space="preserve">recycling </w:t>
            </w:r>
            <w:r w:rsidRPr="00944216">
              <w:rPr>
                <w:b/>
                <w:sz w:val="18"/>
                <w:u w:val="single"/>
              </w:rPr>
              <w:t>or disposal</w:t>
            </w:r>
          </w:p>
        </w:tc>
        <w:tc>
          <w:tcPr>
            <w:tcW w:w="1881" w:type="dxa"/>
          </w:tcPr>
          <w:p w:rsidR="00D316C7" w:rsidRPr="00944216" w:rsidRDefault="00D316C7" w:rsidP="00BA72B1">
            <w:pPr>
              <w:jc w:val="center"/>
              <w:rPr>
                <w:b/>
                <w:sz w:val="18"/>
                <w:u w:val="single"/>
              </w:rPr>
            </w:pPr>
            <w:r w:rsidRPr="00944216">
              <w:rPr>
                <w:b/>
                <w:sz w:val="18"/>
                <w:u w:val="single"/>
              </w:rPr>
              <w:t>Explosives</w:t>
            </w:r>
            <w:r w:rsidRPr="00944216">
              <w:rPr>
                <w:b/>
                <w:sz w:val="18"/>
                <w:u w:val="single"/>
              </w:rPr>
              <w:br/>
              <w:t>(Chapter 2.1)</w:t>
            </w:r>
          </w:p>
        </w:tc>
        <w:tc>
          <w:tcPr>
            <w:tcW w:w="2552" w:type="dxa"/>
          </w:tcPr>
          <w:p w:rsidR="00D316C7" w:rsidRPr="00944216" w:rsidRDefault="00D316C7" w:rsidP="00944216">
            <w:pPr>
              <w:ind w:left="142"/>
              <w:jc w:val="center"/>
              <w:rPr>
                <w:b/>
                <w:sz w:val="18"/>
                <w:u w:val="single"/>
              </w:rPr>
            </w:pPr>
            <w:r w:rsidRPr="00944216">
              <w:rPr>
                <w:b/>
                <w:sz w:val="18"/>
                <w:u w:val="single"/>
              </w:rPr>
              <w:t>Unstable explosives and Divisions 1.1, 1.2, 1.3, 1.4, 1.5</w:t>
            </w:r>
          </w:p>
        </w:tc>
        <w:tc>
          <w:tcPr>
            <w:tcW w:w="1582" w:type="dxa"/>
            <w:vMerge w:val="restart"/>
          </w:tcPr>
          <w:p w:rsidR="00D316C7" w:rsidRPr="00944216" w:rsidRDefault="00D316C7" w:rsidP="00904474">
            <w:pPr>
              <w:rPr>
                <w:b/>
                <w:sz w:val="18"/>
              </w:rPr>
            </w:pPr>
          </w:p>
        </w:tc>
      </w:tr>
      <w:tr w:rsidR="00D316C7" w:rsidRPr="00944216" w:rsidTr="00944216">
        <w:tc>
          <w:tcPr>
            <w:tcW w:w="812" w:type="dxa"/>
            <w:vMerge/>
          </w:tcPr>
          <w:p w:rsidR="00D316C7" w:rsidRPr="00944216" w:rsidRDefault="00D316C7" w:rsidP="00904474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D316C7" w:rsidRPr="00944216" w:rsidRDefault="00D316C7" w:rsidP="00904474">
            <w:pPr>
              <w:rPr>
                <w:sz w:val="18"/>
              </w:rPr>
            </w:pPr>
          </w:p>
        </w:tc>
        <w:tc>
          <w:tcPr>
            <w:tcW w:w="1881" w:type="dxa"/>
          </w:tcPr>
          <w:p w:rsidR="00D316C7" w:rsidRPr="00944216" w:rsidRDefault="00D316C7" w:rsidP="00BA72B1">
            <w:pPr>
              <w:jc w:val="center"/>
              <w:rPr>
                <w:sz w:val="18"/>
              </w:rPr>
            </w:pPr>
            <w:r w:rsidRPr="00944216">
              <w:rPr>
                <w:sz w:val="18"/>
              </w:rPr>
              <w:t xml:space="preserve">Hazardous to the ozone layer </w:t>
            </w:r>
            <w:r w:rsidR="00944216">
              <w:rPr>
                <w:sz w:val="18"/>
              </w:rPr>
              <w:br/>
            </w:r>
            <w:r w:rsidRPr="00944216">
              <w:rPr>
                <w:sz w:val="18"/>
              </w:rPr>
              <w:t>(Chapter 4.2)</w:t>
            </w:r>
          </w:p>
        </w:tc>
        <w:tc>
          <w:tcPr>
            <w:tcW w:w="2552" w:type="dxa"/>
            <w:vAlign w:val="center"/>
          </w:tcPr>
          <w:p w:rsidR="00D316C7" w:rsidRPr="00944216" w:rsidRDefault="00D316C7" w:rsidP="00944216">
            <w:pPr>
              <w:ind w:left="142"/>
              <w:jc w:val="center"/>
              <w:rPr>
                <w:sz w:val="18"/>
              </w:rPr>
            </w:pPr>
            <w:r w:rsidRPr="00944216">
              <w:rPr>
                <w:sz w:val="18"/>
              </w:rPr>
              <w:t>1</w:t>
            </w:r>
          </w:p>
        </w:tc>
        <w:tc>
          <w:tcPr>
            <w:tcW w:w="1582" w:type="dxa"/>
            <w:vMerge/>
          </w:tcPr>
          <w:p w:rsidR="00D316C7" w:rsidRPr="00944216" w:rsidRDefault="00D316C7" w:rsidP="00904474">
            <w:pPr>
              <w:rPr>
                <w:b/>
                <w:sz w:val="18"/>
              </w:rPr>
            </w:pPr>
          </w:p>
        </w:tc>
      </w:tr>
    </w:tbl>
    <w:p w:rsidR="00BA72B1" w:rsidRDefault="00BA72B1" w:rsidP="00944216">
      <w:pPr>
        <w:pStyle w:val="SingleTxtG"/>
        <w:spacing w:before="120"/>
      </w:pPr>
      <w:r>
        <w:t>3.</w:t>
      </w:r>
      <w:r>
        <w:tab/>
      </w:r>
      <w:r w:rsidR="00D316C7">
        <w:t xml:space="preserve">During the discussions on this topic, some experts expressed a need to somewhat alter the wording proposed in </w:t>
      </w:r>
      <w:r w:rsidR="00CC5F28">
        <w:rPr>
          <w:rFonts w:eastAsia="MS Mincho"/>
          <w:lang w:val="en-US" w:eastAsia="ja-JP"/>
        </w:rPr>
        <w:t xml:space="preserve">ST/SG/AC.10/C.4/2015/5 </w:t>
      </w:r>
      <w:bookmarkStart w:id="0" w:name="_GoBack"/>
      <w:bookmarkEnd w:id="0"/>
      <w:r w:rsidR="00D316C7">
        <w:t xml:space="preserve">in order to incorporate the possibility for the </w:t>
      </w:r>
      <w:r>
        <w:t>c</w:t>
      </w:r>
      <w:r w:rsidR="00D316C7">
        <w:t xml:space="preserve">ompetent </w:t>
      </w:r>
      <w:r>
        <w:t>a</w:t>
      </w:r>
      <w:r w:rsidR="00D316C7">
        <w:t>uthority to be the source of information on how to recover, recycle or dispose of explosives. Other experts expressed a potential need to add conditions for use to address the regulations/conventions that apply to ozone depleting chemicals.</w:t>
      </w:r>
    </w:p>
    <w:p w:rsidR="00D316C7" w:rsidRDefault="00BA72B1" w:rsidP="00944216">
      <w:pPr>
        <w:pStyle w:val="SingleTxtG"/>
      </w:pPr>
      <w:r>
        <w:t>4.</w:t>
      </w:r>
      <w:r>
        <w:tab/>
      </w:r>
      <w:r w:rsidR="00D316C7">
        <w:t>The expert from Sweden is at this stage not sure how to accommodate the interventions made into P502. One option would be: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56"/>
        <w:gridCol w:w="1701"/>
        <w:gridCol w:w="2858"/>
      </w:tblGrid>
      <w:tr w:rsidR="00D316C7" w:rsidRPr="00944216" w:rsidTr="00944216">
        <w:tc>
          <w:tcPr>
            <w:tcW w:w="817" w:type="dxa"/>
          </w:tcPr>
          <w:p w:rsidR="00D316C7" w:rsidRPr="00944216" w:rsidRDefault="00D316C7" w:rsidP="00944216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Code</w:t>
            </w:r>
            <w:r w:rsidRPr="00944216">
              <w:rPr>
                <w:b/>
                <w:sz w:val="18"/>
              </w:rPr>
              <w:br/>
              <w:t>(1)</w:t>
            </w:r>
          </w:p>
        </w:tc>
        <w:tc>
          <w:tcPr>
            <w:tcW w:w="2410" w:type="dxa"/>
          </w:tcPr>
          <w:p w:rsidR="00D316C7" w:rsidRPr="00944216" w:rsidRDefault="00D316C7" w:rsidP="00944216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Disposal precautionary statements</w:t>
            </w:r>
            <w:r w:rsidRPr="00944216">
              <w:rPr>
                <w:b/>
                <w:sz w:val="18"/>
              </w:rPr>
              <w:br/>
              <w:t>(2)</w:t>
            </w:r>
          </w:p>
        </w:tc>
        <w:tc>
          <w:tcPr>
            <w:tcW w:w="1456" w:type="dxa"/>
          </w:tcPr>
          <w:p w:rsidR="00D316C7" w:rsidRPr="00944216" w:rsidRDefault="00D316C7" w:rsidP="00944216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Hazard class</w:t>
            </w:r>
          </w:p>
          <w:p w:rsidR="00D316C7" w:rsidRPr="00944216" w:rsidRDefault="00D316C7" w:rsidP="00944216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(3)</w:t>
            </w:r>
          </w:p>
        </w:tc>
        <w:tc>
          <w:tcPr>
            <w:tcW w:w="1701" w:type="dxa"/>
          </w:tcPr>
          <w:p w:rsidR="00D316C7" w:rsidRPr="00944216" w:rsidRDefault="00D316C7" w:rsidP="00944216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Hazard category</w:t>
            </w:r>
          </w:p>
          <w:p w:rsidR="00D316C7" w:rsidRPr="00944216" w:rsidRDefault="00D316C7" w:rsidP="00944216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>(4)</w:t>
            </w:r>
          </w:p>
        </w:tc>
        <w:tc>
          <w:tcPr>
            <w:tcW w:w="2858" w:type="dxa"/>
          </w:tcPr>
          <w:p w:rsidR="00D316C7" w:rsidRPr="00944216" w:rsidRDefault="00D316C7" w:rsidP="00944216">
            <w:pPr>
              <w:jc w:val="center"/>
              <w:rPr>
                <w:b/>
                <w:sz w:val="18"/>
              </w:rPr>
            </w:pPr>
            <w:r w:rsidRPr="00944216">
              <w:rPr>
                <w:b/>
                <w:sz w:val="18"/>
              </w:rPr>
              <w:t xml:space="preserve">Conditions for use </w:t>
            </w:r>
            <w:r w:rsidRPr="00944216">
              <w:rPr>
                <w:b/>
                <w:sz w:val="18"/>
              </w:rPr>
              <w:br/>
              <w:t>(5)</w:t>
            </w:r>
          </w:p>
        </w:tc>
      </w:tr>
      <w:tr w:rsidR="00D316C7" w:rsidRPr="00944216" w:rsidTr="00944216">
        <w:tc>
          <w:tcPr>
            <w:tcW w:w="817" w:type="dxa"/>
            <w:vMerge w:val="restart"/>
          </w:tcPr>
          <w:p w:rsidR="00D316C7" w:rsidRPr="00944216" w:rsidRDefault="00D316C7" w:rsidP="00944216">
            <w:pPr>
              <w:jc w:val="center"/>
              <w:rPr>
                <w:sz w:val="18"/>
              </w:rPr>
            </w:pPr>
            <w:r w:rsidRPr="00944216">
              <w:rPr>
                <w:sz w:val="18"/>
              </w:rPr>
              <w:t>P502</w:t>
            </w:r>
          </w:p>
        </w:tc>
        <w:tc>
          <w:tcPr>
            <w:tcW w:w="2410" w:type="dxa"/>
            <w:vMerge w:val="restart"/>
          </w:tcPr>
          <w:p w:rsidR="00D316C7" w:rsidRPr="00944216" w:rsidRDefault="00D316C7" w:rsidP="00944216">
            <w:pPr>
              <w:ind w:left="39"/>
              <w:rPr>
                <w:sz w:val="18"/>
              </w:rPr>
            </w:pPr>
            <w:r w:rsidRPr="00944216">
              <w:rPr>
                <w:sz w:val="18"/>
              </w:rPr>
              <w:t>Refer to manufacturer or supplier</w:t>
            </w:r>
            <w:r w:rsidRPr="00944216">
              <w:rPr>
                <w:b/>
                <w:sz w:val="18"/>
                <w:u w:val="single"/>
              </w:rPr>
              <w:t>/…</w:t>
            </w:r>
            <w:r w:rsidRPr="00944216">
              <w:rPr>
                <w:sz w:val="18"/>
              </w:rPr>
              <w:t xml:space="preserve"> for information on recovery</w:t>
            </w:r>
            <w:r w:rsidRPr="00944216">
              <w:rPr>
                <w:b/>
                <w:sz w:val="18"/>
                <w:u w:val="single"/>
              </w:rPr>
              <w:t xml:space="preserve"> </w:t>
            </w:r>
            <w:r w:rsidRPr="00944216">
              <w:rPr>
                <w:sz w:val="18"/>
              </w:rPr>
              <w:t xml:space="preserve">or recycling </w:t>
            </w:r>
            <w:r w:rsidRPr="00944216">
              <w:rPr>
                <w:b/>
                <w:sz w:val="18"/>
                <w:u w:val="single"/>
              </w:rPr>
              <w:t>[or disposal]</w:t>
            </w:r>
          </w:p>
        </w:tc>
        <w:tc>
          <w:tcPr>
            <w:tcW w:w="1456" w:type="dxa"/>
          </w:tcPr>
          <w:p w:rsidR="00D316C7" w:rsidRPr="00944216" w:rsidRDefault="00D316C7" w:rsidP="00944216">
            <w:pPr>
              <w:ind w:left="39" w:right="142"/>
              <w:jc w:val="center"/>
              <w:rPr>
                <w:b/>
                <w:sz w:val="18"/>
                <w:u w:val="single"/>
              </w:rPr>
            </w:pPr>
            <w:r w:rsidRPr="00944216">
              <w:rPr>
                <w:b/>
                <w:sz w:val="18"/>
                <w:u w:val="single"/>
              </w:rPr>
              <w:t>Explosives</w:t>
            </w:r>
            <w:r w:rsidRPr="00944216">
              <w:rPr>
                <w:b/>
                <w:sz w:val="18"/>
                <w:u w:val="single"/>
              </w:rPr>
              <w:br/>
              <w:t>(Chapter 2.1)</w:t>
            </w:r>
          </w:p>
        </w:tc>
        <w:tc>
          <w:tcPr>
            <w:tcW w:w="1701" w:type="dxa"/>
          </w:tcPr>
          <w:p w:rsidR="00D316C7" w:rsidRPr="00944216" w:rsidRDefault="00D316C7" w:rsidP="00944216">
            <w:pPr>
              <w:ind w:left="142" w:right="103"/>
              <w:jc w:val="center"/>
              <w:rPr>
                <w:b/>
                <w:sz w:val="18"/>
                <w:u w:val="single"/>
              </w:rPr>
            </w:pPr>
            <w:r w:rsidRPr="00944216">
              <w:rPr>
                <w:b/>
                <w:sz w:val="18"/>
                <w:u w:val="single"/>
              </w:rPr>
              <w:t>Unstable explosives and Divisions 1.1, 1.2, 1.3, 1.4, 1.5</w:t>
            </w:r>
          </w:p>
        </w:tc>
        <w:tc>
          <w:tcPr>
            <w:tcW w:w="2858" w:type="dxa"/>
            <w:vMerge w:val="restart"/>
          </w:tcPr>
          <w:p w:rsidR="00D316C7" w:rsidRPr="00944216" w:rsidRDefault="00D316C7" w:rsidP="00944216">
            <w:pPr>
              <w:ind w:left="38"/>
              <w:rPr>
                <w:b/>
                <w:sz w:val="18"/>
                <w:u w:val="single"/>
              </w:rPr>
            </w:pPr>
            <w:r w:rsidRPr="00944216">
              <w:rPr>
                <w:b/>
                <w:sz w:val="18"/>
                <w:u w:val="single"/>
              </w:rPr>
              <w:t>… Manufacturer/supplier or the competent authority to specify appropriate source of information.</w:t>
            </w:r>
            <w:r w:rsidRPr="00944216">
              <w:rPr>
                <w:b/>
                <w:sz w:val="18"/>
                <w:u w:val="single"/>
              </w:rPr>
              <w:br/>
            </w:r>
          </w:p>
          <w:p w:rsidR="00D316C7" w:rsidRPr="00944216" w:rsidRDefault="00D316C7" w:rsidP="00944216">
            <w:pPr>
              <w:ind w:left="38"/>
              <w:rPr>
                <w:b/>
                <w:i/>
                <w:sz w:val="18"/>
                <w:u w:val="single"/>
              </w:rPr>
            </w:pPr>
            <w:r w:rsidRPr="00944216">
              <w:rPr>
                <w:b/>
                <w:i/>
                <w:sz w:val="18"/>
                <w:u w:val="single"/>
              </w:rPr>
              <w:t>- Text in square brackets not to be used for</w:t>
            </w:r>
            <w:r w:rsidR="00944216">
              <w:rPr>
                <w:b/>
                <w:i/>
                <w:sz w:val="18"/>
                <w:u w:val="single"/>
              </w:rPr>
              <w:t xml:space="preserve"> h</w:t>
            </w:r>
            <w:r w:rsidRPr="00944216">
              <w:rPr>
                <w:b/>
                <w:i/>
                <w:sz w:val="18"/>
                <w:u w:val="single"/>
              </w:rPr>
              <w:t>azardous to the ozone layer</w:t>
            </w:r>
          </w:p>
        </w:tc>
      </w:tr>
      <w:tr w:rsidR="00D316C7" w:rsidRPr="00944216" w:rsidTr="00944216">
        <w:tc>
          <w:tcPr>
            <w:tcW w:w="817" w:type="dxa"/>
            <w:vMerge/>
          </w:tcPr>
          <w:p w:rsidR="00D316C7" w:rsidRPr="00944216" w:rsidRDefault="00D316C7" w:rsidP="00944216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D316C7" w:rsidRPr="00944216" w:rsidRDefault="00D316C7" w:rsidP="00944216">
            <w:pPr>
              <w:rPr>
                <w:sz w:val="18"/>
              </w:rPr>
            </w:pPr>
          </w:p>
        </w:tc>
        <w:tc>
          <w:tcPr>
            <w:tcW w:w="1456" w:type="dxa"/>
          </w:tcPr>
          <w:p w:rsidR="00D316C7" w:rsidRPr="00944216" w:rsidRDefault="00D316C7" w:rsidP="00944216">
            <w:pPr>
              <w:ind w:left="39" w:right="142"/>
              <w:jc w:val="center"/>
              <w:rPr>
                <w:sz w:val="18"/>
              </w:rPr>
            </w:pPr>
            <w:r w:rsidRPr="00944216">
              <w:rPr>
                <w:sz w:val="18"/>
              </w:rPr>
              <w:t>Hazardous to the ozone layer</w:t>
            </w:r>
            <w:r w:rsidRPr="00944216">
              <w:rPr>
                <w:sz w:val="18"/>
              </w:rPr>
              <w:br/>
              <w:t>(Chapter 4.2)</w:t>
            </w:r>
          </w:p>
        </w:tc>
        <w:tc>
          <w:tcPr>
            <w:tcW w:w="1701" w:type="dxa"/>
            <w:vAlign w:val="center"/>
          </w:tcPr>
          <w:p w:rsidR="00D316C7" w:rsidRPr="00944216" w:rsidRDefault="00D316C7" w:rsidP="00944216">
            <w:pPr>
              <w:ind w:left="142" w:right="103"/>
              <w:jc w:val="center"/>
              <w:rPr>
                <w:sz w:val="18"/>
              </w:rPr>
            </w:pPr>
            <w:r w:rsidRPr="00944216">
              <w:rPr>
                <w:sz w:val="18"/>
              </w:rPr>
              <w:t>1</w:t>
            </w:r>
          </w:p>
        </w:tc>
        <w:tc>
          <w:tcPr>
            <w:tcW w:w="2858" w:type="dxa"/>
            <w:vMerge/>
          </w:tcPr>
          <w:p w:rsidR="00D316C7" w:rsidRPr="00944216" w:rsidRDefault="00D316C7" w:rsidP="00944216">
            <w:pPr>
              <w:rPr>
                <w:b/>
                <w:sz w:val="18"/>
              </w:rPr>
            </w:pPr>
          </w:p>
        </w:tc>
      </w:tr>
    </w:tbl>
    <w:p w:rsidR="00C945EB" w:rsidRPr="00BA72B1" w:rsidRDefault="00BA72B1" w:rsidP="00FD50F8">
      <w:pPr>
        <w:pStyle w:val="HChG"/>
        <w:keepNext w:val="0"/>
        <w:keepLines w:val="0"/>
        <w:spacing w:before="0" w:after="0" w:line="240" w:lineRule="atLeast"/>
        <w:ind w:firstLine="0"/>
        <w:jc w:val="center"/>
        <w:rPr>
          <w:b w:val="0"/>
          <w:u w:val="single"/>
        </w:rPr>
      </w:pPr>
      <w:r w:rsidRPr="00BA72B1">
        <w:rPr>
          <w:b w:val="0"/>
          <w:u w:val="single"/>
        </w:rPr>
        <w:tab/>
      </w:r>
      <w:r w:rsidRPr="00BA72B1">
        <w:rPr>
          <w:b w:val="0"/>
          <w:u w:val="single"/>
        </w:rPr>
        <w:tab/>
      </w:r>
      <w:r w:rsidRPr="00BA72B1">
        <w:rPr>
          <w:b w:val="0"/>
          <w:u w:val="single"/>
        </w:rPr>
        <w:tab/>
      </w:r>
    </w:p>
    <w:sectPr w:rsidR="00C945EB" w:rsidRPr="00BA72B1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44216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E1BEF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CC5F28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D316C7">
      <w:t>UN/SCEGHS/</w:t>
    </w:r>
    <w:r w:rsidR="009F3D53" w:rsidRPr="00D316C7">
      <w:t>29</w:t>
    </w:r>
    <w:r w:rsidRPr="00D316C7">
      <w:t>/INF.</w:t>
    </w:r>
    <w:r w:rsidR="00D316C7" w:rsidRPr="00D316C7"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</w:t>
    </w:r>
    <w:proofErr w:type="spellStart"/>
    <w:r>
      <w:t>INF.xx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647"/>
    <w:rsid w:val="000931C0"/>
    <w:rsid w:val="000B175B"/>
    <w:rsid w:val="000B3A0F"/>
    <w:rsid w:val="000C6544"/>
    <w:rsid w:val="000E0415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D59D3"/>
    <w:rsid w:val="003107FA"/>
    <w:rsid w:val="003127A2"/>
    <w:rsid w:val="003229D8"/>
    <w:rsid w:val="0033745A"/>
    <w:rsid w:val="003642AF"/>
    <w:rsid w:val="00366CA7"/>
    <w:rsid w:val="0039277A"/>
    <w:rsid w:val="003972E0"/>
    <w:rsid w:val="003C2CC4"/>
    <w:rsid w:val="003C3936"/>
    <w:rsid w:val="003D4B23"/>
    <w:rsid w:val="003F1ED3"/>
    <w:rsid w:val="004325CB"/>
    <w:rsid w:val="00446DE4"/>
    <w:rsid w:val="00460DD9"/>
    <w:rsid w:val="00467F71"/>
    <w:rsid w:val="004A41CA"/>
    <w:rsid w:val="004E7ED6"/>
    <w:rsid w:val="00503228"/>
    <w:rsid w:val="00505384"/>
    <w:rsid w:val="00532EF8"/>
    <w:rsid w:val="005420F2"/>
    <w:rsid w:val="005B2C89"/>
    <w:rsid w:val="005B3DB3"/>
    <w:rsid w:val="005E22FE"/>
    <w:rsid w:val="00611FC4"/>
    <w:rsid w:val="006176FB"/>
    <w:rsid w:val="00627ED0"/>
    <w:rsid w:val="00640B26"/>
    <w:rsid w:val="00665595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950"/>
    <w:rsid w:val="008A6B25"/>
    <w:rsid w:val="008A6C4F"/>
    <w:rsid w:val="008B6E26"/>
    <w:rsid w:val="008E0E46"/>
    <w:rsid w:val="008E4C4C"/>
    <w:rsid w:val="00907AD2"/>
    <w:rsid w:val="00911047"/>
    <w:rsid w:val="00944216"/>
    <w:rsid w:val="00963CBA"/>
    <w:rsid w:val="009650E6"/>
    <w:rsid w:val="00974A8D"/>
    <w:rsid w:val="0099001C"/>
    <w:rsid w:val="00991261"/>
    <w:rsid w:val="009F3A17"/>
    <w:rsid w:val="009F3D53"/>
    <w:rsid w:val="00A1427D"/>
    <w:rsid w:val="00A55FB2"/>
    <w:rsid w:val="00A72F22"/>
    <w:rsid w:val="00A748A6"/>
    <w:rsid w:val="00A80459"/>
    <w:rsid w:val="00A805EB"/>
    <w:rsid w:val="00A879A4"/>
    <w:rsid w:val="00AA496B"/>
    <w:rsid w:val="00AE71F3"/>
    <w:rsid w:val="00B30179"/>
    <w:rsid w:val="00B30E8F"/>
    <w:rsid w:val="00B33EC0"/>
    <w:rsid w:val="00B81E12"/>
    <w:rsid w:val="00B97D28"/>
    <w:rsid w:val="00BA72B1"/>
    <w:rsid w:val="00BC74E9"/>
    <w:rsid w:val="00BD2146"/>
    <w:rsid w:val="00BE1BEF"/>
    <w:rsid w:val="00BE4F74"/>
    <w:rsid w:val="00BE618E"/>
    <w:rsid w:val="00C17699"/>
    <w:rsid w:val="00C1778D"/>
    <w:rsid w:val="00C41A28"/>
    <w:rsid w:val="00C463DD"/>
    <w:rsid w:val="00C745C3"/>
    <w:rsid w:val="00C945EB"/>
    <w:rsid w:val="00CC5F28"/>
    <w:rsid w:val="00CE4A8F"/>
    <w:rsid w:val="00D055EB"/>
    <w:rsid w:val="00D2031B"/>
    <w:rsid w:val="00D25FE2"/>
    <w:rsid w:val="00D316C7"/>
    <w:rsid w:val="00D317BB"/>
    <w:rsid w:val="00D35D8F"/>
    <w:rsid w:val="00D43252"/>
    <w:rsid w:val="00D63881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46A5B"/>
    <w:rsid w:val="00E70DF5"/>
    <w:rsid w:val="00E7260F"/>
    <w:rsid w:val="00E80F5F"/>
    <w:rsid w:val="00E87921"/>
    <w:rsid w:val="00E96630"/>
    <w:rsid w:val="00EA264E"/>
    <w:rsid w:val="00EA3A41"/>
    <w:rsid w:val="00ED7A2A"/>
    <w:rsid w:val="00EF1D7F"/>
    <w:rsid w:val="00F53EDA"/>
    <w:rsid w:val="00F7753D"/>
    <w:rsid w:val="00F85F34"/>
    <w:rsid w:val="00FA06F7"/>
    <w:rsid w:val="00FB171A"/>
    <w:rsid w:val="00FC09B8"/>
    <w:rsid w:val="00FC68B7"/>
    <w:rsid w:val="00FD4F7E"/>
    <w:rsid w:val="00FD50F8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8497-8ED2-47E6-A80B-792E17C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7</cp:revision>
  <cp:lastPrinted>2008-09-29T11:49:00Z</cp:lastPrinted>
  <dcterms:created xsi:type="dcterms:W3CDTF">2015-06-23T07:37:00Z</dcterms:created>
  <dcterms:modified xsi:type="dcterms:W3CDTF">2015-06-30T07:15:00Z</dcterms:modified>
</cp:coreProperties>
</file>