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541CF7" w:rsidRPr="0099001C" w:rsidTr="00531273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541CF7" w:rsidRPr="0099001C" w:rsidRDefault="00541CF7" w:rsidP="00541CF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>
              <w:rPr>
                <w:b/>
                <w:sz w:val="40"/>
                <w:szCs w:val="40"/>
              </w:rPr>
              <w:t>30</w:t>
            </w:r>
            <w:r w:rsidRPr="0099001C">
              <w:rPr>
                <w:b/>
                <w:sz w:val="40"/>
                <w:szCs w:val="40"/>
              </w:rPr>
              <w:t>/INF.</w:t>
            </w:r>
            <w:r>
              <w:rPr>
                <w:b/>
                <w:sz w:val="40"/>
                <w:szCs w:val="40"/>
              </w:rPr>
              <w:t>24</w:t>
            </w:r>
          </w:p>
        </w:tc>
      </w:tr>
      <w:tr w:rsidR="00541CF7" w:rsidTr="00531273">
        <w:trPr>
          <w:cantSplit/>
          <w:trHeight w:hRule="exact" w:val="2988"/>
        </w:trPr>
        <w:tc>
          <w:tcPr>
            <w:tcW w:w="9639" w:type="dxa"/>
            <w:tcBorders>
              <w:top w:val="single" w:sz="4" w:space="0" w:color="auto"/>
            </w:tcBorders>
          </w:tcPr>
          <w:p w:rsidR="00541CF7" w:rsidRPr="00691F20" w:rsidRDefault="00541CF7" w:rsidP="0053127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541CF7" w:rsidRPr="006E4850" w:rsidRDefault="00541CF7" w:rsidP="0053127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  <w:t xml:space="preserve">4 December </w:t>
            </w:r>
            <w:r w:rsidRPr="006E4850">
              <w:rPr>
                <w:b/>
                <w:lang w:val="en-US"/>
              </w:rPr>
              <w:t>2015</w:t>
            </w:r>
          </w:p>
          <w:p w:rsidR="00541CF7" w:rsidRPr="006E4850" w:rsidRDefault="00541CF7" w:rsidP="00531273">
            <w:pPr>
              <w:spacing w:before="120"/>
              <w:rPr>
                <w:b/>
              </w:rPr>
            </w:pPr>
            <w:r w:rsidRPr="006E4850">
              <w:rPr>
                <w:b/>
                <w:bCs/>
              </w:rPr>
              <w:t>Thirtieth session</w:t>
            </w:r>
          </w:p>
          <w:p w:rsidR="00541CF7" w:rsidRPr="006E4850" w:rsidRDefault="00541CF7" w:rsidP="00531273">
            <w:pPr>
              <w:jc w:val="both"/>
            </w:pPr>
            <w:r w:rsidRPr="006E4850">
              <w:t>Geneva, 9 – 11 December 2015</w:t>
            </w:r>
          </w:p>
          <w:p w:rsidR="00541CF7" w:rsidRPr="006E4850" w:rsidRDefault="00541CF7" w:rsidP="00531273">
            <w:pPr>
              <w:jc w:val="both"/>
              <w:rPr>
                <w:lang w:val="en-US"/>
              </w:rPr>
            </w:pPr>
            <w:r w:rsidRPr="006E4850">
              <w:rPr>
                <w:lang w:val="en-US"/>
              </w:rPr>
              <w:t xml:space="preserve">Item </w:t>
            </w:r>
            <w:r w:rsidR="00251EC7">
              <w:rPr>
                <w:lang w:val="en-US"/>
              </w:rPr>
              <w:t>4 (b</w:t>
            </w:r>
            <w:r w:rsidRPr="006E4850">
              <w:rPr>
                <w:lang w:val="en-US"/>
              </w:rPr>
              <w:t>) of the provisional agenda</w:t>
            </w:r>
          </w:p>
          <w:p w:rsidR="00541CF7" w:rsidRPr="00251EC7" w:rsidRDefault="00251EC7" w:rsidP="00251EC7">
            <w:pPr>
              <w:rPr>
                <w:b/>
              </w:rPr>
            </w:pPr>
            <w:r w:rsidRPr="00251EC7">
              <w:rPr>
                <w:b/>
              </w:rPr>
              <w:t>Hazard communication issues</w:t>
            </w:r>
            <w:r w:rsidRPr="00251EC7">
              <w:rPr>
                <w:b/>
              </w:rPr>
              <w:t>: i</w:t>
            </w:r>
            <w:r w:rsidRPr="00251EC7">
              <w:rPr>
                <w:b/>
              </w:rPr>
              <w:t xml:space="preserve">mprovement of annexes 1 to 3 </w:t>
            </w:r>
            <w:r w:rsidRPr="00251EC7">
              <w:rPr>
                <w:b/>
              </w:rPr>
              <w:br/>
            </w:r>
            <w:r w:rsidRPr="00251EC7">
              <w:rPr>
                <w:b/>
              </w:rPr>
              <w:t>and further rationalization of precautionary statements</w:t>
            </w:r>
          </w:p>
        </w:tc>
      </w:tr>
    </w:tbl>
    <w:p w:rsidR="00654723" w:rsidRDefault="00654723" w:rsidP="00654723">
      <w:pPr>
        <w:pStyle w:val="HChG"/>
      </w:pPr>
      <w:r>
        <w:tab/>
      </w:r>
      <w:r>
        <w:tab/>
      </w:r>
      <w:r w:rsidR="00FE0ED4">
        <w:t xml:space="preserve">Alternative </w:t>
      </w:r>
      <w:r>
        <w:t xml:space="preserve">precautionary statement for </w:t>
      </w:r>
      <w:r w:rsidR="00FA62D0">
        <w:t xml:space="preserve">disposal of </w:t>
      </w:r>
      <w:r>
        <w:t>e</w:t>
      </w:r>
      <w:r w:rsidRPr="007B00ED">
        <w:t>xplosives</w:t>
      </w:r>
    </w:p>
    <w:p w:rsidR="00654723" w:rsidRDefault="00654723" w:rsidP="00654723">
      <w:pPr>
        <w:pStyle w:val="H1G"/>
      </w:pPr>
      <w:r>
        <w:tab/>
      </w:r>
      <w:r>
        <w:tab/>
        <w:t xml:space="preserve">Transmitted by the </w:t>
      </w:r>
      <w:r w:rsidR="00251EC7">
        <w:t>Sporting Arms and</w:t>
      </w:r>
      <w:r w:rsidR="002F2C43">
        <w:t xml:space="preserve"> Ammunition Manufacturers’ Institute</w:t>
      </w:r>
    </w:p>
    <w:p w:rsidR="00654723" w:rsidRDefault="002F2C43" w:rsidP="002F2C43">
      <w:pPr>
        <w:pStyle w:val="SingleTxtG"/>
      </w:pPr>
      <w:r>
        <w:t>1.</w:t>
      </w:r>
      <w:r>
        <w:tab/>
        <w:t xml:space="preserve">Based on a request from France in UN/SCETDG/48/INF.36 / UN/SCEGHS/30/INF.11, the explosives working group of the </w:t>
      </w:r>
      <w:r w:rsidR="00251EC7">
        <w:t>TDG Sub-Committee</w:t>
      </w:r>
      <w:r>
        <w:t xml:space="preserve"> reviewed the proposal from Sweden</w:t>
      </w:r>
      <w:r w:rsidRPr="002F2C43">
        <w:t xml:space="preserve"> ST/SG/AC.10/C.4/2015/9</w:t>
      </w:r>
      <w:r>
        <w:t xml:space="preserve"> for further modifications to P502. Although this had been decided at the last meeting</w:t>
      </w:r>
      <w:r w:rsidR="00AE3956">
        <w:t xml:space="preserve"> of the SCEGHS</w:t>
      </w:r>
      <w:r>
        <w:t xml:space="preserve">, and was previously discussed before that, it was a new topic of discussion for the working group. </w:t>
      </w:r>
    </w:p>
    <w:p w:rsidR="002F2C43" w:rsidRDefault="002F2C43" w:rsidP="002F2C43">
      <w:pPr>
        <w:pStyle w:val="SingleTxtG"/>
      </w:pPr>
      <w:r>
        <w:t>2.</w:t>
      </w:r>
      <w:r>
        <w:tab/>
      </w:r>
      <w:r w:rsidR="00AE3956">
        <w:t xml:space="preserve">Many explosives </w:t>
      </w:r>
      <w:r>
        <w:t>experts were particularly concerned that the inclusion of text about “</w:t>
      </w:r>
      <w:r w:rsidRPr="002A3DBB">
        <w:rPr>
          <w:bCs/>
        </w:rPr>
        <w:t>recovery or recycling</w:t>
      </w:r>
      <w:r>
        <w:rPr>
          <w:bCs/>
        </w:rPr>
        <w:t xml:space="preserve">” could create unsafe situations, as </w:t>
      </w:r>
      <w:r w:rsidR="00574469">
        <w:rPr>
          <w:bCs/>
        </w:rPr>
        <w:t xml:space="preserve">for explosives </w:t>
      </w:r>
      <w:r>
        <w:rPr>
          <w:bCs/>
        </w:rPr>
        <w:t xml:space="preserve">these operations may only be undertaken </w:t>
      </w:r>
      <w:r w:rsidR="001D786A">
        <w:rPr>
          <w:bCs/>
        </w:rPr>
        <w:t xml:space="preserve">safely </w:t>
      </w:r>
      <w:r>
        <w:rPr>
          <w:bCs/>
        </w:rPr>
        <w:t xml:space="preserve">by specialists. </w:t>
      </w:r>
      <w:r w:rsidR="001D786A">
        <w:rPr>
          <w:bCs/>
        </w:rPr>
        <w:t xml:space="preserve">Further, the term disposal may be considered for purposes of explosives to include recovery or </w:t>
      </w:r>
      <w:r w:rsidR="00D27828">
        <w:rPr>
          <w:bCs/>
        </w:rPr>
        <w:t>recycling</w:t>
      </w:r>
      <w:r w:rsidR="00AE3956">
        <w:rPr>
          <w:bCs/>
        </w:rPr>
        <w:t>,</w:t>
      </w:r>
      <w:r w:rsidR="001D786A">
        <w:rPr>
          <w:bCs/>
        </w:rPr>
        <w:t xml:space="preserve"> when appropriate.</w:t>
      </w:r>
    </w:p>
    <w:p w:rsidR="00541CF7" w:rsidRDefault="001D786A">
      <w:pPr>
        <w:pStyle w:val="SingleTxtG"/>
      </w:pPr>
      <w:r>
        <w:t>3</w:t>
      </w:r>
      <w:r w:rsidR="002F2C43">
        <w:t>.</w:t>
      </w:r>
      <w:r w:rsidR="002F2C43">
        <w:tab/>
        <w:t xml:space="preserve">As will be shown in their report, the explosives </w:t>
      </w:r>
      <w:r w:rsidR="002F2C43" w:rsidRPr="00A51CA7">
        <w:t xml:space="preserve">working group found the options proposed in </w:t>
      </w:r>
      <w:r w:rsidR="00251EC7">
        <w:t>ST/SG/AC.10/</w:t>
      </w:r>
      <w:r w:rsidR="002F2C43" w:rsidRPr="00A51CA7">
        <w:t>C.4/2015/9 to be difficult to read and comprehend and it recommends that a separate precautionary statement for explosives (P5</w:t>
      </w:r>
      <w:r w:rsidR="00AB643F">
        <w:t>03</w:t>
      </w:r>
      <w:r w:rsidR="002F2C43" w:rsidRPr="00A51CA7">
        <w:t>) be developed.</w:t>
      </w:r>
      <w:r w:rsidR="002F2C43">
        <w:t xml:space="preserve">  SAAMI has undertaken to provide </w:t>
      </w:r>
      <w:r w:rsidR="000E4D1C">
        <w:t>this</w:t>
      </w:r>
      <w:r w:rsidR="002F2C43">
        <w:t xml:space="preserve"> proposal which would implement the views of the working group.</w:t>
      </w:r>
    </w:p>
    <w:p w:rsidR="005B3A51" w:rsidRDefault="001D786A">
      <w:pPr>
        <w:pStyle w:val="SingleTxtG"/>
      </w:pPr>
      <w:r>
        <w:t>4</w:t>
      </w:r>
      <w:r w:rsidR="00654723">
        <w:t xml:space="preserve">. </w:t>
      </w:r>
      <w:r w:rsidR="00BA3FAD">
        <w:tab/>
      </w:r>
      <w:r w:rsidR="000E4D1C">
        <w:t xml:space="preserve">The explosives working group </w:t>
      </w:r>
      <w:r>
        <w:t xml:space="preserve">particularly benefitted from the participation of the expert from Sweden. It was </w:t>
      </w:r>
      <w:r w:rsidR="00AE3956">
        <w:t xml:space="preserve">mentioned </w:t>
      </w:r>
      <w:r>
        <w:t>that</w:t>
      </w:r>
      <w:r w:rsidR="00AE3956">
        <w:t xml:space="preserve"> </w:t>
      </w:r>
      <w:r>
        <w:t xml:space="preserve">Sweden’s </w:t>
      </w:r>
      <w:r w:rsidR="005B3A51">
        <w:t xml:space="preserve">original </w:t>
      </w:r>
      <w:r>
        <w:t>idea was already a new P503 for explosives (</w:t>
      </w:r>
      <w:r w:rsidR="00AE3956">
        <w:t xml:space="preserve">see </w:t>
      </w:r>
      <w:r w:rsidR="00251EC7">
        <w:t>UN/SCEGHS/25/INF18</w:t>
      </w:r>
      <w:r w:rsidR="00AE3956">
        <w:t xml:space="preserve"> from the 25th session</w:t>
      </w:r>
      <w:r w:rsidR="005B3A51">
        <w:t xml:space="preserve">), and the current </w:t>
      </w:r>
      <w:r>
        <w:t xml:space="preserve">proposal from SAAMI is therefore in line with Sweden’s initial </w:t>
      </w:r>
      <w:r w:rsidR="005B3A51">
        <w:t>thoughts</w:t>
      </w:r>
      <w:r>
        <w:t xml:space="preserve">. </w:t>
      </w:r>
      <w:r w:rsidR="005B3A51">
        <w:t>The expert from Sweden</w:t>
      </w:r>
      <w:r w:rsidR="00AB643F">
        <w:t xml:space="preserve"> explained that the </w:t>
      </w:r>
      <w:r>
        <w:t xml:space="preserve">reason </w:t>
      </w:r>
      <w:r w:rsidR="00AE3956">
        <w:t xml:space="preserve">that </w:t>
      </w:r>
      <w:r>
        <w:t xml:space="preserve">Sweden </w:t>
      </w:r>
      <w:r w:rsidR="00AE3956">
        <w:t>did not pursue that line</w:t>
      </w:r>
      <w:r>
        <w:t xml:space="preserve"> was</w:t>
      </w:r>
      <w:r w:rsidR="005B3A51">
        <w:t xml:space="preserve"> a belief</w:t>
      </w:r>
      <w:r>
        <w:t xml:space="preserve"> that </w:t>
      </w:r>
      <w:r w:rsidR="00AE3956">
        <w:t>a modification of the existing P502</w:t>
      </w:r>
      <w:r>
        <w:t xml:space="preserve"> </w:t>
      </w:r>
      <w:r w:rsidR="005B3A51">
        <w:t>would</w:t>
      </w:r>
      <w:r w:rsidR="00AB643F">
        <w:t xml:space="preserve"> </w:t>
      </w:r>
      <w:r>
        <w:t>be a faster way to achieve a functional P-statement for disposal of explosives</w:t>
      </w:r>
      <w:r w:rsidR="00AB643F">
        <w:t>. S</w:t>
      </w:r>
      <w:r w:rsidR="008D01E6">
        <w:t>weden stated that s</w:t>
      </w:r>
      <w:r w:rsidR="00AB643F">
        <w:t xml:space="preserve">uch a P-statement is </w:t>
      </w:r>
      <w:r w:rsidR="005B3A51">
        <w:t>a requirement</w:t>
      </w:r>
      <w:r w:rsidR="00AB643F">
        <w:t xml:space="preserve"> for</w:t>
      </w:r>
      <w:r w:rsidR="005B3A51">
        <w:t xml:space="preserve"> all products</w:t>
      </w:r>
      <w:r w:rsidR="00AB643F">
        <w:t xml:space="preserve"> supplied to the general public</w:t>
      </w:r>
      <w:r w:rsidR="005B3A51">
        <w:t>, including explosives,</w:t>
      </w:r>
      <w:r w:rsidR="00AB643F">
        <w:t xml:space="preserve"> according to the European CLP-regulation, as further explained in Sweden’s previous papers</w:t>
      </w:r>
      <w:r>
        <w:t xml:space="preserve"> (</w:t>
      </w:r>
      <w:r w:rsidR="00251EC7">
        <w:t>UN/SCEGHS/25/INF18 and</w:t>
      </w:r>
      <w:r w:rsidR="00AB643F">
        <w:t xml:space="preserve"> </w:t>
      </w:r>
      <w:r w:rsidR="00251EC7">
        <w:t>ST/SG/AC10/C4/2015/</w:t>
      </w:r>
      <w:r>
        <w:t xml:space="preserve">5e). </w:t>
      </w:r>
      <w:r w:rsidR="00AE3956">
        <w:t xml:space="preserve"> </w:t>
      </w:r>
    </w:p>
    <w:p w:rsidR="001D786A" w:rsidRDefault="005B3A51" w:rsidP="001D786A">
      <w:pPr>
        <w:pStyle w:val="SingleTxtG"/>
      </w:pPr>
      <w:r>
        <w:t xml:space="preserve">5. </w:t>
      </w:r>
      <w:r w:rsidR="00307E04">
        <w:tab/>
      </w:r>
      <w:r w:rsidR="001D786A">
        <w:t xml:space="preserve">The current paper from Sweden </w:t>
      </w:r>
      <w:r w:rsidR="00BF602E">
        <w:t xml:space="preserve">ST/SG/AC.10/C.4/2015/9 </w:t>
      </w:r>
      <w:r w:rsidR="001D786A">
        <w:t>is just a minor amendment to</w:t>
      </w:r>
      <w:r>
        <w:t xml:space="preserve"> the modified P502 already decided by the SCEGHS at its 29th session (</w:t>
      </w:r>
      <w:r w:rsidR="00C32853">
        <w:t xml:space="preserve">see the report, </w:t>
      </w:r>
      <w:r w:rsidR="00C32853" w:rsidRPr="00C32853">
        <w:t>ST/SG/AC.10/C.4/58</w:t>
      </w:r>
      <w:r>
        <w:t>), inten</w:t>
      </w:r>
      <w:r w:rsidR="00AE3956">
        <w:t>d</w:t>
      </w:r>
      <w:r>
        <w:t>ed to clarify that</w:t>
      </w:r>
      <w:r w:rsidR="001D786A">
        <w:t xml:space="preserve"> the word disposal </w:t>
      </w:r>
      <w:r>
        <w:t xml:space="preserve">is </w:t>
      </w:r>
      <w:r w:rsidR="001D786A">
        <w:t>mandatory when applying P502 to explosives</w:t>
      </w:r>
      <w:r>
        <w:t xml:space="preserve">. This </w:t>
      </w:r>
      <w:r w:rsidR="00C32853">
        <w:t xml:space="preserve">is because </w:t>
      </w:r>
      <w:r w:rsidR="001D786A">
        <w:t>disposal – not recovery/recycling - would be the normal way to get rid of expired/non-functioning explosives.</w:t>
      </w:r>
    </w:p>
    <w:p w:rsidR="004E0D8B" w:rsidRDefault="005B3A51" w:rsidP="001D786A">
      <w:pPr>
        <w:pStyle w:val="SingleTxtG"/>
      </w:pPr>
      <w:r>
        <w:t>6</w:t>
      </w:r>
      <w:r w:rsidR="004E0D8B">
        <w:t>.</w:t>
      </w:r>
      <w:r w:rsidR="004E0D8B">
        <w:tab/>
      </w:r>
      <w:r>
        <w:t>In order to avoid referring to recovery and recycling for explosives, which</w:t>
      </w:r>
      <w:r w:rsidR="00AE3956">
        <w:t xml:space="preserve"> </w:t>
      </w:r>
      <w:r>
        <w:t>could lead to unsafe handling and</w:t>
      </w:r>
      <w:r w:rsidR="00AE3956">
        <w:t xml:space="preserve"> which</w:t>
      </w:r>
      <w:r>
        <w:t xml:space="preserve"> is not the normal way to dispose of explosives, </w:t>
      </w:r>
      <w:r w:rsidR="004E0D8B">
        <w:t xml:space="preserve">SAAMI </w:t>
      </w:r>
      <w:r w:rsidR="004E0D8B">
        <w:lastRenderedPageBreak/>
        <w:t>proposes to create a new precautionary statement sol</w:t>
      </w:r>
      <w:r w:rsidR="00BF602E">
        <w:t>ely for explosives</w:t>
      </w:r>
      <w:r>
        <w:t xml:space="preserve">, </w:t>
      </w:r>
      <w:r w:rsidR="008E0792">
        <w:t xml:space="preserve">similar to that of P502 but </w:t>
      </w:r>
      <w:r>
        <w:t>omitting those words.</w:t>
      </w:r>
      <w:r w:rsidR="00BF602E">
        <w:t xml:space="preserve"> </w:t>
      </w:r>
      <w:r>
        <w:t xml:space="preserve">Consequently, </w:t>
      </w:r>
      <w:r w:rsidR="004E0D8B">
        <w:t>P502</w:t>
      </w:r>
      <w:r>
        <w:t xml:space="preserve"> would then have to be returned to its original wording as in the 6th revised edition of the GHS, since it will then again only apply to </w:t>
      </w:r>
      <w:r w:rsidR="004E0D8B">
        <w:t>chemicals</w:t>
      </w:r>
      <w:r>
        <w:t xml:space="preserve"> classified as</w:t>
      </w:r>
      <w:r w:rsidR="004E0D8B">
        <w:t xml:space="preserve"> </w:t>
      </w:r>
      <w:r w:rsidR="00365AEC">
        <w:t>h</w:t>
      </w:r>
      <w:bookmarkStart w:id="0" w:name="_GoBack"/>
      <w:bookmarkEnd w:id="0"/>
      <w:r w:rsidR="004E0D8B">
        <w:t xml:space="preserve">azardous to the ozone </w:t>
      </w:r>
      <w:r>
        <w:t xml:space="preserve">layer. </w:t>
      </w:r>
      <w:r w:rsidR="00BF602E">
        <w:t>This will be more effective for explosives and will be more comprehensible for chemicals hazardous to the ozone</w:t>
      </w:r>
      <w:r>
        <w:t xml:space="preserve"> layer</w:t>
      </w:r>
      <w:r w:rsidR="00BF602E">
        <w:t>.</w:t>
      </w:r>
    </w:p>
    <w:p w:rsidR="002A3DBB" w:rsidRDefault="002A3DBB" w:rsidP="002A3DBB">
      <w:pPr>
        <w:pStyle w:val="HChG"/>
      </w:pPr>
      <w:r>
        <w:tab/>
      </w:r>
      <w:r>
        <w:tab/>
        <w:t>Proposal</w:t>
      </w:r>
    </w:p>
    <w:p w:rsidR="004E0D8B" w:rsidRPr="00920CE7" w:rsidRDefault="008D01E6" w:rsidP="00A03889">
      <w:pPr>
        <w:pStyle w:val="SingleTxtG"/>
        <w:rPr>
          <w:b/>
          <w:i/>
        </w:rPr>
      </w:pPr>
      <w:r>
        <w:t>7</w:t>
      </w:r>
      <w:r w:rsidR="002A3DBB">
        <w:t>.</w:t>
      </w:r>
      <w:r w:rsidR="002A3DBB">
        <w:tab/>
      </w:r>
      <w:r w:rsidR="003803EC">
        <w:t xml:space="preserve">Add </w:t>
      </w:r>
      <w:r w:rsidR="00920CE7">
        <w:t xml:space="preserve">the following </w:t>
      </w:r>
      <w:r w:rsidR="00507EC9">
        <w:t xml:space="preserve">new </w:t>
      </w:r>
      <w:r w:rsidR="004E0D8B">
        <w:t>precauti</w:t>
      </w:r>
      <w:r w:rsidR="00507EC9">
        <w:t>o</w:t>
      </w:r>
      <w:r w:rsidR="004E0D8B">
        <w:t xml:space="preserve">nary statement </w:t>
      </w:r>
      <w:r w:rsidR="00977125">
        <w:t>to</w:t>
      </w:r>
      <w:r w:rsidR="002A3DBB">
        <w:t xml:space="preserve"> Table A3.2.</w:t>
      </w:r>
      <w:r w:rsidR="00977125">
        <w:t>5</w:t>
      </w:r>
      <w:r w:rsidR="002A3DBB">
        <w:t xml:space="preserve"> o</w:t>
      </w:r>
      <w:r w:rsidR="004E0D8B">
        <w:t>f Annex 3 Section 2 of the GHS.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2"/>
        <w:gridCol w:w="2514"/>
        <w:gridCol w:w="1626"/>
        <w:gridCol w:w="1626"/>
        <w:gridCol w:w="3021"/>
      </w:tblGrid>
      <w:tr w:rsidR="002A3DBB" w:rsidRPr="002A3DBB" w:rsidTr="003803EC">
        <w:tc>
          <w:tcPr>
            <w:tcW w:w="852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Code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(1)</w:t>
            </w:r>
          </w:p>
          <w:p w:rsidR="002A3DBB" w:rsidRPr="002A3DBB" w:rsidRDefault="002A3DBB" w:rsidP="002F2C43">
            <w:pPr>
              <w:jc w:val="center"/>
            </w:pPr>
          </w:p>
        </w:tc>
        <w:tc>
          <w:tcPr>
            <w:tcW w:w="2514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Disposal precautionary statements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(2)</w:t>
            </w:r>
          </w:p>
        </w:tc>
        <w:tc>
          <w:tcPr>
            <w:tcW w:w="1626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class</w:t>
            </w:r>
          </w:p>
          <w:p w:rsidR="002A3DBB" w:rsidRPr="002A3DBB" w:rsidRDefault="002A3DBB" w:rsidP="002F2C43">
            <w:pPr>
              <w:jc w:val="center"/>
            </w:pPr>
            <w:r w:rsidRPr="002A3DBB">
              <w:rPr>
                <w:b/>
                <w:bCs/>
              </w:rPr>
              <w:t>(3)</w:t>
            </w:r>
          </w:p>
        </w:tc>
        <w:tc>
          <w:tcPr>
            <w:tcW w:w="1626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category</w:t>
            </w:r>
          </w:p>
          <w:p w:rsidR="002A3DBB" w:rsidRPr="002A3DBB" w:rsidRDefault="002A3DBB" w:rsidP="002F2C43">
            <w:pPr>
              <w:jc w:val="center"/>
            </w:pPr>
            <w:r w:rsidRPr="002A3DBB">
              <w:rPr>
                <w:b/>
                <w:bCs/>
              </w:rPr>
              <w:t>(4)</w:t>
            </w:r>
          </w:p>
        </w:tc>
        <w:tc>
          <w:tcPr>
            <w:tcW w:w="3021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Conditions for use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(5)</w:t>
            </w:r>
          </w:p>
          <w:p w:rsidR="002A3DBB" w:rsidRPr="002A3DBB" w:rsidRDefault="002A3DBB" w:rsidP="002F2C43">
            <w:pPr>
              <w:jc w:val="center"/>
            </w:pPr>
          </w:p>
        </w:tc>
      </w:tr>
      <w:tr w:rsidR="002A3DBB" w:rsidRPr="002A3DBB" w:rsidTr="003803EC">
        <w:tc>
          <w:tcPr>
            <w:tcW w:w="852" w:type="dxa"/>
          </w:tcPr>
          <w:p w:rsidR="002A3DBB" w:rsidRPr="002A3DBB" w:rsidRDefault="00AB643F" w:rsidP="00AB643F">
            <w:pPr>
              <w:jc w:val="center"/>
            </w:pPr>
            <w:r w:rsidRPr="002A3DBB">
              <w:t>P5</w:t>
            </w:r>
            <w:r>
              <w:t>03</w:t>
            </w:r>
          </w:p>
        </w:tc>
        <w:tc>
          <w:tcPr>
            <w:tcW w:w="2514" w:type="dxa"/>
          </w:tcPr>
          <w:p w:rsidR="002A3DBB" w:rsidRPr="002A3DBB" w:rsidRDefault="002A3DBB" w:rsidP="002F2C43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bCs/>
                <w:sz w:val="20"/>
                <w:szCs w:val="20"/>
                <w:lang w:val="en-GB"/>
              </w:rPr>
              <w:t>Refer t</w:t>
            </w:r>
            <w:r w:rsidR="00BF602E">
              <w:rPr>
                <w:bCs/>
                <w:sz w:val="20"/>
                <w:szCs w:val="20"/>
                <w:lang w:val="en-GB"/>
              </w:rPr>
              <w:t>o manufacturer</w:t>
            </w:r>
            <w:r w:rsidR="00AB643F">
              <w:rPr>
                <w:bCs/>
                <w:sz w:val="20"/>
                <w:szCs w:val="20"/>
                <w:lang w:val="en-GB"/>
              </w:rPr>
              <w:t>/</w:t>
            </w:r>
            <w:r w:rsidR="00BF602E">
              <w:rPr>
                <w:bCs/>
                <w:sz w:val="20"/>
                <w:szCs w:val="20"/>
                <w:lang w:val="en-GB"/>
              </w:rPr>
              <w:t>supplier</w:t>
            </w:r>
            <w:r w:rsidR="00AB643F">
              <w:rPr>
                <w:bCs/>
                <w:sz w:val="20"/>
                <w:szCs w:val="20"/>
                <w:lang w:val="en-GB"/>
              </w:rPr>
              <w:t>/…</w:t>
            </w:r>
            <w:r w:rsidR="00BF602E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2A3DBB">
              <w:rPr>
                <w:bCs/>
                <w:sz w:val="20"/>
                <w:szCs w:val="20"/>
                <w:lang w:val="en-GB"/>
              </w:rPr>
              <w:t xml:space="preserve">for information on </w:t>
            </w:r>
            <w:r w:rsidR="003803EC">
              <w:rPr>
                <w:bCs/>
                <w:sz w:val="20"/>
                <w:szCs w:val="20"/>
                <w:lang w:val="en-GB"/>
              </w:rPr>
              <w:t>disposal</w:t>
            </w:r>
            <w:r w:rsidR="00AB643F">
              <w:rPr>
                <w:bCs/>
                <w:sz w:val="20"/>
                <w:szCs w:val="20"/>
                <w:lang w:val="en-GB"/>
              </w:rPr>
              <w:t>.</w:t>
            </w:r>
          </w:p>
          <w:p w:rsidR="002A3DBB" w:rsidRPr="002A3DBB" w:rsidRDefault="002A3DBB" w:rsidP="002F2C43"/>
        </w:tc>
        <w:tc>
          <w:tcPr>
            <w:tcW w:w="1626" w:type="dxa"/>
          </w:tcPr>
          <w:p w:rsidR="002A3DBB" w:rsidRPr="007777B0" w:rsidRDefault="002A3DBB" w:rsidP="00A03889">
            <w:pPr>
              <w:pStyle w:val="Default"/>
              <w:spacing w:after="120"/>
              <w:rPr>
                <w:sz w:val="20"/>
                <w:szCs w:val="20"/>
                <w:lang w:val="en-GB"/>
              </w:rPr>
            </w:pPr>
            <w:r w:rsidRPr="007777B0">
              <w:rPr>
                <w:sz w:val="20"/>
                <w:szCs w:val="20"/>
                <w:lang w:val="en-GB"/>
              </w:rPr>
              <w:t xml:space="preserve">Explosives (Chapter 2.1) </w:t>
            </w:r>
          </w:p>
          <w:p w:rsidR="002A3DBB" w:rsidRPr="002A3DBB" w:rsidRDefault="002A3DBB" w:rsidP="002F2C43"/>
        </w:tc>
        <w:tc>
          <w:tcPr>
            <w:tcW w:w="1626" w:type="dxa"/>
          </w:tcPr>
          <w:p w:rsidR="002A3DBB" w:rsidRPr="007777B0" w:rsidRDefault="002A3DBB" w:rsidP="00A03889">
            <w:pPr>
              <w:pStyle w:val="Default"/>
              <w:spacing w:after="120"/>
              <w:rPr>
                <w:sz w:val="20"/>
                <w:szCs w:val="20"/>
                <w:lang w:val="en-GB"/>
              </w:rPr>
            </w:pPr>
            <w:r w:rsidRPr="007777B0">
              <w:rPr>
                <w:sz w:val="20"/>
                <w:szCs w:val="20"/>
                <w:lang w:val="en-GB"/>
              </w:rPr>
              <w:t>Unstable explosives and Divisions 1.1, 1.2, 1.3, 1.4, 1.5</w:t>
            </w:r>
          </w:p>
          <w:p w:rsidR="002A3DBB" w:rsidRPr="002A3DBB" w:rsidRDefault="002A3DBB" w:rsidP="004C4522">
            <w:pPr>
              <w:jc w:val="center"/>
            </w:pPr>
          </w:p>
        </w:tc>
        <w:tc>
          <w:tcPr>
            <w:tcW w:w="3021" w:type="dxa"/>
          </w:tcPr>
          <w:p w:rsidR="002A3DBB" w:rsidRPr="002A3DBB" w:rsidRDefault="002A3DBB" w:rsidP="002F2C43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sz w:val="20"/>
                <w:szCs w:val="20"/>
                <w:lang w:val="en-GB"/>
              </w:rPr>
              <w:t xml:space="preserve">… Manufacturer/supplier or the competent authority to specify appropriate source of information, in accordance with local/regional/national/ </w:t>
            </w:r>
          </w:p>
          <w:p w:rsidR="002A3DBB" w:rsidRPr="003803EC" w:rsidRDefault="002A3DBB" w:rsidP="002F2C43">
            <w:r w:rsidRPr="002A3DBB">
              <w:t xml:space="preserve">international regulations as applicable </w:t>
            </w:r>
          </w:p>
          <w:p w:rsidR="00C954B3" w:rsidRPr="00E16B97" w:rsidRDefault="00C954B3" w:rsidP="002F2C43">
            <w:pPr>
              <w:rPr>
                <w:b/>
                <w:i/>
                <w:u w:val="single"/>
              </w:rPr>
            </w:pPr>
          </w:p>
        </w:tc>
      </w:tr>
    </w:tbl>
    <w:p w:rsidR="00920CE7" w:rsidRPr="00920CE7" w:rsidRDefault="008D01E6" w:rsidP="00307E04">
      <w:pPr>
        <w:pStyle w:val="SingleTxtG"/>
        <w:spacing w:before="240"/>
        <w:rPr>
          <w:b/>
          <w:i/>
        </w:rPr>
      </w:pPr>
      <w:r>
        <w:t>8</w:t>
      </w:r>
      <w:r w:rsidR="00977125">
        <w:t>.</w:t>
      </w:r>
      <w:r w:rsidR="00977125">
        <w:tab/>
        <w:t>Revise P502 back to the text of the GHS sixth revised edition in Table A3.2.5 of Annex 3 Section 2 of the GHS: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52"/>
        <w:gridCol w:w="2514"/>
        <w:gridCol w:w="1626"/>
        <w:gridCol w:w="1626"/>
        <w:gridCol w:w="3021"/>
      </w:tblGrid>
      <w:tr w:rsidR="002A3DBB" w:rsidRPr="002A3DBB" w:rsidTr="00977125">
        <w:tc>
          <w:tcPr>
            <w:tcW w:w="852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Code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(1)</w:t>
            </w:r>
          </w:p>
          <w:p w:rsidR="002A3DBB" w:rsidRPr="002A3DBB" w:rsidRDefault="002A3DBB" w:rsidP="002F2C43">
            <w:pPr>
              <w:jc w:val="center"/>
            </w:pPr>
          </w:p>
        </w:tc>
        <w:tc>
          <w:tcPr>
            <w:tcW w:w="2514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Disposal precautionary statements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(2)</w:t>
            </w:r>
          </w:p>
        </w:tc>
        <w:tc>
          <w:tcPr>
            <w:tcW w:w="1626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class</w:t>
            </w:r>
          </w:p>
          <w:p w:rsidR="002A3DBB" w:rsidRPr="002A3DBB" w:rsidRDefault="002A3DBB" w:rsidP="002F2C43">
            <w:pPr>
              <w:jc w:val="center"/>
            </w:pPr>
            <w:r w:rsidRPr="002A3DBB">
              <w:rPr>
                <w:b/>
                <w:bCs/>
              </w:rPr>
              <w:t>(3)</w:t>
            </w:r>
          </w:p>
        </w:tc>
        <w:tc>
          <w:tcPr>
            <w:tcW w:w="1626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>Hazard category</w:t>
            </w:r>
          </w:p>
          <w:p w:rsidR="002A3DBB" w:rsidRPr="002A3DBB" w:rsidRDefault="002A3DBB" w:rsidP="002F2C43">
            <w:pPr>
              <w:jc w:val="center"/>
            </w:pPr>
            <w:r w:rsidRPr="002A3DBB">
              <w:rPr>
                <w:b/>
                <w:bCs/>
              </w:rPr>
              <w:t>(4)</w:t>
            </w:r>
          </w:p>
        </w:tc>
        <w:tc>
          <w:tcPr>
            <w:tcW w:w="3021" w:type="dxa"/>
          </w:tcPr>
          <w:p w:rsidR="002A3DBB" w:rsidRPr="002A3DBB" w:rsidRDefault="002A3DBB" w:rsidP="002F2C43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2A3DBB">
              <w:rPr>
                <w:b/>
                <w:bCs/>
                <w:sz w:val="20"/>
                <w:szCs w:val="20"/>
                <w:lang w:val="en-GB"/>
              </w:rPr>
              <w:t xml:space="preserve">Conditions for use </w:t>
            </w:r>
            <w:r w:rsidRPr="002A3DBB">
              <w:rPr>
                <w:b/>
                <w:bCs/>
                <w:sz w:val="20"/>
                <w:szCs w:val="20"/>
                <w:lang w:val="en-GB"/>
              </w:rPr>
              <w:br/>
              <w:t>(5)</w:t>
            </w:r>
          </w:p>
          <w:p w:rsidR="002A3DBB" w:rsidRPr="002A3DBB" w:rsidRDefault="002A3DBB" w:rsidP="002F2C43">
            <w:pPr>
              <w:jc w:val="center"/>
            </w:pPr>
          </w:p>
        </w:tc>
      </w:tr>
      <w:tr w:rsidR="002A3DBB" w:rsidRPr="002A3DBB" w:rsidTr="00977125">
        <w:tc>
          <w:tcPr>
            <w:tcW w:w="852" w:type="dxa"/>
          </w:tcPr>
          <w:p w:rsidR="002A3DBB" w:rsidRPr="002A3DBB" w:rsidRDefault="00977125" w:rsidP="00977125">
            <w:pPr>
              <w:jc w:val="center"/>
            </w:pPr>
            <w:r>
              <w:t>P502</w:t>
            </w:r>
          </w:p>
        </w:tc>
        <w:tc>
          <w:tcPr>
            <w:tcW w:w="2514" w:type="dxa"/>
          </w:tcPr>
          <w:p w:rsidR="00977125" w:rsidRPr="002A3DBB" w:rsidRDefault="00977125" w:rsidP="00977125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bCs/>
                <w:sz w:val="20"/>
                <w:szCs w:val="20"/>
                <w:lang w:val="en-GB"/>
              </w:rPr>
              <w:t xml:space="preserve">Refer to manufacturer or supplier for information on recovery or recycling </w:t>
            </w:r>
          </w:p>
          <w:p w:rsidR="002A3DBB" w:rsidRPr="002A3DBB" w:rsidRDefault="002A3DBB" w:rsidP="002F2C43"/>
        </w:tc>
        <w:tc>
          <w:tcPr>
            <w:tcW w:w="1626" w:type="dxa"/>
          </w:tcPr>
          <w:p w:rsidR="002A3DBB" w:rsidRPr="002A3DBB" w:rsidRDefault="002A3DBB" w:rsidP="002F2C43">
            <w:pPr>
              <w:pStyle w:val="Default"/>
              <w:rPr>
                <w:sz w:val="20"/>
                <w:szCs w:val="20"/>
                <w:lang w:val="en-GB"/>
              </w:rPr>
            </w:pPr>
            <w:r w:rsidRPr="002A3DBB">
              <w:rPr>
                <w:sz w:val="20"/>
                <w:szCs w:val="20"/>
                <w:lang w:val="en-GB"/>
              </w:rPr>
              <w:t xml:space="preserve">Hazardous to the ozone layer (Chapter 4.2) </w:t>
            </w:r>
          </w:p>
          <w:p w:rsidR="002A3DBB" w:rsidRPr="002A3DBB" w:rsidRDefault="002A3DBB" w:rsidP="002F2C43"/>
        </w:tc>
        <w:tc>
          <w:tcPr>
            <w:tcW w:w="1626" w:type="dxa"/>
          </w:tcPr>
          <w:p w:rsidR="002A3DBB" w:rsidRPr="002A3DBB" w:rsidRDefault="002A3DBB" w:rsidP="004C4522">
            <w:pPr>
              <w:pStyle w:val="Default"/>
              <w:jc w:val="center"/>
              <w:rPr>
                <w:sz w:val="20"/>
                <w:szCs w:val="20"/>
              </w:rPr>
            </w:pPr>
            <w:r w:rsidRPr="002A3DBB">
              <w:rPr>
                <w:sz w:val="20"/>
                <w:szCs w:val="20"/>
              </w:rPr>
              <w:t>1</w:t>
            </w:r>
          </w:p>
          <w:p w:rsidR="002A3DBB" w:rsidRPr="002A3DBB" w:rsidRDefault="002A3DBB" w:rsidP="004C4522">
            <w:pPr>
              <w:jc w:val="center"/>
            </w:pPr>
          </w:p>
        </w:tc>
        <w:tc>
          <w:tcPr>
            <w:tcW w:w="3021" w:type="dxa"/>
          </w:tcPr>
          <w:p w:rsidR="002A3DBB" w:rsidRPr="002A3DBB" w:rsidRDefault="002A3DBB" w:rsidP="00977125">
            <w:pPr>
              <w:pStyle w:val="Default"/>
            </w:pPr>
          </w:p>
        </w:tc>
      </w:tr>
    </w:tbl>
    <w:p w:rsidR="00485748" w:rsidRPr="00485748" w:rsidRDefault="002A3DBB" w:rsidP="00307E04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E04" w:rsidRPr="00485748" w:rsidRDefault="00307E04">
      <w:pPr>
        <w:spacing w:before="240"/>
        <w:ind w:left="1134" w:right="1134"/>
        <w:jc w:val="center"/>
      </w:pPr>
    </w:p>
    <w:sectPr w:rsidR="00307E04" w:rsidRPr="00485748" w:rsidSect="00485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89" w:rsidRDefault="00FF1F89"/>
  </w:endnote>
  <w:endnote w:type="continuationSeparator" w:id="0">
    <w:p w:rsidR="00FF1F89" w:rsidRDefault="00FF1F89"/>
  </w:endnote>
  <w:endnote w:type="continuationNotice" w:id="1">
    <w:p w:rsidR="00FF1F89" w:rsidRDefault="00FF1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B0" w:rsidRPr="00485748" w:rsidRDefault="007777B0" w:rsidP="00485748">
    <w:pPr>
      <w:pStyle w:val="Footer"/>
      <w:tabs>
        <w:tab w:val="right" w:pos="9638"/>
      </w:tabs>
      <w:rPr>
        <w:sz w:val="18"/>
      </w:rPr>
    </w:pPr>
    <w:r w:rsidRPr="00485748">
      <w:rPr>
        <w:b/>
        <w:sz w:val="18"/>
      </w:rPr>
      <w:fldChar w:fldCharType="begin"/>
    </w:r>
    <w:r w:rsidRPr="00485748">
      <w:rPr>
        <w:b/>
        <w:sz w:val="18"/>
      </w:rPr>
      <w:instrText xml:space="preserve"> PAGE  \* MERGEFORMAT </w:instrText>
    </w:r>
    <w:r w:rsidRPr="00485748">
      <w:rPr>
        <w:b/>
        <w:sz w:val="18"/>
      </w:rPr>
      <w:fldChar w:fldCharType="separate"/>
    </w:r>
    <w:r w:rsidR="00365AEC">
      <w:rPr>
        <w:b/>
        <w:noProof/>
        <w:sz w:val="18"/>
      </w:rPr>
      <w:t>2</w:t>
    </w:r>
    <w:r w:rsidRPr="0048574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B0" w:rsidRPr="00485748" w:rsidRDefault="007777B0" w:rsidP="00485748">
    <w:pPr>
      <w:pStyle w:val="Footer"/>
      <w:tabs>
        <w:tab w:val="right" w:pos="9638"/>
      </w:tabs>
      <w:rPr>
        <w:b/>
        <w:sz w:val="18"/>
      </w:rPr>
    </w:pPr>
    <w:r>
      <w:tab/>
    </w:r>
    <w:r w:rsidRPr="00485748">
      <w:rPr>
        <w:b/>
        <w:sz w:val="18"/>
      </w:rPr>
      <w:fldChar w:fldCharType="begin"/>
    </w:r>
    <w:r w:rsidRPr="00485748">
      <w:rPr>
        <w:b/>
        <w:sz w:val="18"/>
      </w:rPr>
      <w:instrText xml:space="preserve"> PAGE  \* MERGEFORMAT </w:instrText>
    </w:r>
    <w:r w:rsidRPr="00485748">
      <w:rPr>
        <w:b/>
        <w:sz w:val="18"/>
      </w:rPr>
      <w:fldChar w:fldCharType="separate"/>
    </w:r>
    <w:r w:rsidR="00541CF7">
      <w:rPr>
        <w:b/>
        <w:noProof/>
        <w:sz w:val="18"/>
      </w:rPr>
      <w:t>3</w:t>
    </w:r>
    <w:r w:rsidRPr="004857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B0" w:rsidRPr="00307E04" w:rsidRDefault="007777B0" w:rsidP="00307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89" w:rsidRPr="000B175B" w:rsidRDefault="00FF1F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1F89" w:rsidRPr="00FC68B7" w:rsidRDefault="00FF1F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1F89" w:rsidRDefault="00FF1F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B0" w:rsidRPr="00485748" w:rsidRDefault="00541CF7">
    <w:pPr>
      <w:pStyle w:val="Header"/>
    </w:pPr>
    <w:r>
      <w:t>UN/SCEGHS/30/INF.24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B0" w:rsidRPr="00485748" w:rsidRDefault="007777B0" w:rsidP="00485748">
    <w:pPr>
      <w:pStyle w:val="Header"/>
      <w:jc w:val="right"/>
    </w:pPr>
    <w:r>
      <w:t>ST/SG/AC.10/C.4/2015/9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04" w:rsidRDefault="00307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420D5F"/>
    <w:multiLevelType w:val="hybridMultilevel"/>
    <w:tmpl w:val="E04699CC"/>
    <w:lvl w:ilvl="0" w:tplc="B9C67638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8"/>
    <w:rsid w:val="00050F6B"/>
    <w:rsid w:val="00057FD8"/>
    <w:rsid w:val="00072C8C"/>
    <w:rsid w:val="00091419"/>
    <w:rsid w:val="000931C0"/>
    <w:rsid w:val="000B175B"/>
    <w:rsid w:val="000B3A0F"/>
    <w:rsid w:val="000E0415"/>
    <w:rsid w:val="000E4D1C"/>
    <w:rsid w:val="00103024"/>
    <w:rsid w:val="0011582C"/>
    <w:rsid w:val="00115FE2"/>
    <w:rsid w:val="00117787"/>
    <w:rsid w:val="00131D42"/>
    <w:rsid w:val="001633FB"/>
    <w:rsid w:val="001B4B04"/>
    <w:rsid w:val="001C49DC"/>
    <w:rsid w:val="001C6663"/>
    <w:rsid w:val="001C7895"/>
    <w:rsid w:val="001D26DF"/>
    <w:rsid w:val="001D2FDC"/>
    <w:rsid w:val="001D786A"/>
    <w:rsid w:val="00211E0B"/>
    <w:rsid w:val="00223FDE"/>
    <w:rsid w:val="002309A7"/>
    <w:rsid w:val="00237785"/>
    <w:rsid w:val="00241466"/>
    <w:rsid w:val="00251EC7"/>
    <w:rsid w:val="002725CA"/>
    <w:rsid w:val="00280EB7"/>
    <w:rsid w:val="002A3DBB"/>
    <w:rsid w:val="002B1CDA"/>
    <w:rsid w:val="002D38CF"/>
    <w:rsid w:val="002E209E"/>
    <w:rsid w:val="002E3BE7"/>
    <w:rsid w:val="002F2C43"/>
    <w:rsid w:val="00307E04"/>
    <w:rsid w:val="003107FA"/>
    <w:rsid w:val="003229D8"/>
    <w:rsid w:val="00365AEC"/>
    <w:rsid w:val="003803EC"/>
    <w:rsid w:val="00387D5E"/>
    <w:rsid w:val="0039277A"/>
    <w:rsid w:val="003972E0"/>
    <w:rsid w:val="00397313"/>
    <w:rsid w:val="003A5442"/>
    <w:rsid w:val="003C2CC4"/>
    <w:rsid w:val="003D4B23"/>
    <w:rsid w:val="004325CB"/>
    <w:rsid w:val="00437F3F"/>
    <w:rsid w:val="00446DE4"/>
    <w:rsid w:val="00463B1D"/>
    <w:rsid w:val="00485748"/>
    <w:rsid w:val="00495EEA"/>
    <w:rsid w:val="004A2E72"/>
    <w:rsid w:val="004B2C9D"/>
    <w:rsid w:val="004C4522"/>
    <w:rsid w:val="004E0D8B"/>
    <w:rsid w:val="004F3C9D"/>
    <w:rsid w:val="00507EC9"/>
    <w:rsid w:val="00527910"/>
    <w:rsid w:val="00534B01"/>
    <w:rsid w:val="00541CF7"/>
    <w:rsid w:val="005420F2"/>
    <w:rsid w:val="00574469"/>
    <w:rsid w:val="00590144"/>
    <w:rsid w:val="005B3A51"/>
    <w:rsid w:val="005B3DB3"/>
    <w:rsid w:val="00611FC4"/>
    <w:rsid w:val="006176FB"/>
    <w:rsid w:val="0063419C"/>
    <w:rsid w:val="00640B26"/>
    <w:rsid w:val="006461B1"/>
    <w:rsid w:val="00654723"/>
    <w:rsid w:val="006A7392"/>
    <w:rsid w:val="006C0D34"/>
    <w:rsid w:val="006E564B"/>
    <w:rsid w:val="0072632A"/>
    <w:rsid w:val="007777B0"/>
    <w:rsid w:val="00790791"/>
    <w:rsid w:val="007B6BA5"/>
    <w:rsid w:val="007C3390"/>
    <w:rsid w:val="007C4F4B"/>
    <w:rsid w:val="007F6611"/>
    <w:rsid w:val="008175E9"/>
    <w:rsid w:val="008242D7"/>
    <w:rsid w:val="00871FD5"/>
    <w:rsid w:val="008979B1"/>
    <w:rsid w:val="008A6B25"/>
    <w:rsid w:val="008A6C4F"/>
    <w:rsid w:val="008D01E6"/>
    <w:rsid w:val="008E0792"/>
    <w:rsid w:val="008E0E46"/>
    <w:rsid w:val="00920CE7"/>
    <w:rsid w:val="00945A5D"/>
    <w:rsid w:val="00963CBA"/>
    <w:rsid w:val="00977125"/>
    <w:rsid w:val="0099124E"/>
    <w:rsid w:val="00991261"/>
    <w:rsid w:val="0099386C"/>
    <w:rsid w:val="009F0F06"/>
    <w:rsid w:val="009F42E4"/>
    <w:rsid w:val="00A03889"/>
    <w:rsid w:val="00A1427D"/>
    <w:rsid w:val="00A56BA9"/>
    <w:rsid w:val="00A72F22"/>
    <w:rsid w:val="00A748A6"/>
    <w:rsid w:val="00A75EC9"/>
    <w:rsid w:val="00A81FD3"/>
    <w:rsid w:val="00A879A4"/>
    <w:rsid w:val="00A953E1"/>
    <w:rsid w:val="00AB643F"/>
    <w:rsid w:val="00AE3956"/>
    <w:rsid w:val="00B17809"/>
    <w:rsid w:val="00B30179"/>
    <w:rsid w:val="00B3317B"/>
    <w:rsid w:val="00B81E12"/>
    <w:rsid w:val="00B93068"/>
    <w:rsid w:val="00BA3FAD"/>
    <w:rsid w:val="00BC74E9"/>
    <w:rsid w:val="00BE618E"/>
    <w:rsid w:val="00BF602E"/>
    <w:rsid w:val="00C32853"/>
    <w:rsid w:val="00C463DD"/>
    <w:rsid w:val="00C62F76"/>
    <w:rsid w:val="00C745C3"/>
    <w:rsid w:val="00C954B3"/>
    <w:rsid w:val="00CA14C8"/>
    <w:rsid w:val="00CD2D6C"/>
    <w:rsid w:val="00CE4A8F"/>
    <w:rsid w:val="00CF3E7C"/>
    <w:rsid w:val="00CF5DB3"/>
    <w:rsid w:val="00D2031B"/>
    <w:rsid w:val="00D25FE2"/>
    <w:rsid w:val="00D27828"/>
    <w:rsid w:val="00D43252"/>
    <w:rsid w:val="00D753D8"/>
    <w:rsid w:val="00D96CC5"/>
    <w:rsid w:val="00D978C6"/>
    <w:rsid w:val="00DA67AD"/>
    <w:rsid w:val="00E130AB"/>
    <w:rsid w:val="00E16B97"/>
    <w:rsid w:val="00E5644E"/>
    <w:rsid w:val="00E7260F"/>
    <w:rsid w:val="00E8535A"/>
    <w:rsid w:val="00E96630"/>
    <w:rsid w:val="00EA772F"/>
    <w:rsid w:val="00EB6832"/>
    <w:rsid w:val="00ED7A2A"/>
    <w:rsid w:val="00EF1D7F"/>
    <w:rsid w:val="00F40E75"/>
    <w:rsid w:val="00F54674"/>
    <w:rsid w:val="00FA62D0"/>
    <w:rsid w:val="00FB1E8E"/>
    <w:rsid w:val="00FC4F22"/>
    <w:rsid w:val="00FC68B7"/>
    <w:rsid w:val="00FD6B2B"/>
    <w:rsid w:val="00FE0ED4"/>
    <w:rsid w:val="00FF03BB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485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7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A3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643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643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B643F"/>
    <w:rPr>
      <w:b/>
      <w:bCs/>
      <w:lang w:eastAsia="en-US"/>
    </w:rPr>
  </w:style>
  <w:style w:type="paragraph" w:styleId="Revision">
    <w:name w:val="Revision"/>
    <w:hidden/>
    <w:uiPriority w:val="99"/>
    <w:semiHidden/>
    <w:rsid w:val="00AB643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485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7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A3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643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B643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B643F"/>
    <w:rPr>
      <w:b/>
      <w:bCs/>
      <w:lang w:eastAsia="en-US"/>
    </w:rPr>
  </w:style>
  <w:style w:type="paragraph" w:styleId="Revision">
    <w:name w:val="Revision"/>
    <w:hidden/>
    <w:uiPriority w:val="99"/>
    <w:semiHidden/>
    <w:rsid w:val="00AB64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2525-761B-4C42-A575-9C0D842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10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2015-12-04T11:41:00Z</cp:lastPrinted>
  <dcterms:created xsi:type="dcterms:W3CDTF">2015-12-04T11:44:00Z</dcterms:created>
  <dcterms:modified xsi:type="dcterms:W3CDTF">2015-12-04T14:32:00Z</dcterms:modified>
</cp:coreProperties>
</file>