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2D6326" w:rsidP="007731BC">
            <w:pPr>
              <w:jc w:val="right"/>
            </w:pPr>
            <w:r w:rsidRPr="002D6326">
              <w:rPr>
                <w:sz w:val="40"/>
              </w:rPr>
              <w:t>ECE</w:t>
            </w:r>
            <w:r>
              <w:t>/TRANS/WP.15/2015/10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FF7D48" w:rsidP="00B6553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2D6326" w:rsidP="002D6326">
            <w:pPr>
              <w:spacing w:before="240" w:line="240" w:lineRule="exact"/>
            </w:pPr>
            <w:r>
              <w:t>Distr.: General</w:t>
            </w:r>
          </w:p>
          <w:p w:rsidR="002D6326" w:rsidRDefault="00A67266" w:rsidP="002D6326">
            <w:pPr>
              <w:spacing w:line="240" w:lineRule="exact"/>
            </w:pPr>
            <w:r>
              <w:t>28</w:t>
            </w:r>
            <w:r w:rsidR="002D6326">
              <w:t xml:space="preserve"> August 2015</w:t>
            </w:r>
          </w:p>
          <w:p w:rsidR="002D6326" w:rsidRDefault="002D6326" w:rsidP="002D6326">
            <w:pPr>
              <w:spacing w:line="240" w:lineRule="exact"/>
            </w:pPr>
          </w:p>
          <w:p w:rsidR="002D6326" w:rsidRDefault="002D6326" w:rsidP="002D6326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153F43" w:rsidRDefault="00153F43" w:rsidP="00153F43">
      <w:pPr>
        <w:spacing w:before="120"/>
        <w:rPr>
          <w:b/>
        </w:rPr>
      </w:pPr>
      <w:r>
        <w:rPr>
          <w:b/>
        </w:rPr>
        <w:t xml:space="preserve">Ninety-ninth </w:t>
      </w:r>
      <w:proofErr w:type="gramStart"/>
      <w:r>
        <w:rPr>
          <w:b/>
        </w:rPr>
        <w:t>session</w:t>
      </w:r>
      <w:proofErr w:type="gramEnd"/>
    </w:p>
    <w:p w:rsidR="00153F43" w:rsidRDefault="00153F43" w:rsidP="00153F43">
      <w:r>
        <w:t>Geneva, 9-13 November 2015</w:t>
      </w:r>
    </w:p>
    <w:p w:rsidR="00C96DF2" w:rsidRDefault="00FA7D6D" w:rsidP="00C96DF2">
      <w:r>
        <w:t>I</w:t>
      </w:r>
      <w:r w:rsidR="00FF500E">
        <w:t xml:space="preserve">tem </w:t>
      </w:r>
      <w:r w:rsidR="00153F43">
        <w:t>7 o</w:t>
      </w:r>
      <w:r w:rsidR="0024772E">
        <w:t>f the provisional agenda</w:t>
      </w:r>
    </w:p>
    <w:p w:rsidR="00153F43" w:rsidRDefault="00153F43" w:rsidP="00C96DF2">
      <w:r w:rsidRPr="001705BC">
        <w:rPr>
          <w:b/>
        </w:rPr>
        <w:t>Programme of work</w:t>
      </w:r>
    </w:p>
    <w:p w:rsidR="00153F43" w:rsidRPr="001156D2" w:rsidRDefault="00153F43" w:rsidP="00153F43">
      <w:pPr>
        <w:pStyle w:val="HChG"/>
        <w:rPr>
          <w:szCs w:val="28"/>
          <w:lang w:val="en-US"/>
        </w:rPr>
      </w:pPr>
      <w:r w:rsidRPr="00C63BA9">
        <w:tab/>
      </w:r>
      <w:r w:rsidRPr="00C63BA9">
        <w:tab/>
      </w:r>
      <w:r>
        <w:t>B</w:t>
      </w:r>
      <w:r>
        <w:rPr>
          <w:szCs w:val="28"/>
        </w:rPr>
        <w:t xml:space="preserve">iennial evaluation </w:t>
      </w:r>
    </w:p>
    <w:p w:rsidR="00153F43" w:rsidRDefault="00153F43" w:rsidP="00153F43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146502">
        <w:rPr>
          <w:lang w:val="en-US"/>
        </w:rPr>
        <w:t>Note by the secretariat</w:t>
      </w:r>
      <w:r w:rsidR="00146502" w:rsidRPr="00B573A9">
        <w:rPr>
          <w:rStyle w:val="FootnoteReference"/>
          <w:b w:val="0"/>
        </w:rPr>
        <w:footnoteReference w:id="2"/>
      </w:r>
    </w:p>
    <w:p w:rsidR="00153F43" w:rsidRDefault="00153F43" w:rsidP="00153F43">
      <w:pPr>
        <w:pStyle w:val="SingleTxtG"/>
        <w:rPr>
          <w:bCs/>
        </w:rPr>
      </w:pPr>
      <w:r>
        <w:t>1</w:t>
      </w:r>
      <w:r w:rsidRPr="00691767">
        <w:t>.</w:t>
      </w:r>
      <w:r w:rsidRPr="00691767">
        <w:tab/>
        <w:t>On the basis of decisions taken at its fifty-eighth session in June 2007 (ECE/TRANS/</w:t>
      </w:r>
      <w:r>
        <w:t>WP.15/194</w:t>
      </w:r>
      <w:r w:rsidRPr="00691767">
        <w:t xml:space="preserve">, </w:t>
      </w:r>
      <w:r>
        <w:t>paragraphs 61-63 and annex III</w:t>
      </w:r>
      <w:r w:rsidRPr="00691767">
        <w:t>)</w:t>
      </w:r>
      <w:r>
        <w:t>,</w:t>
      </w:r>
      <w:r w:rsidRPr="00691767">
        <w:t xml:space="preserve"> the activities of the Working Party are measured, as part of the biennial evaluation, against one expected accomplishment, two indicators of accomplishment and corresponding performance measures. </w:t>
      </w:r>
      <w:r>
        <w:t xml:space="preserve">At its seventy-fourth session, </w:t>
      </w:r>
      <w:r w:rsidRPr="00691767">
        <w:t>the Inland Transport</w:t>
      </w:r>
      <w:r w:rsidRPr="00691767">
        <w:rPr>
          <w:rFonts w:eastAsia="Batang"/>
          <w:lang w:eastAsia="ko-KR" w:bidi="th-TH"/>
        </w:rPr>
        <w:t xml:space="preserve"> Committee </w:t>
      </w:r>
      <w:r>
        <w:rPr>
          <w:rFonts w:eastAsia="Batang"/>
          <w:lang w:eastAsia="ko-KR" w:bidi="th-TH"/>
        </w:rPr>
        <w:t>confirmed t</w:t>
      </w:r>
      <w:r w:rsidRPr="00691767">
        <w:t xml:space="preserve">his approach </w:t>
      </w:r>
      <w:r w:rsidRPr="00691767">
        <w:rPr>
          <w:rFonts w:eastAsia="Batang"/>
          <w:lang w:eastAsia="ko-KR" w:bidi="th-TH"/>
        </w:rPr>
        <w:t xml:space="preserve">as part of the </w:t>
      </w:r>
      <w:r w:rsidRPr="00691767">
        <w:rPr>
          <w:bCs/>
        </w:rPr>
        <w:t xml:space="preserve">performance planning for evaluation of the biennium </w:t>
      </w:r>
      <w:r w:rsidR="0002598C">
        <w:rPr>
          <w:bCs/>
        </w:rPr>
        <w:t>2014</w:t>
      </w:r>
      <w:r w:rsidRPr="00691767">
        <w:rPr>
          <w:bCs/>
        </w:rPr>
        <w:t>–</w:t>
      </w:r>
      <w:r w:rsidR="0002598C">
        <w:rPr>
          <w:bCs/>
        </w:rPr>
        <w:t>2015</w:t>
      </w:r>
      <w:r w:rsidR="0002598C" w:rsidRPr="00691767">
        <w:rPr>
          <w:bCs/>
        </w:rPr>
        <w:t xml:space="preserve"> </w:t>
      </w:r>
      <w:r w:rsidRPr="00691767">
        <w:rPr>
          <w:bCs/>
        </w:rPr>
        <w:t>(</w:t>
      </w:r>
      <w:r>
        <w:rPr>
          <w:bCs/>
        </w:rPr>
        <w:t>ECE/TRANS/</w:t>
      </w:r>
      <w:r w:rsidR="0002598C">
        <w:rPr>
          <w:bCs/>
        </w:rPr>
        <w:t xml:space="preserve">240 </w:t>
      </w:r>
      <w:r>
        <w:rPr>
          <w:bCs/>
        </w:rPr>
        <w:t xml:space="preserve">and </w:t>
      </w:r>
      <w:r w:rsidRPr="00691767">
        <w:rPr>
          <w:bCs/>
        </w:rPr>
        <w:t>ECE/TRANS/</w:t>
      </w:r>
      <w:r w:rsidR="0002598C">
        <w:rPr>
          <w:bCs/>
        </w:rPr>
        <w:t>2014/24</w:t>
      </w:r>
      <w:r w:rsidRPr="00691767">
        <w:rPr>
          <w:bCs/>
        </w:rPr>
        <w:t>).</w:t>
      </w:r>
    </w:p>
    <w:p w:rsidR="00153F43" w:rsidRDefault="00153F43" w:rsidP="00153F43">
      <w:pPr>
        <w:pStyle w:val="SingleTxtG"/>
        <w:rPr>
          <w:bCs/>
        </w:rPr>
      </w:pPr>
      <w:r>
        <w:rPr>
          <w:bCs/>
        </w:rPr>
        <w:t>2</w:t>
      </w:r>
      <w:r w:rsidRPr="00691767">
        <w:rPr>
          <w:bCs/>
        </w:rPr>
        <w:t>.</w:t>
      </w:r>
      <w:r w:rsidRPr="00691767">
        <w:rPr>
          <w:bCs/>
        </w:rPr>
        <w:tab/>
        <w:t xml:space="preserve">The Working Party may wish to review these parameters as </w:t>
      </w:r>
      <w:r>
        <w:rPr>
          <w:bCs/>
        </w:rPr>
        <w:t xml:space="preserve">well as the actual performance measures for </w:t>
      </w:r>
      <w:r w:rsidR="00E2186F">
        <w:rPr>
          <w:bCs/>
        </w:rPr>
        <w:t>2014</w:t>
      </w:r>
      <w:r>
        <w:rPr>
          <w:bCs/>
        </w:rPr>
        <w:t>-</w:t>
      </w:r>
      <w:r w:rsidR="00E2186F">
        <w:rPr>
          <w:bCs/>
        </w:rPr>
        <w:t xml:space="preserve">2015 </w:t>
      </w:r>
      <w:r>
        <w:rPr>
          <w:bCs/>
        </w:rPr>
        <w:t>as provided</w:t>
      </w:r>
      <w:r w:rsidRPr="00691767">
        <w:rPr>
          <w:bCs/>
        </w:rPr>
        <w:t xml:space="preserve"> below with a view to either maintaining them or establishing new ones for the biennium </w:t>
      </w:r>
      <w:r w:rsidR="00E2186F">
        <w:rPr>
          <w:bCs/>
        </w:rPr>
        <w:t>2016</w:t>
      </w:r>
      <w:r>
        <w:rPr>
          <w:bCs/>
        </w:rPr>
        <w:t>–</w:t>
      </w:r>
      <w:r w:rsidR="00E2186F">
        <w:rPr>
          <w:bCs/>
        </w:rPr>
        <w:t>2017</w:t>
      </w:r>
      <w:r w:rsidRPr="00691767">
        <w:rPr>
          <w:bCs/>
        </w:rPr>
        <w:t>.</w:t>
      </w:r>
    </w:p>
    <w:p w:rsidR="00153F43" w:rsidRDefault="00153F43" w:rsidP="00153F43">
      <w:pPr>
        <w:pStyle w:val="H1G"/>
      </w:pPr>
      <w:r>
        <w:br w:type="page"/>
      </w:r>
      <w:r>
        <w:lastRenderedPageBreak/>
        <w:tab/>
      </w:r>
      <w:r>
        <w:tab/>
      </w:r>
      <w:r w:rsidRPr="00897230">
        <w:t xml:space="preserve">Review of performance measures for </w:t>
      </w:r>
      <w:r w:rsidR="00A072CD">
        <w:t>2014</w:t>
      </w:r>
      <w:r>
        <w:t>–</w:t>
      </w:r>
      <w:r w:rsidR="00A072CD">
        <w:t>2015</w:t>
      </w:r>
      <w:r w:rsidR="00A072CD" w:rsidRPr="00897230">
        <w:t xml:space="preserve"> </w:t>
      </w:r>
      <w:r w:rsidRPr="00897230">
        <w:t>and</w:t>
      </w:r>
      <w:r>
        <w:t xml:space="preserve"> establishment of </w:t>
      </w:r>
      <w:r w:rsidRPr="00897230">
        <w:t xml:space="preserve">targets for </w:t>
      </w:r>
      <w:r w:rsidR="00A072CD">
        <w:t>2016</w:t>
      </w:r>
      <w:r w:rsidRPr="00897230">
        <w:t>–</w:t>
      </w:r>
      <w:r w:rsidR="00A072CD">
        <w:t>2017</w:t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573"/>
        <w:gridCol w:w="2551"/>
        <w:gridCol w:w="2126"/>
      </w:tblGrid>
      <w:tr w:rsidR="00153F43" w:rsidRPr="007A46CD" w:rsidTr="00730393">
        <w:trPr>
          <w:cantSplit/>
          <w:tblHeader/>
        </w:trPr>
        <w:tc>
          <w:tcPr>
            <w:tcW w:w="12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53F43" w:rsidRPr="007A46CD" w:rsidRDefault="00153F43" w:rsidP="00800839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A46CD">
              <w:rPr>
                <w:i/>
                <w:sz w:val="16"/>
              </w:rPr>
              <w:t>Cluster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53F43" w:rsidRPr="007A46CD" w:rsidRDefault="00153F43" w:rsidP="00800839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A46CD">
              <w:rPr>
                <w:i/>
                <w:sz w:val="16"/>
              </w:rPr>
              <w:t>Expected Accomplishments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53F43" w:rsidRPr="007A46CD" w:rsidRDefault="00153F43" w:rsidP="00800839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A46CD">
              <w:rPr>
                <w:i/>
                <w:sz w:val="16"/>
              </w:rPr>
              <w:t>Indicators of Achievement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53F43" w:rsidRPr="007A46CD" w:rsidRDefault="00153F43" w:rsidP="00800839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7A46CD">
              <w:rPr>
                <w:i/>
                <w:sz w:val="16"/>
              </w:rPr>
              <w:t>Actual Performance Measures</w:t>
            </w:r>
          </w:p>
        </w:tc>
      </w:tr>
      <w:tr w:rsidR="00153F43" w:rsidRPr="00897230" w:rsidTr="00800839">
        <w:trPr>
          <w:cantSplit/>
        </w:trPr>
        <w:tc>
          <w:tcPr>
            <w:tcW w:w="1255" w:type="dxa"/>
            <w:shd w:val="clear" w:color="auto" w:fill="auto"/>
          </w:tcPr>
          <w:p w:rsidR="00153F43" w:rsidRPr="00897230" w:rsidRDefault="00153F43" w:rsidP="00800839">
            <w:pPr>
              <w:tabs>
                <w:tab w:val="left" w:pos="330"/>
              </w:tabs>
              <w:suppressAutoHyphens w:val="0"/>
              <w:spacing w:before="40" w:after="120" w:line="220" w:lineRule="exact"/>
              <w:ind w:right="113"/>
            </w:pPr>
            <w:r>
              <w:t>9.a.</w:t>
            </w:r>
            <w:r w:rsidRPr="00897230">
              <w:t xml:space="preserve"> </w:t>
            </w:r>
            <w:r w:rsidRPr="00A06D0E">
              <w:t xml:space="preserve">Transport of </w:t>
            </w:r>
            <w:r>
              <w:t>d</w:t>
            </w:r>
            <w:r w:rsidRPr="00A06D0E">
              <w:t xml:space="preserve">angerous </w:t>
            </w:r>
            <w:r>
              <w:t>g</w:t>
            </w:r>
            <w:r w:rsidRPr="00A06D0E">
              <w:t>oods (UNECE)</w:t>
            </w:r>
          </w:p>
        </w:tc>
        <w:tc>
          <w:tcPr>
            <w:tcW w:w="2573" w:type="dxa"/>
            <w:shd w:val="clear" w:color="auto" w:fill="auto"/>
          </w:tcPr>
          <w:p w:rsidR="00153F43" w:rsidRPr="00897230" w:rsidRDefault="00153F43" w:rsidP="00A072CD">
            <w:pPr>
              <w:suppressAutoHyphens w:val="0"/>
              <w:spacing w:before="40" w:after="120" w:line="220" w:lineRule="exact"/>
              <w:ind w:right="113"/>
            </w:pPr>
            <w:r w:rsidRPr="007A46CD">
              <w:rPr>
                <w:snapToGrid w:val="0"/>
              </w:rPr>
              <w:t xml:space="preserve">EA 9.a. </w:t>
            </w:r>
            <w:r w:rsidR="007A0B80" w:rsidRPr="00D14250">
              <w:t>Adoption of amendments to the ADR</w:t>
            </w:r>
            <w:r w:rsidR="007A0B80" w:rsidRPr="00D14250">
              <w:rPr>
                <w:rStyle w:val="FootnoteReference"/>
              </w:rPr>
              <w:footnoteReference w:id="3"/>
            </w:r>
            <w:r w:rsidR="007A0B80" w:rsidRPr="00D14250">
              <w:t xml:space="preserve"> and, through joint activities, with the Intergovernmental Organization for International Carriage by Rail (OTIF) and the Central Commission for the Navigation of the Rhine (CCNR), to the RID</w:t>
            </w:r>
            <w:r w:rsidR="007A0B80" w:rsidRPr="00D14250">
              <w:rPr>
                <w:rStyle w:val="FootnoteReference"/>
              </w:rPr>
              <w:footnoteReference w:id="4"/>
            </w:r>
            <w:r w:rsidR="007A0B80" w:rsidRPr="00D14250">
              <w:t xml:space="preserve"> and the ADN</w:t>
            </w:r>
            <w:r w:rsidR="007A0B80" w:rsidRPr="00D14250">
              <w:rPr>
                <w:rStyle w:val="FootnoteReference"/>
              </w:rPr>
              <w:footnoteReference w:id="5"/>
            </w:r>
            <w:r w:rsidR="007A0B80" w:rsidRPr="00D14250">
              <w:t xml:space="preserve"> respectively, intended to maintain the necessary level of safety, security and protection of the environment in a uniform, harmonized and coherent system of transport of dangerous goods regulations based on the United Nations Recommendations on the Transport of Dangerous Goods, and effective implementation through international and national legislation.</w:t>
            </w:r>
          </w:p>
        </w:tc>
        <w:tc>
          <w:tcPr>
            <w:tcW w:w="2551" w:type="dxa"/>
            <w:shd w:val="clear" w:color="auto" w:fill="auto"/>
          </w:tcPr>
          <w:p w:rsidR="00153F43" w:rsidRPr="003A6BCB" w:rsidRDefault="00153F43" w:rsidP="00800839">
            <w:pPr>
              <w:suppressAutoHyphens w:val="0"/>
              <w:spacing w:before="40" w:after="120"/>
              <w:ind w:left="-5" w:right="113"/>
            </w:pPr>
            <w:r w:rsidRPr="003A6BCB">
              <w:t xml:space="preserve">IA </w:t>
            </w:r>
            <w:r>
              <w:t>9.a</w:t>
            </w:r>
            <w:r w:rsidRPr="003A6BCB">
              <w:t xml:space="preserve">. (a) </w:t>
            </w:r>
            <w:r w:rsidR="007A0B80" w:rsidRPr="00D14250">
              <w:t xml:space="preserve">Amendments to ADR, RID and ADN adopted in </w:t>
            </w:r>
            <w:r w:rsidR="00AD6C85">
              <w:t>2015</w:t>
            </w:r>
            <w:r w:rsidR="00AD6C85" w:rsidRPr="00D14250">
              <w:t xml:space="preserve"> </w:t>
            </w:r>
            <w:r w:rsidR="007A0B80" w:rsidRPr="00D14250">
              <w:t xml:space="preserve">and </w:t>
            </w:r>
            <w:r w:rsidR="00AD6C85">
              <w:t>2016</w:t>
            </w:r>
            <w:r w:rsidR="00AD6C85" w:rsidRPr="00D14250">
              <w:t xml:space="preserve"> </w:t>
            </w:r>
            <w:r w:rsidR="007A0B80" w:rsidRPr="00D14250">
              <w:t xml:space="preserve">and entered into force by 1 January </w:t>
            </w:r>
            <w:r w:rsidR="00AD6C85">
              <w:t>2017</w:t>
            </w:r>
            <w:r w:rsidR="00AD6C85" w:rsidRPr="00D14250">
              <w:t xml:space="preserve"> </w:t>
            </w:r>
            <w:r w:rsidR="007A0B80" w:rsidRPr="00D14250">
              <w:t xml:space="preserve">for international transport and made applicable to domestic traffic in all EU and European Economic Area (EEA) countries by 1 July </w:t>
            </w:r>
            <w:r w:rsidR="00AD6C85">
              <w:t>2017</w:t>
            </w:r>
            <w:r w:rsidR="007A0B80" w:rsidRPr="00D14250">
              <w:t xml:space="preserve">, reflecting, inter alia, the </w:t>
            </w:r>
            <w:r w:rsidR="00AD6C85">
              <w:t>2015</w:t>
            </w:r>
            <w:r w:rsidR="00AD6C85" w:rsidRPr="00D14250">
              <w:t xml:space="preserve"> </w:t>
            </w:r>
            <w:r w:rsidR="007A0B80" w:rsidRPr="00D14250">
              <w:t>United Nations Recommendations on the Transport of Dangerous Goods, Model Regulations (</w:t>
            </w:r>
            <w:r w:rsidR="00AD6C85">
              <w:t>nineteenth</w:t>
            </w:r>
            <w:r w:rsidR="00AD6C85" w:rsidRPr="00D14250">
              <w:t xml:space="preserve"> </w:t>
            </w:r>
            <w:r w:rsidR="007A0B80" w:rsidRPr="00D14250">
              <w:t>revised edition)</w:t>
            </w:r>
          </w:p>
          <w:p w:rsidR="00153F43" w:rsidRPr="00897230" w:rsidRDefault="00153F43" w:rsidP="00AD6C85">
            <w:pPr>
              <w:suppressAutoHyphens w:val="0"/>
              <w:spacing w:before="40" w:after="120"/>
              <w:ind w:left="-5" w:right="113"/>
            </w:pPr>
            <w:r w:rsidRPr="007A46CD">
              <w:rPr>
                <w:i/>
              </w:rPr>
              <w:t>Performance measures</w:t>
            </w:r>
            <w:r w:rsidRPr="003A6BCB">
              <w:t>:</w:t>
            </w:r>
            <w:r>
              <w:br/>
            </w:r>
            <w:r w:rsidRPr="003A6BCB">
              <w:t xml:space="preserve">Target </w:t>
            </w:r>
            <w:r w:rsidR="00A072CD">
              <w:t>2016</w:t>
            </w:r>
            <w:r>
              <w:t>–</w:t>
            </w:r>
            <w:r w:rsidR="00A072CD">
              <w:t>2017</w:t>
            </w:r>
            <w:r w:rsidRPr="003A6BCB">
              <w:t xml:space="preserve">: </w:t>
            </w:r>
            <w:r>
              <w:br/>
            </w:r>
            <w:r w:rsidRPr="003A6BCB">
              <w:t>1 set of amendments to each legal instrument</w:t>
            </w:r>
          </w:p>
        </w:tc>
        <w:tc>
          <w:tcPr>
            <w:tcW w:w="2126" w:type="dxa"/>
            <w:shd w:val="clear" w:color="auto" w:fill="auto"/>
          </w:tcPr>
          <w:p w:rsidR="00153F43" w:rsidRPr="00897230" w:rsidRDefault="00153F43" w:rsidP="00A072CD">
            <w:pPr>
              <w:suppressAutoHyphens w:val="0"/>
              <w:spacing w:before="40" w:after="120" w:line="220" w:lineRule="exact"/>
              <w:ind w:right="113"/>
            </w:pPr>
            <w:r w:rsidRPr="003A6BCB">
              <w:t xml:space="preserve">Baseline </w:t>
            </w:r>
            <w:r w:rsidR="00A072CD">
              <w:t>2014</w:t>
            </w:r>
            <w:r>
              <w:t>–</w:t>
            </w:r>
            <w:r w:rsidR="00A072CD">
              <w:t>2015</w:t>
            </w:r>
            <w:r w:rsidRPr="003A6BCB">
              <w:t xml:space="preserve">: </w:t>
            </w:r>
            <w:r>
              <w:br/>
            </w:r>
            <w:r w:rsidRPr="003A6BCB">
              <w:t>1 set of amendments to each legal instrument</w:t>
            </w:r>
            <w:r>
              <w:br/>
            </w:r>
          </w:p>
        </w:tc>
      </w:tr>
      <w:tr w:rsidR="00153F43" w:rsidRPr="00897230" w:rsidTr="00800839">
        <w:trPr>
          <w:cantSplit/>
        </w:trPr>
        <w:tc>
          <w:tcPr>
            <w:tcW w:w="1255" w:type="dxa"/>
            <w:shd w:val="clear" w:color="auto" w:fill="auto"/>
          </w:tcPr>
          <w:p w:rsidR="00153F43" w:rsidRPr="00897230" w:rsidRDefault="00153F43" w:rsidP="00800839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2573" w:type="dxa"/>
            <w:shd w:val="clear" w:color="auto" w:fill="auto"/>
          </w:tcPr>
          <w:p w:rsidR="00153F43" w:rsidRPr="00897230" w:rsidRDefault="00153F43" w:rsidP="00800839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2551" w:type="dxa"/>
            <w:shd w:val="clear" w:color="auto" w:fill="auto"/>
          </w:tcPr>
          <w:p w:rsidR="00153F43" w:rsidRPr="00DB2E20" w:rsidRDefault="00153F43" w:rsidP="00800839">
            <w:pPr>
              <w:suppressAutoHyphens w:val="0"/>
              <w:spacing w:before="40" w:after="120"/>
              <w:ind w:right="113"/>
            </w:pPr>
            <w:r w:rsidRPr="00DB2E20">
              <w:t xml:space="preserve">IA 9.a. (b) </w:t>
            </w:r>
            <w:r w:rsidR="007A0B80" w:rsidRPr="00D14250">
              <w:t xml:space="preserve">Publication of the consolidated </w:t>
            </w:r>
            <w:r w:rsidR="00AD6C85">
              <w:t>2017</w:t>
            </w:r>
            <w:r w:rsidR="00AD6C85" w:rsidRPr="00D14250">
              <w:t xml:space="preserve"> </w:t>
            </w:r>
            <w:r w:rsidR="007A0B80" w:rsidRPr="00D14250">
              <w:t xml:space="preserve">revised editions of ADR and ADN before end </w:t>
            </w:r>
            <w:r w:rsidR="00AD6C85">
              <w:t>2016</w:t>
            </w:r>
          </w:p>
          <w:p w:rsidR="00153F43" w:rsidRPr="003A6BCB" w:rsidRDefault="00153F43" w:rsidP="00A072CD">
            <w:pPr>
              <w:suppressAutoHyphens w:val="0"/>
              <w:spacing w:before="40" w:after="120"/>
              <w:ind w:right="113"/>
            </w:pPr>
            <w:r w:rsidRPr="007A46CD">
              <w:rPr>
                <w:i/>
              </w:rPr>
              <w:t>Performance measures</w:t>
            </w:r>
            <w:r w:rsidRPr="00DB2E20">
              <w:t>:</w:t>
            </w:r>
            <w:r w:rsidRPr="00DB2E20">
              <w:br/>
              <w:t xml:space="preserve">Target </w:t>
            </w:r>
            <w:r w:rsidR="00A072CD">
              <w:t>2016</w:t>
            </w:r>
            <w:r w:rsidRPr="00DB2E20">
              <w:t>–</w:t>
            </w:r>
            <w:r w:rsidR="00A072CD">
              <w:t>2017</w:t>
            </w:r>
            <w:r w:rsidRPr="00DB2E20">
              <w:t xml:space="preserve">: </w:t>
            </w:r>
            <w:r>
              <w:br/>
            </w:r>
            <w:r w:rsidRPr="00DB2E20">
              <w:t>1 ADR, 1 ADN</w:t>
            </w:r>
          </w:p>
        </w:tc>
        <w:tc>
          <w:tcPr>
            <w:tcW w:w="2126" w:type="dxa"/>
            <w:shd w:val="clear" w:color="auto" w:fill="auto"/>
          </w:tcPr>
          <w:p w:rsidR="00153F43" w:rsidRDefault="00153F43" w:rsidP="00A072CD">
            <w:pPr>
              <w:suppressAutoHyphens w:val="0"/>
              <w:spacing w:before="40" w:after="120" w:line="220" w:lineRule="exact"/>
              <w:ind w:right="113"/>
            </w:pPr>
            <w:r w:rsidRPr="007A46CD">
              <w:rPr>
                <w:lang w:val="da-DK"/>
              </w:rPr>
              <w:t xml:space="preserve">Baseline </w:t>
            </w:r>
            <w:r w:rsidR="00A072CD">
              <w:rPr>
                <w:lang w:val="da-DK"/>
              </w:rPr>
              <w:t>2014</w:t>
            </w:r>
            <w:r w:rsidRPr="007A46CD">
              <w:rPr>
                <w:lang w:val="da-DK"/>
              </w:rPr>
              <w:t>–</w:t>
            </w:r>
            <w:r w:rsidR="00A072CD">
              <w:rPr>
                <w:lang w:val="da-DK"/>
              </w:rPr>
              <w:t>2015</w:t>
            </w:r>
            <w:r w:rsidRPr="007A46CD">
              <w:rPr>
                <w:lang w:val="da-DK"/>
              </w:rPr>
              <w:t xml:space="preserve">: </w:t>
            </w:r>
            <w:r w:rsidRPr="007A46CD">
              <w:rPr>
                <w:lang w:val="da-DK"/>
              </w:rPr>
              <w:br/>
              <w:t>1 ADR, 1 ADN</w:t>
            </w:r>
          </w:p>
        </w:tc>
      </w:tr>
      <w:tr w:rsidR="00153F43" w:rsidRPr="00897230" w:rsidTr="00800839">
        <w:trPr>
          <w:cantSplit/>
        </w:trPr>
        <w:tc>
          <w:tcPr>
            <w:tcW w:w="1255" w:type="dxa"/>
            <w:shd w:val="clear" w:color="auto" w:fill="auto"/>
          </w:tcPr>
          <w:p w:rsidR="00153F43" w:rsidRPr="00897230" w:rsidRDefault="00153F43" w:rsidP="00800839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2573" w:type="dxa"/>
            <w:shd w:val="clear" w:color="auto" w:fill="auto"/>
          </w:tcPr>
          <w:p w:rsidR="00153F43" w:rsidRPr="00897230" w:rsidRDefault="00153F43" w:rsidP="00A072CD">
            <w:pPr>
              <w:suppressAutoHyphens w:val="0"/>
              <w:spacing w:before="40" w:after="120" w:line="220" w:lineRule="exact"/>
              <w:ind w:right="113"/>
            </w:pPr>
            <w:r w:rsidRPr="000B3CD7">
              <w:t xml:space="preserve">EA 9.b. </w:t>
            </w:r>
            <w:r w:rsidR="007A0B80" w:rsidRPr="00D14250">
              <w:t>Adoption of a road map on how to set up the administrative structures required for implementation of ADR. Development of recommendations and/or guidelines based on this road map.</w:t>
            </w:r>
          </w:p>
        </w:tc>
        <w:tc>
          <w:tcPr>
            <w:tcW w:w="2551" w:type="dxa"/>
            <w:shd w:val="clear" w:color="auto" w:fill="auto"/>
          </w:tcPr>
          <w:p w:rsidR="00153F43" w:rsidRDefault="00153F43" w:rsidP="00800839">
            <w:pPr>
              <w:suppressAutoHyphens w:val="0"/>
              <w:spacing w:before="40" w:after="120"/>
              <w:ind w:right="113"/>
            </w:pPr>
            <w:r>
              <w:t xml:space="preserve">IA 9.b. </w:t>
            </w:r>
            <w:r w:rsidR="007A0B80" w:rsidRPr="00D14250">
              <w:t>Road map adopted and recommendations/guidelines available.</w:t>
            </w:r>
          </w:p>
          <w:p w:rsidR="00153F43" w:rsidRPr="00DB2E20" w:rsidRDefault="00153F43" w:rsidP="00730393">
            <w:pPr>
              <w:suppressAutoHyphens w:val="0"/>
              <w:spacing w:before="40" w:after="120"/>
              <w:ind w:right="113"/>
            </w:pPr>
            <w:r w:rsidRPr="003A6BCB">
              <w:rPr>
                <w:i/>
              </w:rPr>
              <w:t>Performance measures</w:t>
            </w:r>
            <w:r w:rsidRPr="003A6BCB">
              <w:t>:</w:t>
            </w:r>
            <w:r>
              <w:br/>
            </w:r>
            <w:r w:rsidRPr="003A6BCB">
              <w:t xml:space="preserve">Target: </w:t>
            </w:r>
            <w:r w:rsidR="00730393">
              <w:t>2016</w:t>
            </w:r>
            <w:r>
              <w:t>–</w:t>
            </w:r>
            <w:r w:rsidR="00730393">
              <w:t>2017</w:t>
            </w:r>
            <w:r w:rsidRPr="003A6BCB">
              <w:t>:</w:t>
            </w:r>
            <w:r>
              <w:br/>
              <w:t>Not applicable</w:t>
            </w:r>
          </w:p>
        </w:tc>
        <w:tc>
          <w:tcPr>
            <w:tcW w:w="2126" w:type="dxa"/>
            <w:shd w:val="clear" w:color="auto" w:fill="auto"/>
          </w:tcPr>
          <w:p w:rsidR="00153F43" w:rsidRPr="007A46CD" w:rsidRDefault="00153F43" w:rsidP="00730393">
            <w:pPr>
              <w:suppressAutoHyphens w:val="0"/>
              <w:spacing w:before="40" w:after="120" w:line="220" w:lineRule="exact"/>
              <w:ind w:right="113"/>
              <w:rPr>
                <w:lang w:val="da-DK"/>
              </w:rPr>
            </w:pPr>
            <w:r w:rsidRPr="007A46CD">
              <w:rPr>
                <w:lang w:val="da-DK"/>
              </w:rPr>
              <w:t xml:space="preserve">Baseline </w:t>
            </w:r>
            <w:r w:rsidR="00730393">
              <w:rPr>
                <w:lang w:val="da-DK"/>
              </w:rPr>
              <w:t>2014</w:t>
            </w:r>
            <w:r w:rsidRPr="007A46CD">
              <w:rPr>
                <w:lang w:val="da-DK"/>
              </w:rPr>
              <w:t>–</w:t>
            </w:r>
            <w:r w:rsidR="00730393">
              <w:rPr>
                <w:lang w:val="da-DK"/>
              </w:rPr>
              <w:t>2015</w:t>
            </w:r>
            <w:r w:rsidRPr="007A46CD">
              <w:rPr>
                <w:lang w:val="da-DK"/>
              </w:rPr>
              <w:t>:</w:t>
            </w:r>
            <w:r>
              <w:rPr>
                <w:lang w:val="da-DK"/>
              </w:rPr>
              <w:t xml:space="preserve"> </w:t>
            </w:r>
            <w:r w:rsidR="00730393">
              <w:rPr>
                <w:lang w:val="da-DK"/>
              </w:rPr>
              <w:t>Not applicable</w:t>
            </w:r>
            <w:r>
              <w:rPr>
                <w:lang w:val="da-DK"/>
              </w:rPr>
              <w:br/>
            </w:r>
          </w:p>
        </w:tc>
      </w:tr>
      <w:tr w:rsidR="00A072CD" w:rsidRPr="00897230" w:rsidTr="00800839">
        <w:trPr>
          <w:cantSplit/>
        </w:trPr>
        <w:tc>
          <w:tcPr>
            <w:tcW w:w="1255" w:type="dxa"/>
            <w:shd w:val="clear" w:color="auto" w:fill="auto"/>
          </w:tcPr>
          <w:p w:rsidR="00A072CD" w:rsidRPr="00897230" w:rsidRDefault="00A072CD" w:rsidP="00800839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2573" w:type="dxa"/>
            <w:shd w:val="clear" w:color="auto" w:fill="auto"/>
          </w:tcPr>
          <w:p w:rsidR="00A072CD" w:rsidRPr="00730393" w:rsidRDefault="00A072CD" w:rsidP="00A072CD">
            <w:pPr>
              <w:suppressAutoHyphens w:val="0"/>
              <w:spacing w:before="40" w:after="120" w:line="220" w:lineRule="exact"/>
              <w:ind w:right="113"/>
            </w:pPr>
            <w:r w:rsidRPr="00730393">
              <w:t>EA 9.c.</w:t>
            </w:r>
            <w:r w:rsidR="007A0B80" w:rsidRPr="00730393">
              <w:t xml:space="preserve"> Follow-up of the implementation of the road map on how to set up the administrative structures required for implementation of ADR for new and existing ADR member states.</w:t>
            </w:r>
          </w:p>
        </w:tc>
        <w:tc>
          <w:tcPr>
            <w:tcW w:w="2551" w:type="dxa"/>
            <w:shd w:val="clear" w:color="auto" w:fill="auto"/>
          </w:tcPr>
          <w:p w:rsidR="007A0B80" w:rsidRPr="00730393" w:rsidRDefault="007A0B80" w:rsidP="007A0B80">
            <w:pPr>
              <w:suppressAutoHyphens w:val="0"/>
              <w:spacing w:before="40" w:after="120"/>
              <w:ind w:left="113" w:right="113"/>
            </w:pPr>
            <w:r w:rsidRPr="00730393">
              <w:t>IA 9.c. ADR country information and obligatory reporting information (information on driver training certificates and information as indicated in Annex I of the road map) completed and published on UNECE website</w:t>
            </w:r>
          </w:p>
          <w:p w:rsidR="004A6514" w:rsidRPr="00730393" w:rsidRDefault="004A6514" w:rsidP="007A0B80">
            <w:pPr>
              <w:suppressAutoHyphens w:val="0"/>
              <w:spacing w:before="40" w:after="120"/>
              <w:ind w:left="113" w:right="113"/>
            </w:pPr>
            <w:r w:rsidRPr="00730393">
              <w:rPr>
                <w:i/>
              </w:rPr>
              <w:t>Performance measures</w:t>
            </w:r>
            <w:r w:rsidRPr="00730393">
              <w:t>:</w:t>
            </w:r>
            <w:r w:rsidRPr="00730393">
              <w:br/>
            </w:r>
            <w:r w:rsidR="00AD6C85" w:rsidRPr="00730393">
              <w:t>[</w:t>
            </w:r>
            <w:r w:rsidRPr="00730393">
              <w:t>Target: Information available for 75% of the Contracting parties to ADR</w:t>
            </w:r>
            <w:r w:rsidR="00AD6C85" w:rsidRPr="00730393">
              <w:t>]</w:t>
            </w:r>
          </w:p>
          <w:p w:rsidR="00A072CD" w:rsidRPr="00730393" w:rsidRDefault="00A072CD" w:rsidP="00800839">
            <w:pPr>
              <w:suppressAutoHyphens w:val="0"/>
              <w:spacing w:before="40" w:after="120"/>
              <w:ind w:right="113"/>
            </w:pPr>
          </w:p>
        </w:tc>
        <w:tc>
          <w:tcPr>
            <w:tcW w:w="2126" w:type="dxa"/>
            <w:shd w:val="clear" w:color="auto" w:fill="auto"/>
          </w:tcPr>
          <w:p w:rsidR="00A072CD" w:rsidRDefault="004A6514" w:rsidP="004A6514">
            <w:pPr>
              <w:suppressAutoHyphens w:val="0"/>
              <w:spacing w:before="40" w:after="120" w:line="220" w:lineRule="exact"/>
              <w:ind w:right="113"/>
            </w:pPr>
            <w:r w:rsidRPr="00730393">
              <w:t xml:space="preserve">Baseline 2014–2015: </w:t>
            </w:r>
            <w:r w:rsidR="00730393">
              <w:t>[</w:t>
            </w:r>
            <w:r w:rsidRPr="00730393">
              <w:t>Information available for 75% of the Contracting parties to ADR</w:t>
            </w:r>
            <w:r w:rsidR="00730393">
              <w:t>]</w:t>
            </w:r>
          </w:p>
          <w:p w:rsidR="00730393" w:rsidRPr="00730393" w:rsidRDefault="00730393" w:rsidP="004A6514">
            <w:pPr>
              <w:suppressAutoHyphens w:val="0"/>
              <w:spacing w:before="40" w:after="120" w:line="220" w:lineRule="exact"/>
              <w:ind w:right="113"/>
              <w:rPr>
                <w:i/>
                <w:lang w:val="da-DK"/>
              </w:rPr>
            </w:pPr>
            <w:r w:rsidRPr="00730393">
              <w:rPr>
                <w:b/>
                <w:i/>
              </w:rPr>
              <w:t>NOTE:</w:t>
            </w:r>
            <w:r w:rsidRPr="00730393">
              <w:rPr>
                <w:i/>
              </w:rPr>
              <w:t xml:space="preserve"> Detailed information will be provided before the session in an informal document.</w:t>
            </w:r>
          </w:p>
        </w:tc>
      </w:tr>
      <w:tr w:rsidR="00A072CD" w:rsidRPr="00897230" w:rsidTr="00800839">
        <w:trPr>
          <w:cantSplit/>
        </w:trPr>
        <w:tc>
          <w:tcPr>
            <w:tcW w:w="1255" w:type="dxa"/>
            <w:shd w:val="clear" w:color="auto" w:fill="auto"/>
          </w:tcPr>
          <w:p w:rsidR="00A072CD" w:rsidRPr="00897230" w:rsidRDefault="00A072CD" w:rsidP="00800839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2573" w:type="dxa"/>
            <w:shd w:val="clear" w:color="auto" w:fill="auto"/>
          </w:tcPr>
          <w:p w:rsidR="00A072CD" w:rsidRPr="000B3CD7" w:rsidRDefault="00A072CD" w:rsidP="00800839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2551" w:type="dxa"/>
            <w:shd w:val="clear" w:color="auto" w:fill="auto"/>
          </w:tcPr>
          <w:p w:rsidR="00A072CD" w:rsidRDefault="00A072CD" w:rsidP="00800839">
            <w:pPr>
              <w:suppressAutoHyphens w:val="0"/>
              <w:spacing w:before="40" w:after="120"/>
              <w:ind w:right="113"/>
            </w:pPr>
          </w:p>
        </w:tc>
        <w:tc>
          <w:tcPr>
            <w:tcW w:w="2126" w:type="dxa"/>
            <w:shd w:val="clear" w:color="auto" w:fill="auto"/>
          </w:tcPr>
          <w:p w:rsidR="00A072CD" w:rsidRPr="007A46CD" w:rsidRDefault="00A072CD" w:rsidP="00A072CD">
            <w:pPr>
              <w:suppressAutoHyphens w:val="0"/>
              <w:spacing w:before="40" w:after="120" w:line="220" w:lineRule="exact"/>
              <w:ind w:right="113"/>
              <w:rPr>
                <w:lang w:val="da-DK"/>
              </w:rPr>
            </w:pPr>
          </w:p>
        </w:tc>
      </w:tr>
    </w:tbl>
    <w:p w:rsidR="00153F43" w:rsidRPr="00BF7110" w:rsidRDefault="00153F43" w:rsidP="00153F43">
      <w:pPr>
        <w:spacing w:before="240"/>
        <w:ind w:left="1134" w:right="1134"/>
        <w:jc w:val="center"/>
        <w:rPr>
          <w:b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A6129C" w:rsidRDefault="00A6129C" w:rsidP="00C96DF2"/>
    <w:p w:rsidR="00A6129C" w:rsidRPr="002D6326" w:rsidRDefault="00A6129C" w:rsidP="002D6326">
      <w:pPr>
        <w:suppressAutoHyphens w:val="0"/>
        <w:spacing w:line="240" w:lineRule="auto"/>
        <w:rPr>
          <w:b/>
        </w:rPr>
      </w:pPr>
    </w:p>
    <w:sectPr w:rsidR="00A6129C" w:rsidRPr="002D6326" w:rsidSect="002D632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C3" w:rsidRDefault="002704C3"/>
  </w:endnote>
  <w:endnote w:type="continuationSeparator" w:id="0">
    <w:p w:rsidR="002704C3" w:rsidRDefault="002704C3"/>
  </w:endnote>
  <w:endnote w:type="continuationNotice" w:id="1">
    <w:p w:rsidR="002704C3" w:rsidRDefault="002704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26" w:rsidRPr="002D6326" w:rsidRDefault="002D6326" w:rsidP="002D6326">
    <w:pPr>
      <w:pStyle w:val="Footer"/>
      <w:tabs>
        <w:tab w:val="right" w:pos="9638"/>
      </w:tabs>
      <w:rPr>
        <w:sz w:val="18"/>
      </w:rPr>
    </w:pPr>
    <w:r w:rsidRPr="002D6326">
      <w:rPr>
        <w:b/>
        <w:sz w:val="18"/>
      </w:rPr>
      <w:fldChar w:fldCharType="begin"/>
    </w:r>
    <w:r w:rsidRPr="002D6326">
      <w:rPr>
        <w:b/>
        <w:sz w:val="18"/>
      </w:rPr>
      <w:instrText xml:space="preserve"> PAGE  \* MERGEFORMAT </w:instrText>
    </w:r>
    <w:r w:rsidRPr="002D6326">
      <w:rPr>
        <w:b/>
        <w:sz w:val="18"/>
      </w:rPr>
      <w:fldChar w:fldCharType="separate"/>
    </w:r>
    <w:r w:rsidR="008A7DB1">
      <w:rPr>
        <w:b/>
        <w:noProof/>
        <w:sz w:val="18"/>
      </w:rPr>
      <w:t>2</w:t>
    </w:r>
    <w:r w:rsidRPr="002D632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26" w:rsidRPr="002D6326" w:rsidRDefault="002D6326" w:rsidP="002D6326">
    <w:pPr>
      <w:pStyle w:val="Footer"/>
      <w:tabs>
        <w:tab w:val="right" w:pos="9638"/>
      </w:tabs>
      <w:rPr>
        <w:b/>
        <w:sz w:val="18"/>
      </w:rPr>
    </w:pPr>
    <w:r>
      <w:tab/>
    </w:r>
    <w:r w:rsidRPr="002D6326">
      <w:rPr>
        <w:b/>
        <w:sz w:val="18"/>
      </w:rPr>
      <w:fldChar w:fldCharType="begin"/>
    </w:r>
    <w:r w:rsidRPr="002D6326">
      <w:rPr>
        <w:b/>
        <w:sz w:val="18"/>
      </w:rPr>
      <w:instrText xml:space="preserve"> PAGE  \* MERGEFORMAT </w:instrText>
    </w:r>
    <w:r w:rsidRPr="002D6326">
      <w:rPr>
        <w:b/>
        <w:sz w:val="18"/>
      </w:rPr>
      <w:fldChar w:fldCharType="separate"/>
    </w:r>
    <w:r w:rsidR="008A7DB1">
      <w:rPr>
        <w:b/>
        <w:noProof/>
        <w:sz w:val="18"/>
      </w:rPr>
      <w:t>3</w:t>
    </w:r>
    <w:r w:rsidRPr="002D632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E5" w:rsidRPr="002D6326" w:rsidRDefault="00FF7D48">
    <w:pPr>
      <w:pStyle w:val="Footer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1" layoutInCell="1" allowOverlap="1" wp14:anchorId="3906C9A7" wp14:editId="5472DE3D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326">
      <w:rPr>
        <w:sz w:val="20"/>
      </w:rPr>
      <w:t>GE.</w:t>
    </w:r>
    <w:r w:rsidR="008A7DB1">
      <w:rPr>
        <w:sz w:val="20"/>
      </w:rPr>
      <w:t>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C3" w:rsidRPr="000B175B" w:rsidRDefault="002704C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704C3" w:rsidRPr="00FC68B7" w:rsidRDefault="002704C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704C3" w:rsidRDefault="002704C3"/>
  </w:footnote>
  <w:footnote w:id="2">
    <w:p w:rsidR="00146502" w:rsidRDefault="00146502" w:rsidP="00146502">
      <w:pPr>
        <w:pStyle w:val="FootnoteText"/>
        <w:widowControl w:val="0"/>
        <w:tabs>
          <w:tab w:val="clear" w:pos="1021"/>
          <w:tab w:val="right" w:pos="1020"/>
        </w:tabs>
        <w:jc w:val="both"/>
      </w:pPr>
      <w:r>
        <w:tab/>
      </w:r>
      <w:r>
        <w:rPr>
          <w:rStyle w:val="FootnoteReference"/>
        </w:rPr>
        <w:footnoteRef/>
      </w:r>
      <w:r>
        <w:tab/>
      </w:r>
      <w:proofErr w:type="gramStart"/>
      <w:r w:rsidRPr="00B24160">
        <w:t>In accordance with the programme of work of the Inland Transport Committee for 2014-2015 (ECE/TRANS/240, para. 100, ECE/TRANS/2014/23, cluster 9, para.9.1).</w:t>
      </w:r>
      <w:proofErr w:type="gramEnd"/>
    </w:p>
  </w:footnote>
  <w:footnote w:id="3">
    <w:p w:rsidR="007A0B80" w:rsidRPr="000069B8" w:rsidRDefault="007A0B80" w:rsidP="007A0B80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D93B4E">
        <w:t xml:space="preserve">European Agreement </w:t>
      </w:r>
      <w:r>
        <w:t>c</w:t>
      </w:r>
      <w:r w:rsidRPr="00D93B4E">
        <w:t>oncerning the International Carriage of Dangerous Goods by Road</w:t>
      </w:r>
      <w:r>
        <w:t xml:space="preserve"> </w:t>
      </w:r>
    </w:p>
  </w:footnote>
  <w:footnote w:id="4">
    <w:p w:rsidR="007A0B80" w:rsidRPr="000069B8" w:rsidRDefault="007A0B80" w:rsidP="007A0B80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D93B4E">
        <w:t>Regulations concerning the International Carriage of Dangerous Goods by Rail</w:t>
      </w:r>
      <w:r>
        <w:t xml:space="preserve"> </w:t>
      </w:r>
    </w:p>
  </w:footnote>
  <w:footnote w:id="5">
    <w:p w:rsidR="007A0B80" w:rsidRPr="000069B8" w:rsidRDefault="007A0B80" w:rsidP="007A0B80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D93B4E">
        <w:t>European Agreement concerning the International Carriage of Dangerous Goods by Inland Waterways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26" w:rsidRPr="002D6326" w:rsidRDefault="002D6326">
    <w:pPr>
      <w:pStyle w:val="Header"/>
    </w:pPr>
    <w:r>
      <w:t>ECE/TRANS/WP.15/2015/10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26" w:rsidRPr="002D6326" w:rsidRDefault="002D6326" w:rsidP="002D6326">
    <w:pPr>
      <w:pStyle w:val="Header"/>
      <w:jc w:val="right"/>
    </w:pPr>
    <w:r>
      <w:t>ECE/TRANS/WP.15/2015/10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3"/>
    <w:rsid w:val="0002598C"/>
    <w:rsid w:val="00046B1F"/>
    <w:rsid w:val="00050F6B"/>
    <w:rsid w:val="00057E97"/>
    <w:rsid w:val="000646F4"/>
    <w:rsid w:val="00072C8C"/>
    <w:rsid w:val="000733B5"/>
    <w:rsid w:val="00081815"/>
    <w:rsid w:val="000931C0"/>
    <w:rsid w:val="000B0595"/>
    <w:rsid w:val="000B175B"/>
    <w:rsid w:val="000B3A0F"/>
    <w:rsid w:val="000B4EF7"/>
    <w:rsid w:val="000C2C03"/>
    <w:rsid w:val="000C2D2E"/>
    <w:rsid w:val="000E0415"/>
    <w:rsid w:val="001103AA"/>
    <w:rsid w:val="0011666B"/>
    <w:rsid w:val="001373CA"/>
    <w:rsid w:val="00146502"/>
    <w:rsid w:val="00153F43"/>
    <w:rsid w:val="00165F3A"/>
    <w:rsid w:val="001B4B04"/>
    <w:rsid w:val="001C6663"/>
    <w:rsid w:val="001C7895"/>
    <w:rsid w:val="001D0C8C"/>
    <w:rsid w:val="001D1419"/>
    <w:rsid w:val="001D26DF"/>
    <w:rsid w:val="001D3A03"/>
    <w:rsid w:val="001E7B67"/>
    <w:rsid w:val="00202DA8"/>
    <w:rsid w:val="00211E0B"/>
    <w:rsid w:val="00237E67"/>
    <w:rsid w:val="0024772E"/>
    <w:rsid w:val="00267F5F"/>
    <w:rsid w:val="002704C3"/>
    <w:rsid w:val="00286B4D"/>
    <w:rsid w:val="002D4643"/>
    <w:rsid w:val="002D6326"/>
    <w:rsid w:val="002F175C"/>
    <w:rsid w:val="00302E18"/>
    <w:rsid w:val="003229D8"/>
    <w:rsid w:val="00352709"/>
    <w:rsid w:val="003619B5"/>
    <w:rsid w:val="00365763"/>
    <w:rsid w:val="00371178"/>
    <w:rsid w:val="00392E47"/>
    <w:rsid w:val="003A6810"/>
    <w:rsid w:val="003C2CC4"/>
    <w:rsid w:val="003D1847"/>
    <w:rsid w:val="003D4B23"/>
    <w:rsid w:val="003E130E"/>
    <w:rsid w:val="00410C89"/>
    <w:rsid w:val="00422D28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A6514"/>
    <w:rsid w:val="004C2461"/>
    <w:rsid w:val="004C7462"/>
    <w:rsid w:val="004E77B2"/>
    <w:rsid w:val="00504B2D"/>
    <w:rsid w:val="0052136D"/>
    <w:rsid w:val="00525D21"/>
    <w:rsid w:val="0052775E"/>
    <w:rsid w:val="005420F2"/>
    <w:rsid w:val="005628B6"/>
    <w:rsid w:val="005941EC"/>
    <w:rsid w:val="0059724D"/>
    <w:rsid w:val="005B3DB3"/>
    <w:rsid w:val="005B4E13"/>
    <w:rsid w:val="005C342F"/>
    <w:rsid w:val="005F7B75"/>
    <w:rsid w:val="006001EE"/>
    <w:rsid w:val="00605042"/>
    <w:rsid w:val="00611FC4"/>
    <w:rsid w:val="006176FB"/>
    <w:rsid w:val="00640B26"/>
    <w:rsid w:val="00652D0A"/>
    <w:rsid w:val="00662BB6"/>
    <w:rsid w:val="00676606"/>
    <w:rsid w:val="00684C21"/>
    <w:rsid w:val="00697E36"/>
    <w:rsid w:val="006A2530"/>
    <w:rsid w:val="006C3589"/>
    <w:rsid w:val="006C5F96"/>
    <w:rsid w:val="006D37AF"/>
    <w:rsid w:val="006D51D0"/>
    <w:rsid w:val="006D5FB9"/>
    <w:rsid w:val="006E564B"/>
    <w:rsid w:val="006E7191"/>
    <w:rsid w:val="00703577"/>
    <w:rsid w:val="00705894"/>
    <w:rsid w:val="0072632A"/>
    <w:rsid w:val="00730393"/>
    <w:rsid w:val="007327D5"/>
    <w:rsid w:val="007629C8"/>
    <w:rsid w:val="0077047D"/>
    <w:rsid w:val="007731BC"/>
    <w:rsid w:val="007A0B80"/>
    <w:rsid w:val="007B6BA5"/>
    <w:rsid w:val="007C3390"/>
    <w:rsid w:val="007C4F4B"/>
    <w:rsid w:val="007E01E9"/>
    <w:rsid w:val="007E63F3"/>
    <w:rsid w:val="007F6611"/>
    <w:rsid w:val="00811920"/>
    <w:rsid w:val="00815AD0"/>
    <w:rsid w:val="008242D7"/>
    <w:rsid w:val="008257B1"/>
    <w:rsid w:val="00832334"/>
    <w:rsid w:val="00843767"/>
    <w:rsid w:val="008679D9"/>
    <w:rsid w:val="008878DE"/>
    <w:rsid w:val="008979B1"/>
    <w:rsid w:val="008A6B25"/>
    <w:rsid w:val="008A6C4F"/>
    <w:rsid w:val="008A7DB1"/>
    <w:rsid w:val="008B2335"/>
    <w:rsid w:val="008E0678"/>
    <w:rsid w:val="008F31D2"/>
    <w:rsid w:val="00917FDE"/>
    <w:rsid w:val="009223CA"/>
    <w:rsid w:val="00940F93"/>
    <w:rsid w:val="009760F3"/>
    <w:rsid w:val="00976CFB"/>
    <w:rsid w:val="009A0830"/>
    <w:rsid w:val="009A0E8D"/>
    <w:rsid w:val="009B26E7"/>
    <w:rsid w:val="00A00697"/>
    <w:rsid w:val="00A00A3F"/>
    <w:rsid w:val="00A01489"/>
    <w:rsid w:val="00A072CD"/>
    <w:rsid w:val="00A3026E"/>
    <w:rsid w:val="00A338F1"/>
    <w:rsid w:val="00A35BE0"/>
    <w:rsid w:val="00A6129C"/>
    <w:rsid w:val="00A67266"/>
    <w:rsid w:val="00A72F22"/>
    <w:rsid w:val="00A7360F"/>
    <w:rsid w:val="00A748A6"/>
    <w:rsid w:val="00A769F4"/>
    <w:rsid w:val="00A776B4"/>
    <w:rsid w:val="00A94361"/>
    <w:rsid w:val="00AA293C"/>
    <w:rsid w:val="00AD6C85"/>
    <w:rsid w:val="00B24160"/>
    <w:rsid w:val="00B30179"/>
    <w:rsid w:val="00B421C1"/>
    <w:rsid w:val="00B55C71"/>
    <w:rsid w:val="00B56E4A"/>
    <w:rsid w:val="00B56E9C"/>
    <w:rsid w:val="00B64B1F"/>
    <w:rsid w:val="00B6553F"/>
    <w:rsid w:val="00B77D05"/>
    <w:rsid w:val="00B81206"/>
    <w:rsid w:val="00B81E12"/>
    <w:rsid w:val="00BC3FA0"/>
    <w:rsid w:val="00BC74E9"/>
    <w:rsid w:val="00BF4234"/>
    <w:rsid w:val="00BF68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4A8F"/>
    <w:rsid w:val="00D2031B"/>
    <w:rsid w:val="00D248B6"/>
    <w:rsid w:val="00D25FE2"/>
    <w:rsid w:val="00D43252"/>
    <w:rsid w:val="00D47EEA"/>
    <w:rsid w:val="00D773DF"/>
    <w:rsid w:val="00D95303"/>
    <w:rsid w:val="00D978C6"/>
    <w:rsid w:val="00DA3C1C"/>
    <w:rsid w:val="00E046DF"/>
    <w:rsid w:val="00E2186F"/>
    <w:rsid w:val="00E27346"/>
    <w:rsid w:val="00E71BC8"/>
    <w:rsid w:val="00E7260F"/>
    <w:rsid w:val="00E73F5D"/>
    <w:rsid w:val="00E77E4E"/>
    <w:rsid w:val="00E96630"/>
    <w:rsid w:val="00ED7A2A"/>
    <w:rsid w:val="00EF1D7F"/>
    <w:rsid w:val="00EF3E9C"/>
    <w:rsid w:val="00F31E5F"/>
    <w:rsid w:val="00F6100A"/>
    <w:rsid w:val="00F93781"/>
    <w:rsid w:val="00FA7D6D"/>
    <w:rsid w:val="00FB613B"/>
    <w:rsid w:val="00FC68B7"/>
    <w:rsid w:val="00FD3F98"/>
    <w:rsid w:val="00FD67D2"/>
    <w:rsid w:val="00FE106A"/>
    <w:rsid w:val="00FF145D"/>
    <w:rsid w:val="00FF500E"/>
    <w:rsid w:val="00FF7D02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,Footnote Reference/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2704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04C3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153F43"/>
    <w:rPr>
      <w:b/>
      <w:sz w:val="28"/>
      <w:lang w:eastAsia="en-US"/>
    </w:rPr>
  </w:style>
  <w:style w:type="character" w:customStyle="1" w:styleId="H1GChar">
    <w:name w:val="_ H_1_G Char"/>
    <w:link w:val="H1G"/>
    <w:rsid w:val="00153F43"/>
    <w:rPr>
      <w:b/>
      <w:sz w:val="24"/>
      <w:lang w:eastAsia="en-US"/>
    </w:rPr>
  </w:style>
  <w:style w:type="character" w:customStyle="1" w:styleId="FootnoteTextChar">
    <w:name w:val="Footnote Text Char"/>
    <w:aliases w:val="5_G Char,5_GR Char"/>
    <w:link w:val="FootnoteText"/>
    <w:rsid w:val="00146502"/>
    <w:rPr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,Footnote Reference/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2704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04C3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153F43"/>
    <w:rPr>
      <w:b/>
      <w:sz w:val="28"/>
      <w:lang w:eastAsia="en-US"/>
    </w:rPr>
  </w:style>
  <w:style w:type="character" w:customStyle="1" w:styleId="H1GChar">
    <w:name w:val="_ H_1_G Char"/>
    <w:link w:val="H1G"/>
    <w:rsid w:val="00153F43"/>
    <w:rPr>
      <w:b/>
      <w:sz w:val="24"/>
      <w:lang w:eastAsia="en-US"/>
    </w:rPr>
  </w:style>
  <w:style w:type="character" w:customStyle="1" w:styleId="FootnoteTextChar">
    <w:name w:val="Footnote Text Char"/>
    <w:aliases w:val="5_G Char,5_GR Char"/>
    <w:link w:val="FootnoteText"/>
    <w:rsid w:val="00146502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4344-29EF-43CE-9775-58425C97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TRANS_WP15_AC1_E.dotm</Template>
  <TotalTime>3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Editorial corrections</dc:creator>
  <cp:lastModifiedBy>barrio-champeau</cp:lastModifiedBy>
  <cp:revision>5</cp:revision>
  <cp:lastPrinted>2015-08-28T06:35:00Z</cp:lastPrinted>
  <dcterms:created xsi:type="dcterms:W3CDTF">2015-08-27T12:43:00Z</dcterms:created>
  <dcterms:modified xsi:type="dcterms:W3CDTF">2015-08-28T06:35:00Z</dcterms:modified>
</cp:coreProperties>
</file>