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28" w:rsidRPr="00B435C0" w:rsidRDefault="008A7528" w:rsidP="008A7528">
      <w:pPr>
        <w:spacing w:line="60" w:lineRule="exact"/>
        <w:rPr>
          <w:color w:val="010000"/>
          <w:sz w:val="6"/>
        </w:rPr>
        <w:sectPr w:rsidR="008A7528" w:rsidRPr="00B435C0" w:rsidSect="008A75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FD79FC" w:rsidRPr="00C558FC" w:rsidRDefault="00FD79FC" w:rsidP="00C558FC">
      <w:pPr>
        <w:rPr>
          <w:b/>
          <w:sz w:val="28"/>
          <w:szCs w:val="28"/>
        </w:rPr>
      </w:pPr>
      <w:r w:rsidRPr="00C558FC">
        <w:rPr>
          <w:b/>
          <w:sz w:val="28"/>
          <w:szCs w:val="28"/>
        </w:rPr>
        <w:lastRenderedPageBreak/>
        <w:t>Европейская экономическая комиссия</w:t>
      </w:r>
    </w:p>
    <w:p w:rsidR="00C558FC" w:rsidRPr="00C558FC" w:rsidRDefault="00C558FC" w:rsidP="00C558FC">
      <w:pPr>
        <w:spacing w:line="120" w:lineRule="exact"/>
        <w:rPr>
          <w:sz w:val="10"/>
        </w:rPr>
      </w:pPr>
    </w:p>
    <w:p w:rsidR="00FD79FC" w:rsidRPr="00C558FC" w:rsidRDefault="00FD79FC" w:rsidP="00C558FC">
      <w:pPr>
        <w:rPr>
          <w:sz w:val="28"/>
          <w:szCs w:val="28"/>
        </w:rPr>
      </w:pPr>
      <w:r w:rsidRPr="00C558FC">
        <w:rPr>
          <w:sz w:val="28"/>
          <w:szCs w:val="28"/>
        </w:rPr>
        <w:t>Комитет по внутреннему транспорту</w:t>
      </w:r>
    </w:p>
    <w:p w:rsidR="00C558FC" w:rsidRPr="00C558FC" w:rsidRDefault="00C558FC" w:rsidP="00C558FC">
      <w:pPr>
        <w:spacing w:line="120" w:lineRule="exact"/>
        <w:rPr>
          <w:sz w:val="10"/>
        </w:rPr>
      </w:pPr>
    </w:p>
    <w:p w:rsidR="00FD79FC" w:rsidRPr="00C558FC" w:rsidRDefault="00FD79FC" w:rsidP="00C558FC">
      <w:pPr>
        <w:rPr>
          <w:b/>
          <w:sz w:val="24"/>
          <w:szCs w:val="24"/>
        </w:rPr>
      </w:pPr>
      <w:r w:rsidRPr="00C558FC">
        <w:rPr>
          <w:b/>
          <w:sz w:val="24"/>
          <w:szCs w:val="24"/>
        </w:rPr>
        <w:t>Рабочая группа по перевозкам опасных грузов</w:t>
      </w:r>
    </w:p>
    <w:p w:rsidR="00C558FC" w:rsidRPr="00C558FC" w:rsidRDefault="00C558FC" w:rsidP="00C558FC">
      <w:pPr>
        <w:spacing w:line="120" w:lineRule="exact"/>
        <w:rPr>
          <w:sz w:val="10"/>
        </w:rPr>
      </w:pPr>
    </w:p>
    <w:p w:rsidR="00FD79FC" w:rsidRPr="00C558FC" w:rsidRDefault="00FD79FC" w:rsidP="00C558FC">
      <w:pPr>
        <w:rPr>
          <w:b/>
        </w:rPr>
      </w:pPr>
      <w:r w:rsidRPr="00C558FC">
        <w:rPr>
          <w:b/>
        </w:rPr>
        <w:t>Девяносто девятая сессия</w:t>
      </w:r>
    </w:p>
    <w:p w:rsidR="00FD79FC" w:rsidRPr="00FD79FC" w:rsidRDefault="00FD79FC" w:rsidP="00C558FC">
      <w:r w:rsidRPr="00FD79FC">
        <w:t>Женева, 9−13 ноября 2015</w:t>
      </w:r>
      <w:r w:rsidR="00EE2F3A">
        <w:t> год</w:t>
      </w:r>
      <w:r w:rsidRPr="00FD79FC">
        <w:t>а</w:t>
      </w:r>
    </w:p>
    <w:p w:rsidR="00FD79FC" w:rsidRPr="00FD79FC" w:rsidRDefault="00FD79FC" w:rsidP="00C558FC">
      <w:r w:rsidRPr="00FD79FC">
        <w:t>Пункт 7 предварительной повестки дня</w:t>
      </w:r>
    </w:p>
    <w:p w:rsidR="00FD79FC" w:rsidRPr="00C558FC" w:rsidRDefault="00FD79FC" w:rsidP="00C558FC">
      <w:pPr>
        <w:rPr>
          <w:b/>
        </w:rPr>
      </w:pPr>
      <w:r w:rsidRPr="00C558FC">
        <w:rPr>
          <w:b/>
        </w:rPr>
        <w:t>Программа работы</w:t>
      </w:r>
    </w:p>
    <w:p w:rsidR="00C558FC" w:rsidRPr="00C558FC" w:rsidRDefault="00C558FC" w:rsidP="00C558FC">
      <w:pPr>
        <w:pStyle w:val="SingleTxt"/>
        <w:spacing w:after="0" w:line="120" w:lineRule="exact"/>
        <w:rPr>
          <w:b/>
          <w:sz w:val="10"/>
        </w:rPr>
      </w:pPr>
    </w:p>
    <w:p w:rsidR="00C558FC" w:rsidRPr="00C558FC" w:rsidRDefault="00C558FC" w:rsidP="00C558FC">
      <w:pPr>
        <w:pStyle w:val="SingleTxt"/>
        <w:spacing w:after="0" w:line="120" w:lineRule="exact"/>
        <w:rPr>
          <w:b/>
          <w:sz w:val="10"/>
        </w:rPr>
      </w:pPr>
    </w:p>
    <w:p w:rsidR="00C558FC" w:rsidRPr="00C558FC" w:rsidRDefault="00C558FC" w:rsidP="00C558FC">
      <w:pPr>
        <w:pStyle w:val="SingleTxt"/>
        <w:spacing w:after="0" w:line="120" w:lineRule="exact"/>
        <w:rPr>
          <w:b/>
          <w:sz w:val="10"/>
        </w:rPr>
      </w:pPr>
    </w:p>
    <w:p w:rsidR="00FD79FC" w:rsidRPr="00FD79FC" w:rsidRDefault="00FD79FC" w:rsidP="00C558F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79FC">
        <w:tab/>
      </w:r>
      <w:r w:rsidRPr="00FD79FC">
        <w:tab/>
        <w:t xml:space="preserve">Двухгодичная оценка </w:t>
      </w:r>
    </w:p>
    <w:p w:rsidR="00C558FC" w:rsidRPr="00C558FC" w:rsidRDefault="00C558FC" w:rsidP="00C558FC">
      <w:pPr>
        <w:pStyle w:val="SingleTxt"/>
        <w:spacing w:after="0" w:line="120" w:lineRule="exact"/>
        <w:rPr>
          <w:b/>
          <w:sz w:val="10"/>
        </w:rPr>
      </w:pPr>
    </w:p>
    <w:p w:rsidR="00C558FC" w:rsidRPr="00C558FC" w:rsidRDefault="00C558FC" w:rsidP="00C558FC">
      <w:pPr>
        <w:pStyle w:val="SingleTxt"/>
        <w:spacing w:after="0" w:line="120" w:lineRule="exact"/>
        <w:rPr>
          <w:b/>
          <w:sz w:val="10"/>
        </w:rPr>
      </w:pPr>
    </w:p>
    <w:p w:rsidR="00FD79FC" w:rsidRPr="00FD79FC" w:rsidRDefault="00FD79FC" w:rsidP="00C558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D79FC">
        <w:tab/>
      </w:r>
      <w:r w:rsidRPr="00FD79FC">
        <w:tab/>
        <w:t>Записка секретариата</w:t>
      </w:r>
      <w:r w:rsidR="00C558FC" w:rsidRPr="00EE2F3A">
        <w:rPr>
          <w:rStyle w:val="Appelnotedebasdep"/>
          <w:b w:val="0"/>
          <w:sz w:val="20"/>
          <w:szCs w:val="20"/>
        </w:rPr>
        <w:footnoteReference w:id="1"/>
      </w:r>
    </w:p>
    <w:p w:rsidR="00C558FC" w:rsidRPr="00C558FC" w:rsidRDefault="00C558FC" w:rsidP="00C558FC">
      <w:pPr>
        <w:pStyle w:val="SingleTxt"/>
        <w:spacing w:after="0" w:line="120" w:lineRule="exact"/>
        <w:rPr>
          <w:sz w:val="10"/>
        </w:rPr>
      </w:pPr>
    </w:p>
    <w:p w:rsidR="00C558FC" w:rsidRPr="00C558FC" w:rsidRDefault="00C558FC" w:rsidP="00C558FC">
      <w:pPr>
        <w:pStyle w:val="SingleTxt"/>
        <w:spacing w:after="0" w:line="120" w:lineRule="exact"/>
        <w:rPr>
          <w:sz w:val="10"/>
        </w:rPr>
      </w:pPr>
    </w:p>
    <w:p w:rsidR="00FD79FC" w:rsidRPr="00FD79FC" w:rsidRDefault="00FD79FC" w:rsidP="00FD79FC">
      <w:pPr>
        <w:pStyle w:val="SingleTxt"/>
        <w:rPr>
          <w:bCs/>
        </w:rPr>
      </w:pPr>
      <w:r w:rsidRPr="00FD79FC">
        <w:t>1.</w:t>
      </w:r>
      <w:r w:rsidRPr="00FD79FC">
        <w:tab/>
        <w:t xml:space="preserve">На основе решений, принятых на пятьдесят восьмой сессии в июне </w:t>
      </w:r>
      <w:r w:rsidRPr="00FD79FC">
        <w:br/>
        <w:t>2007</w:t>
      </w:r>
      <w:r w:rsidR="00EE2F3A">
        <w:t> год</w:t>
      </w:r>
      <w:r w:rsidRPr="00FD79FC">
        <w:t xml:space="preserve">а (ECE/TRANS/WP.15/194, пункты 61−63 и приложение </w:t>
      </w:r>
      <w:r w:rsidRPr="00FD79FC">
        <w:rPr>
          <w:lang w:val="en-US"/>
        </w:rPr>
        <w:t>III</w:t>
      </w:r>
      <w:r w:rsidRPr="00FD79FC">
        <w:t>), результативность деятельности Рабочей группы определяется в рамках двухгодичной оценки с точки зрения одного ожидаемого достижения, двух показателей достижения и соответствующих критериев эффективности. На своей семьдесят четвертой сессии Комитет по внутреннему транспорту подтвердил этот подход в контексте планирования результатов работы для оценки за двухгодичный период 2014−2015</w:t>
      </w:r>
      <w:r w:rsidR="00EE2F3A">
        <w:t> год</w:t>
      </w:r>
      <w:r w:rsidRPr="00FD79FC">
        <w:t xml:space="preserve">ов </w:t>
      </w:r>
      <w:r w:rsidRPr="00FD79FC">
        <w:rPr>
          <w:bCs/>
        </w:rPr>
        <w:t xml:space="preserve">(ECE/TRANS/240 и </w:t>
      </w:r>
      <w:r w:rsidRPr="00FD79FC">
        <w:rPr>
          <w:bCs/>
          <w:lang w:val="en-GB"/>
        </w:rPr>
        <w:t>ECE</w:t>
      </w:r>
      <w:r w:rsidRPr="00FD79FC">
        <w:rPr>
          <w:bCs/>
        </w:rPr>
        <w:t>/</w:t>
      </w:r>
      <w:r w:rsidRPr="00FD79FC">
        <w:rPr>
          <w:bCs/>
          <w:lang w:val="en-GB"/>
        </w:rPr>
        <w:t>TRANS</w:t>
      </w:r>
      <w:r w:rsidRPr="00FD79FC">
        <w:rPr>
          <w:bCs/>
        </w:rPr>
        <w:t>/2014/24).</w:t>
      </w:r>
    </w:p>
    <w:p w:rsidR="008A7528" w:rsidRPr="00EE2F3A" w:rsidRDefault="00FD79FC" w:rsidP="00FD79FC">
      <w:pPr>
        <w:pStyle w:val="SingleTxt"/>
        <w:rPr>
          <w:bCs/>
        </w:rPr>
      </w:pPr>
      <w:r w:rsidRPr="00FD79FC">
        <w:rPr>
          <w:bCs/>
        </w:rPr>
        <w:t>2.</w:t>
      </w:r>
      <w:r w:rsidRPr="00FD79FC">
        <w:rPr>
          <w:bCs/>
        </w:rPr>
        <w:tab/>
        <w:t>Рабочая группа, возможно, пожелает рассмотреть эти параметры, а также фактические показатели результативности за 2014−2015</w:t>
      </w:r>
      <w:r w:rsidR="00EE2F3A">
        <w:rPr>
          <w:bCs/>
        </w:rPr>
        <w:t> год</w:t>
      </w:r>
      <w:r w:rsidRPr="00FD79FC">
        <w:rPr>
          <w:bCs/>
        </w:rPr>
        <w:t>ы, как указано ниже, в целях либо их сохранения, либо включения новых параметров и показателей на двухгодичный период 2016−2017</w:t>
      </w:r>
      <w:r w:rsidR="00EE2F3A">
        <w:rPr>
          <w:bCs/>
        </w:rPr>
        <w:t> год</w:t>
      </w:r>
      <w:r w:rsidRPr="00FD79FC">
        <w:rPr>
          <w:bCs/>
        </w:rPr>
        <w:t>ов.</w:t>
      </w:r>
    </w:p>
    <w:p w:rsidR="00811732" w:rsidRPr="00811732" w:rsidRDefault="00FD79FC" w:rsidP="00811732">
      <w:pPr>
        <w:pStyle w:val="SingleTxt"/>
        <w:spacing w:after="0" w:line="120" w:lineRule="exact"/>
        <w:rPr>
          <w:bCs/>
          <w:sz w:val="10"/>
        </w:rPr>
      </w:pPr>
      <w:r w:rsidRPr="00412FA7">
        <w:rPr>
          <w:bCs/>
        </w:rPr>
        <w:br w:type="page"/>
      </w:r>
    </w:p>
    <w:p w:rsidR="00811732" w:rsidRPr="00811732" w:rsidRDefault="00811732" w:rsidP="00811732">
      <w:pPr>
        <w:pStyle w:val="SingleTxt"/>
        <w:spacing w:after="0" w:line="120" w:lineRule="exact"/>
        <w:rPr>
          <w:bCs/>
          <w:sz w:val="10"/>
        </w:rPr>
      </w:pPr>
    </w:p>
    <w:p w:rsidR="00FD79FC" w:rsidRPr="00811732" w:rsidRDefault="00811732" w:rsidP="0081173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2F3A">
        <w:tab/>
      </w:r>
      <w:r w:rsidRPr="00EE2F3A">
        <w:tab/>
      </w:r>
      <w:r w:rsidR="00412FA7" w:rsidRPr="00412FA7">
        <w:t>Обзор показателей результативности за 2014–2015</w:t>
      </w:r>
      <w:r w:rsidR="00EE2F3A">
        <w:t> год</w:t>
      </w:r>
      <w:r w:rsidR="00412FA7" w:rsidRPr="00412FA7">
        <w:t>ы</w:t>
      </w:r>
      <w:r w:rsidR="00412FA7" w:rsidRPr="00412FA7">
        <w:br/>
        <w:t>и определение целей на 201</w:t>
      </w:r>
      <w:r w:rsidR="00706651">
        <w:t>6</w:t>
      </w:r>
      <w:r w:rsidR="00412FA7" w:rsidRPr="00412FA7">
        <w:t>–2017</w:t>
      </w:r>
      <w:r w:rsidR="00EE2F3A">
        <w:t> год</w:t>
      </w:r>
      <w:r w:rsidR="00412FA7" w:rsidRPr="00412FA7">
        <w:t>ы</w:t>
      </w:r>
    </w:p>
    <w:p w:rsidR="00811732" w:rsidRPr="00811732" w:rsidRDefault="00811732" w:rsidP="00811732">
      <w:pPr>
        <w:pStyle w:val="SingleTxt"/>
        <w:spacing w:after="0" w:line="120" w:lineRule="exact"/>
        <w:rPr>
          <w:bCs/>
          <w:sz w:val="10"/>
        </w:rPr>
      </w:pPr>
    </w:p>
    <w:p w:rsidR="00811732" w:rsidRPr="00811732" w:rsidRDefault="00811732" w:rsidP="00811732">
      <w:pPr>
        <w:pStyle w:val="SingleTxt"/>
        <w:spacing w:after="0" w:line="120" w:lineRule="exact"/>
        <w:rPr>
          <w:bCs/>
          <w:sz w:val="10"/>
        </w:rPr>
      </w:pPr>
    </w:p>
    <w:tbl>
      <w:tblPr>
        <w:tblStyle w:val="TabTxt"/>
        <w:tblW w:w="8610" w:type="dxa"/>
        <w:tblInd w:w="1267" w:type="dxa"/>
        <w:tblLayout w:type="fixed"/>
        <w:tblCellMar>
          <w:left w:w="0" w:type="dxa"/>
          <w:right w:w="57" w:type="dxa"/>
        </w:tblCellMar>
        <w:tblLook w:val="01E0"/>
      </w:tblPr>
      <w:tblGrid>
        <w:gridCol w:w="1546"/>
        <w:gridCol w:w="2635"/>
        <w:gridCol w:w="2424"/>
        <w:gridCol w:w="2005"/>
      </w:tblGrid>
      <w:tr w:rsidR="00AB09DA" w:rsidRPr="00AB09DA" w:rsidTr="00AB09DA">
        <w:trPr>
          <w:trHeight w:val="20"/>
          <w:tblHeader/>
        </w:trPr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09DA" w:rsidRPr="00AB09DA" w:rsidRDefault="00AB09DA" w:rsidP="00F72032">
            <w:pPr>
              <w:spacing w:before="80" w:after="80" w:line="160" w:lineRule="exact"/>
              <w:ind w:right="115"/>
              <w:rPr>
                <w:i/>
                <w:sz w:val="16"/>
              </w:rPr>
            </w:pPr>
            <w:r w:rsidRPr="00AB09DA">
              <w:rPr>
                <w:i/>
                <w:sz w:val="16"/>
              </w:rPr>
              <w:t xml:space="preserve">Направление </w:t>
            </w:r>
            <w:r w:rsidRPr="00AB09DA">
              <w:rPr>
                <w:i/>
                <w:sz w:val="16"/>
              </w:rPr>
              <w:br/>
              <w:t>деятельности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09DA" w:rsidRPr="00AB09DA" w:rsidRDefault="00AB09DA" w:rsidP="00F72032">
            <w:pPr>
              <w:spacing w:before="80" w:after="80" w:line="160" w:lineRule="exact"/>
              <w:ind w:right="115"/>
              <w:rPr>
                <w:i/>
                <w:sz w:val="16"/>
              </w:rPr>
            </w:pPr>
            <w:r w:rsidRPr="00AB09DA">
              <w:rPr>
                <w:i/>
                <w:sz w:val="16"/>
              </w:rPr>
              <w:t>Ожидаемые достижения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B09DA" w:rsidRPr="00AB09DA" w:rsidRDefault="00AB09DA" w:rsidP="00F72032">
            <w:pPr>
              <w:spacing w:before="80" w:after="80" w:line="160" w:lineRule="exact"/>
              <w:ind w:right="115"/>
              <w:rPr>
                <w:i/>
                <w:sz w:val="16"/>
              </w:rPr>
            </w:pPr>
            <w:r w:rsidRPr="00AB09DA">
              <w:rPr>
                <w:i/>
                <w:sz w:val="16"/>
              </w:rPr>
              <w:t>Показатели достижения</w:t>
            </w:r>
          </w:p>
        </w:tc>
        <w:tc>
          <w:tcPr>
            <w:cnfStyle w:val="000100000000"/>
            <w:tcW w:w="20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09DA" w:rsidRPr="00AB09DA" w:rsidRDefault="00AB09DA" w:rsidP="00F72032">
            <w:pPr>
              <w:spacing w:before="80" w:after="80" w:line="160" w:lineRule="exact"/>
              <w:ind w:right="115"/>
              <w:rPr>
                <w:i/>
                <w:sz w:val="16"/>
              </w:rPr>
            </w:pPr>
            <w:r w:rsidRPr="00AB09DA">
              <w:rPr>
                <w:i/>
                <w:sz w:val="16"/>
              </w:rPr>
              <w:t xml:space="preserve">Фактические </w:t>
            </w:r>
            <w:r w:rsidR="006D2C7C">
              <w:rPr>
                <w:i/>
                <w:sz w:val="16"/>
              </w:rPr>
              <w:br/>
            </w:r>
            <w:r w:rsidRPr="00AB09DA">
              <w:rPr>
                <w:i/>
                <w:sz w:val="16"/>
              </w:rPr>
              <w:t xml:space="preserve">показатели </w:t>
            </w:r>
            <w:r w:rsidR="006D2C7C">
              <w:rPr>
                <w:i/>
                <w:sz w:val="16"/>
              </w:rPr>
              <w:br/>
            </w:r>
            <w:r w:rsidRPr="00AB09DA">
              <w:rPr>
                <w:i/>
                <w:sz w:val="16"/>
              </w:rPr>
              <w:t>результативности</w:t>
            </w:r>
          </w:p>
        </w:tc>
      </w:tr>
      <w:tr w:rsidR="00AB09DA" w:rsidRPr="00AB09DA" w:rsidTr="00AB09DA">
        <w:trPr>
          <w:trHeight w:val="20"/>
        </w:trPr>
        <w:tc>
          <w:tcPr>
            <w:tcW w:w="1546" w:type="dxa"/>
            <w:tcBorders>
              <w:top w:val="single" w:sz="12" w:space="0" w:color="auto"/>
              <w:bottom w:val="nil"/>
            </w:tcBorders>
          </w:tcPr>
          <w:p w:rsidR="00AB09DA" w:rsidRPr="00AB09DA" w:rsidRDefault="00AB09DA" w:rsidP="00980FAA">
            <w:pPr>
              <w:spacing w:after="80"/>
              <w:ind w:right="115"/>
            </w:pPr>
            <w:r w:rsidRPr="00AB09DA">
              <w:t xml:space="preserve">9.а. Перевозка опасных </w:t>
            </w:r>
            <w:r w:rsidR="00980FAA">
              <w:br/>
            </w:r>
            <w:r w:rsidRPr="00AB09DA">
              <w:t>грузов (ЕЭК</w:t>
            </w:r>
            <w:r w:rsidR="00980FAA">
              <w:t> </w:t>
            </w:r>
            <w:r w:rsidRPr="00AB09DA">
              <w:t>ООН)</w:t>
            </w:r>
          </w:p>
        </w:tc>
        <w:tc>
          <w:tcPr>
            <w:tcW w:w="2635" w:type="dxa"/>
            <w:tcBorders>
              <w:top w:val="single" w:sz="12" w:space="0" w:color="auto"/>
              <w:bottom w:val="nil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  <w:r w:rsidRPr="00AB09DA">
              <w:t>ОД 9.а. Принятие поправок к ДОПОГ</w:t>
            </w:r>
            <w:r w:rsidRPr="00EE2F3A">
              <w:rPr>
                <w:color w:val="943634" w:themeColor="accent2" w:themeShade="BF"/>
                <w:vertAlign w:val="superscript"/>
              </w:rPr>
              <w:footnoteReference w:id="2"/>
            </w:r>
            <w:r w:rsidRPr="00AB09DA">
              <w:t xml:space="preserve"> и − на основе деятельности, проводимой совместно с Межправительственной организацией по м</w:t>
            </w:r>
            <w:bookmarkStart w:id="0" w:name="_GoBack"/>
            <w:bookmarkEnd w:id="0"/>
            <w:r w:rsidRPr="00AB09DA">
              <w:t>еждународным железнодорожным перевозкам (ОТИФ) и Центральной комиссией судоходства по Рейну (ЦКСР), − поправок соответственно к МПОГ</w:t>
            </w:r>
            <w:r w:rsidRPr="00EE2F3A">
              <w:rPr>
                <w:color w:val="943634" w:themeColor="accent2" w:themeShade="BF"/>
                <w:vertAlign w:val="superscript"/>
              </w:rPr>
              <w:footnoteReference w:id="3"/>
            </w:r>
            <w:r w:rsidRPr="00AB09DA">
              <w:t xml:space="preserve"> и ВОПОГ</w:t>
            </w:r>
            <w:r w:rsidRPr="00EE2F3A">
              <w:rPr>
                <w:color w:val="943634" w:themeColor="accent2" w:themeShade="BF"/>
                <w:vertAlign w:val="superscript"/>
              </w:rPr>
              <w:footnoteReference w:id="4"/>
            </w:r>
            <w:r w:rsidRPr="00AB09DA">
              <w:t>, направленных на поддержание необходимого уровня безопасности, охраны и защиты окружающей среды в рамках единообразной, согласованной и последовательной системы правил перевозки опасных грузов, основанной на Рекомендациях Организации Объединенных Наций по перевозке опасных грузов, и их эффективное применение через посредство международного и национального законодательства.</w:t>
            </w:r>
          </w:p>
        </w:tc>
        <w:tc>
          <w:tcPr>
            <w:tcW w:w="2424" w:type="dxa"/>
            <w:tcBorders>
              <w:top w:val="single" w:sz="12" w:space="0" w:color="auto"/>
              <w:bottom w:val="nil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  <w:r w:rsidRPr="00AB09DA">
              <w:t>ПД 9.а. а) Принятие поправок в 2015 и 2016</w:t>
            </w:r>
            <w:r w:rsidR="00EE2F3A">
              <w:t> год</w:t>
            </w:r>
            <w:r w:rsidRPr="00AB09DA">
              <w:t>ах к ДОПОГ, МПОГ и ВОПОГ, которые отражают, в частности, Рекомендации Организации Объединенных Наций по перевозке опасных грузов − Типовые правила 2015</w:t>
            </w:r>
            <w:r w:rsidR="00EE2F3A">
              <w:t> год</w:t>
            </w:r>
            <w:r w:rsidRPr="00AB09DA">
              <w:t>а (девятнадцатое пересмотренное издание), их вступление в силу с 1 </w:t>
            </w:r>
            <w:r w:rsidR="00764E74">
              <w:t>января</w:t>
            </w:r>
            <w:r w:rsidRPr="00AB09DA">
              <w:t xml:space="preserve"> 2017</w:t>
            </w:r>
            <w:r w:rsidR="00EE2F3A">
              <w:t> год</w:t>
            </w:r>
            <w:r w:rsidRPr="00AB09DA">
              <w:t>а для международных перевозок и введение в действие для внутренних перевозок во всех странах − членах ЕС и в Европейском экономическом пространстве (ЕЭП) с 1</w:t>
            </w:r>
            <w:r w:rsidR="004F44D4">
              <w:t> </w:t>
            </w:r>
            <w:r w:rsidRPr="00AB09DA">
              <w:t>июля 2017</w:t>
            </w:r>
            <w:r w:rsidR="00EE2F3A">
              <w:t> год</w:t>
            </w:r>
            <w:r w:rsidRPr="00AB09DA">
              <w:t xml:space="preserve">а </w:t>
            </w:r>
          </w:p>
          <w:p w:rsidR="00AB09DA" w:rsidRPr="00AB09DA" w:rsidRDefault="00AB09DA" w:rsidP="00F72032">
            <w:pPr>
              <w:spacing w:after="80"/>
              <w:ind w:right="115"/>
            </w:pPr>
            <w:r w:rsidRPr="00AB09DA">
              <w:rPr>
                <w:i/>
              </w:rPr>
              <w:t xml:space="preserve">Показатели результативности: </w:t>
            </w:r>
            <w:r w:rsidRPr="00AB09DA">
              <w:rPr>
                <w:i/>
              </w:rPr>
              <w:br/>
            </w:r>
            <w:r w:rsidRPr="00AB09DA">
              <w:t>Цель на 2016−2017</w:t>
            </w:r>
            <w:r w:rsidR="00EE2F3A">
              <w:t> год</w:t>
            </w:r>
            <w:r w:rsidRPr="00AB09DA">
              <w:t>ы: один набор поправок к каждому правовому документу</w:t>
            </w:r>
          </w:p>
        </w:tc>
        <w:tc>
          <w:tcPr>
            <w:cnfStyle w:val="000100000000"/>
            <w:tcW w:w="2005" w:type="dxa"/>
            <w:tcBorders>
              <w:top w:val="single" w:sz="12" w:space="0" w:color="auto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  <w:r w:rsidRPr="00AB09DA">
              <w:t>Исходные данные за 2014−2015</w:t>
            </w:r>
            <w:r w:rsidR="00EE2F3A">
              <w:t> год</w:t>
            </w:r>
            <w:r w:rsidRPr="00AB09DA">
              <w:t>ы: один набор поправок к каждому правовому документу</w:t>
            </w:r>
          </w:p>
        </w:tc>
      </w:tr>
      <w:tr w:rsidR="00AB09DA" w:rsidRPr="00AB09DA" w:rsidTr="00AB09DA">
        <w:trPr>
          <w:trHeight w:val="20"/>
        </w:trPr>
        <w:tc>
          <w:tcPr>
            <w:tcW w:w="1546" w:type="dxa"/>
            <w:tcBorders>
              <w:top w:val="nil"/>
              <w:bottom w:val="nil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B09DA" w:rsidRDefault="00AB09DA" w:rsidP="00F72032">
            <w:pPr>
              <w:keepNext/>
              <w:keepLines/>
              <w:spacing w:after="80"/>
              <w:ind w:right="115"/>
            </w:pPr>
            <w:r w:rsidRPr="00AB09DA">
              <w:t>ПД 9.а. b) Опубликование сводных пересмотренных изданий ДОПОГ и ВОПОГ 2017</w:t>
            </w:r>
            <w:r w:rsidR="00EE2F3A">
              <w:t> год</w:t>
            </w:r>
            <w:r w:rsidRPr="00AB09DA">
              <w:t xml:space="preserve">а до конца </w:t>
            </w:r>
            <w:r w:rsidRPr="00AB09DA">
              <w:br/>
              <w:t>2016</w:t>
            </w:r>
            <w:r w:rsidR="00EE2F3A">
              <w:t> год</w:t>
            </w:r>
            <w:r w:rsidRPr="00AB09DA">
              <w:t>а</w:t>
            </w:r>
          </w:p>
          <w:p w:rsidR="00EE2F3A" w:rsidRDefault="00EE2F3A" w:rsidP="00F72032">
            <w:pPr>
              <w:keepNext/>
              <w:keepLines/>
              <w:spacing w:after="80"/>
              <w:ind w:right="115"/>
            </w:pPr>
          </w:p>
          <w:p w:rsidR="00EE2F3A" w:rsidRDefault="00EE2F3A" w:rsidP="00F72032">
            <w:pPr>
              <w:keepNext/>
              <w:keepLines/>
              <w:spacing w:after="80"/>
              <w:ind w:right="115"/>
            </w:pPr>
          </w:p>
          <w:p w:rsidR="00EE2F3A" w:rsidRDefault="00EE2F3A" w:rsidP="00F72032">
            <w:pPr>
              <w:keepNext/>
              <w:keepLines/>
              <w:spacing w:after="80"/>
              <w:ind w:right="115"/>
            </w:pPr>
          </w:p>
          <w:p w:rsidR="006B458F" w:rsidRDefault="006B458F" w:rsidP="006B458F">
            <w:pPr>
              <w:keepNext/>
              <w:keepLines/>
              <w:pageBreakBefore/>
              <w:spacing w:before="20" w:after="20"/>
              <w:ind w:right="115"/>
              <w:rPr>
                <w:i/>
              </w:rPr>
            </w:pPr>
          </w:p>
          <w:p w:rsidR="00AB09DA" w:rsidRPr="00AB09DA" w:rsidRDefault="00AB09DA" w:rsidP="006B458F">
            <w:pPr>
              <w:keepNext/>
              <w:keepLines/>
              <w:pageBreakBefore/>
              <w:spacing w:before="20" w:after="20"/>
              <w:ind w:right="115"/>
            </w:pPr>
            <w:r w:rsidRPr="00AB09DA">
              <w:rPr>
                <w:i/>
              </w:rPr>
              <w:t>Показатели результативности:</w:t>
            </w:r>
            <w:r w:rsidRPr="00AB09DA">
              <w:rPr>
                <w:i/>
              </w:rPr>
              <w:br/>
            </w:r>
            <w:r w:rsidRPr="00AB09DA">
              <w:t>Цель на 2016−2017</w:t>
            </w:r>
            <w:r w:rsidR="00EE2F3A">
              <w:t> год</w:t>
            </w:r>
            <w:r w:rsidRPr="00AB09DA">
              <w:t xml:space="preserve">ы: </w:t>
            </w:r>
            <w:r w:rsidR="008E563F">
              <w:br/>
            </w:r>
            <w:r w:rsidRPr="00AB09DA">
              <w:t>одно издание ДОПОГ, одно издание ВОПОГ</w:t>
            </w:r>
          </w:p>
        </w:tc>
        <w:tc>
          <w:tcPr>
            <w:cnfStyle w:val="000100000000"/>
            <w:tcW w:w="2005" w:type="dxa"/>
            <w:tcBorders>
              <w:top w:val="nil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  <w:r w:rsidRPr="00AB09DA">
              <w:lastRenderedPageBreak/>
              <w:t>Исходные данные за 2014−2015</w:t>
            </w:r>
            <w:r w:rsidR="00EE2F3A">
              <w:t> год</w:t>
            </w:r>
            <w:r w:rsidRPr="00AB09DA">
              <w:t>ы: одно издание ДОПОГ, одно издание ВОПОГ</w:t>
            </w:r>
          </w:p>
        </w:tc>
      </w:tr>
      <w:tr w:rsidR="00AB09DA" w:rsidRPr="00AB09DA" w:rsidTr="00AB09DA">
        <w:trPr>
          <w:trHeight w:val="20"/>
        </w:trPr>
        <w:tc>
          <w:tcPr>
            <w:tcW w:w="1546" w:type="dxa"/>
            <w:tcBorders>
              <w:top w:val="nil"/>
              <w:bottom w:val="nil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  <w:r w:rsidRPr="00AB09DA">
              <w:t>ОД 9.</w:t>
            </w:r>
            <w:r w:rsidRPr="00AB09DA">
              <w:rPr>
                <w:lang w:val="en-US"/>
              </w:rPr>
              <w:t>b</w:t>
            </w:r>
            <w:r w:rsidRPr="00AB09DA">
              <w:t xml:space="preserve">. Принятие </w:t>
            </w:r>
            <w:r w:rsidR="00EE2F3A">
              <w:t>«</w:t>
            </w:r>
            <w:r w:rsidRPr="00AB09DA">
              <w:t>дорожной карты</w:t>
            </w:r>
            <w:r w:rsidR="00EE2F3A">
              <w:t>»</w:t>
            </w:r>
            <w:r w:rsidRPr="00AB09DA">
              <w:t xml:space="preserve"> по созданию административных структур, необходимых для применения ДОПОГ. </w:t>
            </w:r>
            <w:r w:rsidR="00DC214B">
              <w:br/>
            </w:r>
            <w:r w:rsidRPr="00AB09DA">
              <w:t xml:space="preserve">Разработка на основе этой </w:t>
            </w:r>
            <w:r w:rsidR="00EE2F3A">
              <w:t>«</w:t>
            </w:r>
            <w:r w:rsidRPr="00AB09DA">
              <w:t>дорожной карты</w:t>
            </w:r>
            <w:r w:rsidR="00EE2F3A">
              <w:t>»</w:t>
            </w:r>
            <w:r w:rsidRPr="00AB09DA">
              <w:t xml:space="preserve"> рекомендаций и/или руководящих принципов.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  <w:r w:rsidRPr="00AB09DA">
              <w:t>ПД 9.</w:t>
            </w:r>
            <w:r w:rsidRPr="00AB09DA">
              <w:rPr>
                <w:lang w:val="en-US"/>
              </w:rPr>
              <w:t>b</w:t>
            </w:r>
            <w:r w:rsidRPr="00AB09DA">
              <w:t xml:space="preserve">. Принятие </w:t>
            </w:r>
            <w:r w:rsidR="008E563F">
              <w:br/>
            </w:r>
            <w:r w:rsidR="00EE2F3A">
              <w:t>«</w:t>
            </w:r>
            <w:r w:rsidRPr="00AB09DA">
              <w:t>дорожной карты</w:t>
            </w:r>
            <w:r w:rsidR="00EE2F3A">
              <w:t>»</w:t>
            </w:r>
            <w:r w:rsidRPr="00AB09DA">
              <w:t xml:space="preserve"> и разработка рекомендаций/руководящих принципов</w:t>
            </w:r>
          </w:p>
          <w:p w:rsidR="00AB09DA" w:rsidRPr="00AB09DA" w:rsidRDefault="00AB09DA" w:rsidP="00F72032">
            <w:pPr>
              <w:spacing w:after="80"/>
              <w:ind w:right="115"/>
            </w:pPr>
            <w:r w:rsidRPr="00AB09DA">
              <w:rPr>
                <w:i/>
              </w:rPr>
              <w:t>Показатели результативности:</w:t>
            </w:r>
            <w:r w:rsidRPr="00AB09DA">
              <w:br/>
              <w:t>Цель на 2016−2017</w:t>
            </w:r>
            <w:r w:rsidR="00EE2F3A">
              <w:t> год</w:t>
            </w:r>
            <w:r w:rsidRPr="00AB09DA">
              <w:t xml:space="preserve">ы: </w:t>
            </w:r>
            <w:r w:rsidR="008E563F">
              <w:br/>
            </w:r>
            <w:r w:rsidRPr="00AB09DA">
              <w:t>неприменимо</w:t>
            </w:r>
          </w:p>
        </w:tc>
        <w:tc>
          <w:tcPr>
            <w:cnfStyle w:val="000100000000"/>
            <w:tcW w:w="2005" w:type="dxa"/>
            <w:tcBorders>
              <w:top w:val="nil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  <w:r w:rsidRPr="00AB09DA">
              <w:t>Исходные данные за 2014−2015</w:t>
            </w:r>
            <w:r w:rsidR="00EE2F3A">
              <w:t> год</w:t>
            </w:r>
            <w:r w:rsidRPr="00AB09DA">
              <w:t>ы: неприменимо</w:t>
            </w:r>
          </w:p>
        </w:tc>
      </w:tr>
      <w:tr w:rsidR="00AB09DA" w:rsidRPr="00AB09DA" w:rsidTr="00AB09DA">
        <w:trPr>
          <w:trHeight w:val="20"/>
        </w:trPr>
        <w:tc>
          <w:tcPr>
            <w:tcW w:w="1546" w:type="dxa"/>
            <w:tcBorders>
              <w:top w:val="nil"/>
              <w:bottom w:val="single" w:sz="12" w:space="0" w:color="auto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</w:p>
        </w:tc>
        <w:tc>
          <w:tcPr>
            <w:tcW w:w="2635" w:type="dxa"/>
            <w:tcBorders>
              <w:top w:val="nil"/>
              <w:bottom w:val="single" w:sz="12" w:space="0" w:color="auto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  <w:r w:rsidRPr="00AB09DA">
              <w:t xml:space="preserve">ОД 9.c. Дальнейшее осуществление </w:t>
            </w:r>
            <w:r w:rsidR="00EE2F3A">
              <w:t>«</w:t>
            </w:r>
            <w:r w:rsidRPr="00AB09DA">
              <w:t>дорожной карты</w:t>
            </w:r>
            <w:r w:rsidR="00EE2F3A">
              <w:t>»</w:t>
            </w:r>
            <w:r w:rsidRPr="00AB09DA">
              <w:t xml:space="preserve"> по методам создания административных структур, требуемых для применения ДОПОГ в новых и существующих государствах-членах, являющихся участниками ДОПОГ</w:t>
            </w:r>
          </w:p>
        </w:tc>
        <w:tc>
          <w:tcPr>
            <w:tcW w:w="2424" w:type="dxa"/>
            <w:tcBorders>
              <w:top w:val="nil"/>
              <w:bottom w:val="single" w:sz="12" w:space="0" w:color="auto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  <w:r w:rsidRPr="00AB09DA">
              <w:t xml:space="preserve">ПД 9.c. Завершение и размещение на </w:t>
            </w:r>
            <w:r w:rsidR="008E563F">
              <w:br/>
            </w:r>
            <w:r w:rsidRPr="00AB09DA">
              <w:t>веб</w:t>
            </w:r>
            <w:r w:rsidR="008E563F">
              <w:t>-</w:t>
            </w:r>
            <w:r w:rsidRPr="00AB09DA">
              <w:t xml:space="preserve">сайте ЕЭК ООН информации на уровне стран и обязательной отчетности по ДОПОГ (информация, касающаяся свидетельства о подготовке водителя, и информация, указанная в приложении I </w:t>
            </w:r>
            <w:r w:rsidR="008E563F">
              <w:br/>
            </w:r>
            <w:r w:rsidRPr="00AB09DA">
              <w:t>к</w:t>
            </w:r>
            <w:r w:rsidR="008E563F">
              <w:t xml:space="preserve"> </w:t>
            </w:r>
            <w:r w:rsidR="00EE2F3A">
              <w:t>«</w:t>
            </w:r>
            <w:r w:rsidRPr="00AB09DA">
              <w:t>дорожной карте</w:t>
            </w:r>
            <w:r w:rsidR="00EE2F3A">
              <w:t>»</w:t>
            </w:r>
            <w:r w:rsidRPr="00AB09DA">
              <w:t>)</w:t>
            </w:r>
          </w:p>
          <w:p w:rsidR="00AB09DA" w:rsidRPr="00AB09DA" w:rsidRDefault="00AB09DA" w:rsidP="00F72032">
            <w:pPr>
              <w:spacing w:after="80"/>
              <w:ind w:right="115"/>
            </w:pPr>
            <w:r w:rsidRPr="00AB09DA">
              <w:rPr>
                <w:i/>
                <w:iCs/>
              </w:rPr>
              <w:t>Показатели результативности</w:t>
            </w:r>
            <w:r w:rsidRPr="00AB09DA">
              <w:t xml:space="preserve">: </w:t>
            </w:r>
            <w:r w:rsidRPr="00AB09DA">
              <w:br/>
              <w:t>[Цель: наличие информации по 75%</w:t>
            </w:r>
            <w:r w:rsidR="008E563F">
              <w:t> </w:t>
            </w:r>
            <w:r w:rsidRPr="00AB09DA">
              <w:t xml:space="preserve"> Договаривающихся сторон ДОПОГ]</w:t>
            </w:r>
          </w:p>
          <w:p w:rsidR="00AB09DA" w:rsidRPr="00AB09DA" w:rsidRDefault="00AB09DA" w:rsidP="00F72032">
            <w:pPr>
              <w:spacing w:after="80"/>
              <w:ind w:right="115"/>
            </w:pPr>
          </w:p>
        </w:tc>
        <w:tc>
          <w:tcPr>
            <w:cnfStyle w:val="000100000000"/>
            <w:tcW w:w="2005" w:type="dxa"/>
            <w:tcBorders>
              <w:top w:val="nil"/>
            </w:tcBorders>
          </w:tcPr>
          <w:p w:rsidR="00AB09DA" w:rsidRPr="00AB09DA" w:rsidRDefault="00AB09DA" w:rsidP="00F72032">
            <w:pPr>
              <w:spacing w:after="80"/>
              <w:ind w:right="115"/>
            </w:pPr>
            <w:r w:rsidRPr="00AB09DA">
              <w:t>Исходные данные за 2014−2015</w:t>
            </w:r>
            <w:r w:rsidR="00EE2F3A">
              <w:t> год</w:t>
            </w:r>
            <w:r w:rsidRPr="00AB09DA">
              <w:t>ы: [наличие информации по 75% Договаривающихся сторон ДОПОГ]</w:t>
            </w:r>
          </w:p>
          <w:p w:rsidR="00AB09DA" w:rsidRPr="00AB09DA" w:rsidRDefault="00AB09DA" w:rsidP="00F72032">
            <w:pPr>
              <w:spacing w:after="80"/>
              <w:ind w:right="115"/>
              <w:rPr>
                <w:i/>
                <w:iCs/>
              </w:rPr>
            </w:pPr>
            <w:r w:rsidRPr="00AB09DA">
              <w:rPr>
                <w:b/>
                <w:bCs/>
                <w:i/>
                <w:iCs/>
              </w:rPr>
              <w:t>Примечание:</w:t>
            </w:r>
            <w:r w:rsidRPr="00AB09DA">
              <w:rPr>
                <w:i/>
                <w:iCs/>
              </w:rPr>
              <w:t xml:space="preserve"> </w:t>
            </w:r>
            <w:r w:rsidR="008E563F">
              <w:rPr>
                <w:i/>
                <w:iCs/>
              </w:rPr>
              <w:br/>
            </w:r>
            <w:r w:rsidRPr="00AB09DA">
              <w:rPr>
                <w:i/>
                <w:iCs/>
              </w:rPr>
              <w:t>подробная информация будет представлена перед сессией в неофициальном документе.</w:t>
            </w:r>
          </w:p>
        </w:tc>
      </w:tr>
    </w:tbl>
    <w:p w:rsidR="00412FA7" w:rsidRPr="002B39F4" w:rsidRDefault="00F230A8" w:rsidP="002B39F4">
      <w:pPr>
        <w:pStyle w:val="SingleTxt"/>
        <w:spacing w:after="0" w:line="240" w:lineRule="auto"/>
      </w:pPr>
      <w:r w:rsidRPr="00F230A8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;mso-position-horizontal-relative:text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412FA7" w:rsidRPr="002B39F4" w:rsidSect="008A752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1B" w:rsidRDefault="00B63A1B" w:rsidP="008A1A7A">
      <w:pPr>
        <w:spacing w:line="240" w:lineRule="auto"/>
      </w:pPr>
      <w:r>
        <w:separator/>
      </w:r>
    </w:p>
  </w:endnote>
  <w:endnote w:type="continuationSeparator" w:id="0">
    <w:p w:rsidR="00B63A1B" w:rsidRDefault="00B63A1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8A7528" w:rsidTr="008A752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A7528" w:rsidRPr="008A7528" w:rsidRDefault="00F230A8" w:rsidP="008A7528">
          <w:pPr>
            <w:pStyle w:val="Pieddepage"/>
            <w:rPr>
              <w:color w:val="000000"/>
            </w:rPr>
          </w:pPr>
          <w:r>
            <w:fldChar w:fldCharType="begin"/>
          </w:r>
          <w:r w:rsidR="008A7528">
            <w:instrText xml:space="preserve"> PAGE  \* Arabic  \* MERGEFORMAT </w:instrText>
          </w:r>
          <w:r>
            <w:fldChar w:fldCharType="separate"/>
          </w:r>
          <w:r w:rsidR="000E2433">
            <w:rPr>
              <w:noProof/>
            </w:rPr>
            <w:t>2</w:t>
          </w:r>
          <w:r>
            <w:fldChar w:fldCharType="end"/>
          </w:r>
          <w:r w:rsidR="008A7528">
            <w:t>/</w:t>
          </w:r>
          <w:fldSimple w:instr=" NUMPAGES  \* Arabic  \* MERGEFORMAT ">
            <w:r w:rsidR="000E2433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A7528" w:rsidRPr="008A7528" w:rsidRDefault="00F230A8" w:rsidP="008A7528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011D8C">
              <w:rPr>
                <w:b w:val="0"/>
                <w:color w:val="000000"/>
                <w:sz w:val="14"/>
              </w:rPr>
              <w:t>GE.15-14560</w:t>
            </w:r>
          </w:fldSimple>
        </w:p>
      </w:tc>
    </w:tr>
  </w:tbl>
  <w:p w:rsidR="008A7528" w:rsidRPr="008A7528" w:rsidRDefault="008A7528" w:rsidP="008A75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8A7528" w:rsidTr="008A752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A7528" w:rsidRPr="008A7528" w:rsidRDefault="00F230A8" w:rsidP="008A7528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011D8C">
              <w:rPr>
                <w:b w:val="0"/>
                <w:color w:val="000000"/>
                <w:sz w:val="14"/>
              </w:rPr>
              <w:t>GE.15-14560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A7528" w:rsidRPr="008A7528" w:rsidRDefault="00F230A8" w:rsidP="008A7528">
          <w:pPr>
            <w:pStyle w:val="Pieddepage"/>
            <w:jc w:val="right"/>
          </w:pPr>
          <w:r>
            <w:fldChar w:fldCharType="begin"/>
          </w:r>
          <w:r w:rsidR="008A7528">
            <w:instrText xml:space="preserve"> PAGE  \* Arabic  \* MERGEFORMAT </w:instrText>
          </w:r>
          <w:r>
            <w:fldChar w:fldCharType="separate"/>
          </w:r>
          <w:r w:rsidR="000E2433">
            <w:rPr>
              <w:noProof/>
            </w:rPr>
            <w:t>3</w:t>
          </w:r>
          <w:r>
            <w:fldChar w:fldCharType="end"/>
          </w:r>
          <w:r w:rsidR="008A7528">
            <w:t>/</w:t>
          </w:r>
          <w:fldSimple w:instr=" NUMPAGES  \* Arabic  \* MERGEFORMAT ">
            <w:r w:rsidR="000E2433">
              <w:rPr>
                <w:noProof/>
              </w:rPr>
              <w:t>3</w:t>
            </w:r>
          </w:fldSimple>
        </w:p>
      </w:tc>
    </w:tr>
  </w:tbl>
  <w:p w:rsidR="008A7528" w:rsidRPr="008A7528" w:rsidRDefault="008A7528" w:rsidP="008A752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8A7528" w:rsidTr="008A7528">
      <w:tc>
        <w:tcPr>
          <w:tcW w:w="3873" w:type="dxa"/>
        </w:tcPr>
        <w:p w:rsidR="008A7528" w:rsidRDefault="008A7528" w:rsidP="008A7528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5/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5/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GE.15-14560 (R)</w:t>
          </w:r>
          <w:r>
            <w:rPr>
              <w:color w:val="010000"/>
            </w:rPr>
            <w:t xml:space="preserve">    210915    210915</w:t>
          </w:r>
        </w:p>
        <w:p w:rsidR="008A7528" w:rsidRPr="008A7528" w:rsidRDefault="008A7528" w:rsidP="008A752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*1514560*</w:t>
          </w:r>
        </w:p>
      </w:tc>
      <w:tc>
        <w:tcPr>
          <w:tcW w:w="5127" w:type="dxa"/>
        </w:tcPr>
        <w:p w:rsidR="008A7528" w:rsidRDefault="008A7528" w:rsidP="008A7528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7528" w:rsidRPr="008A7528" w:rsidRDefault="008A7528" w:rsidP="008A7528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1B" w:rsidRPr="00EE2F3A" w:rsidRDefault="00B63A1B" w:rsidP="00EE2F3A">
      <w:pPr>
        <w:pStyle w:val="Pieddepage"/>
        <w:spacing w:after="80"/>
        <w:ind w:left="792"/>
        <w:rPr>
          <w:sz w:val="16"/>
        </w:rPr>
      </w:pPr>
      <w:r w:rsidRPr="00EE2F3A">
        <w:rPr>
          <w:sz w:val="16"/>
        </w:rPr>
        <w:t>__________________</w:t>
      </w:r>
    </w:p>
  </w:footnote>
  <w:footnote w:type="continuationSeparator" w:id="0">
    <w:p w:rsidR="00B63A1B" w:rsidRPr="00EE2F3A" w:rsidRDefault="00B63A1B" w:rsidP="00EE2F3A">
      <w:pPr>
        <w:pStyle w:val="Pieddepage"/>
        <w:spacing w:after="80"/>
        <w:ind w:left="792"/>
        <w:rPr>
          <w:sz w:val="16"/>
        </w:rPr>
      </w:pPr>
      <w:r w:rsidRPr="00EE2F3A">
        <w:rPr>
          <w:sz w:val="16"/>
        </w:rPr>
        <w:t>__________________</w:t>
      </w:r>
    </w:p>
  </w:footnote>
  <w:footnote w:id="1">
    <w:p w:rsidR="00C558FC" w:rsidRPr="00AD6F0B" w:rsidRDefault="00C558FC" w:rsidP="00EE2F3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AD6F0B">
        <w:tab/>
      </w:r>
      <w:r w:rsidR="00AD6F0B" w:rsidRPr="00AD6F0B">
        <w:t>В соответствии с программой работы Комитета по внутреннему транспорту на 2014−2015</w:t>
      </w:r>
      <w:r w:rsidR="00EE2F3A">
        <w:rPr>
          <w:lang w:val="en-US"/>
        </w:rPr>
        <w:t> </w:t>
      </w:r>
      <w:r w:rsidR="00EE2F3A" w:rsidRPr="00EE2F3A">
        <w:t>год</w:t>
      </w:r>
      <w:r w:rsidR="00AD6F0B" w:rsidRPr="00AD6F0B">
        <w:t>ы (ECE/TRANS/240, пункт 100; ECE/TRANS/2014/23, направление деятельности 9, пункт</w:t>
      </w:r>
      <w:r w:rsidR="00AD6F0B">
        <w:rPr>
          <w:lang w:val="en-US"/>
        </w:rPr>
        <w:t> </w:t>
      </w:r>
      <w:r w:rsidR="00AD6F0B" w:rsidRPr="00AD6F0B">
        <w:t>9.1).</w:t>
      </w:r>
    </w:p>
  </w:footnote>
  <w:footnote w:id="2">
    <w:p w:rsidR="00AB09DA" w:rsidRPr="0095097F" w:rsidRDefault="00AB09DA" w:rsidP="00EE2F3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2215B">
        <w:tab/>
      </w:r>
      <w:r>
        <w:rPr>
          <w:rStyle w:val="Appelnotedebasdep"/>
        </w:rPr>
        <w:footnoteRef/>
      </w:r>
      <w:r w:rsidRPr="0095097F">
        <w:tab/>
      </w:r>
      <w:r w:rsidRPr="005C223F">
        <w:rPr>
          <w:spacing w:val="3"/>
        </w:rPr>
        <w:t>Европе</w:t>
      </w:r>
      <w:r>
        <w:rPr>
          <w:spacing w:val="3"/>
        </w:rPr>
        <w:t>йское соглашение</w:t>
      </w:r>
      <w:r w:rsidRPr="005C223F">
        <w:rPr>
          <w:spacing w:val="3"/>
        </w:rPr>
        <w:t xml:space="preserve"> о международной дорожной перевозке опасных грузов</w:t>
      </w:r>
      <w:r>
        <w:rPr>
          <w:spacing w:val="3"/>
        </w:rPr>
        <w:t>.</w:t>
      </w:r>
    </w:p>
  </w:footnote>
  <w:footnote w:id="3">
    <w:p w:rsidR="00AB09DA" w:rsidRPr="0095097F" w:rsidRDefault="00AB09DA" w:rsidP="00EE2F3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5097F">
        <w:tab/>
      </w:r>
      <w:r>
        <w:rPr>
          <w:rStyle w:val="Appelnotedebasdep"/>
        </w:rPr>
        <w:footnoteRef/>
      </w:r>
      <w:r w:rsidRPr="0095097F">
        <w:tab/>
      </w:r>
      <w:r>
        <w:rPr>
          <w:spacing w:val="3"/>
        </w:rPr>
        <w:t>Правила</w:t>
      </w:r>
      <w:r w:rsidRPr="005C223F">
        <w:rPr>
          <w:spacing w:val="3"/>
        </w:rPr>
        <w:t xml:space="preserve"> международной перевозки опасных грузов по железным дорогам</w:t>
      </w:r>
      <w:r>
        <w:rPr>
          <w:spacing w:val="3"/>
        </w:rPr>
        <w:t>.</w:t>
      </w:r>
    </w:p>
  </w:footnote>
  <w:footnote w:id="4">
    <w:p w:rsidR="00AB09DA" w:rsidRPr="0095097F" w:rsidRDefault="00AB09DA" w:rsidP="00EE2F3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5097F">
        <w:tab/>
      </w:r>
      <w:r>
        <w:rPr>
          <w:rStyle w:val="Appelnotedebasdep"/>
        </w:rPr>
        <w:footnoteRef/>
      </w:r>
      <w:r w:rsidRPr="0095097F">
        <w:tab/>
      </w:r>
      <w:r>
        <w:rPr>
          <w:spacing w:val="3"/>
        </w:rPr>
        <w:t>Европейское соглашение</w:t>
      </w:r>
      <w:r w:rsidRPr="00663B3A">
        <w:rPr>
          <w:spacing w:val="3"/>
        </w:rPr>
        <w:t xml:space="preserve"> о международной перевозке опасных грузов по внутренним водным путям</w:t>
      </w:r>
      <w:r>
        <w:rPr>
          <w:spacing w:val="3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8A7528" w:rsidTr="008A752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A7528" w:rsidRPr="008A7528" w:rsidRDefault="00F230A8" w:rsidP="008A7528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011D8C">
              <w:rPr>
                <w:b/>
              </w:rPr>
              <w:t>ECE/TRANS/WP.15/2015/10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A7528" w:rsidRDefault="008A7528" w:rsidP="008A7528">
          <w:pPr>
            <w:pStyle w:val="En-tte"/>
          </w:pPr>
        </w:p>
      </w:tc>
    </w:tr>
  </w:tbl>
  <w:p w:rsidR="008A7528" w:rsidRPr="008A7528" w:rsidRDefault="008A7528" w:rsidP="008A752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8A7528" w:rsidTr="008A752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A7528" w:rsidRDefault="008A7528" w:rsidP="008A7528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8A7528" w:rsidRPr="008A7528" w:rsidRDefault="00F230A8" w:rsidP="008A7528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011D8C">
              <w:rPr>
                <w:b/>
              </w:rPr>
              <w:t>ECE/TRANS/WP.15/2015/10</w:t>
            </w:r>
          </w:fldSimple>
        </w:p>
      </w:tc>
    </w:tr>
  </w:tbl>
  <w:p w:rsidR="008A7528" w:rsidRPr="008A7528" w:rsidRDefault="008A7528" w:rsidP="008A752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8A7528" w:rsidTr="008A752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A7528" w:rsidRPr="008A7528" w:rsidRDefault="008A7528" w:rsidP="008A752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A7528" w:rsidRDefault="008A7528" w:rsidP="008A7528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A7528" w:rsidRPr="008A7528" w:rsidRDefault="008A7528" w:rsidP="008A7528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/TRANS/WP.15/2015/10</w:t>
          </w:r>
        </w:p>
      </w:tc>
    </w:tr>
    <w:tr w:rsidR="008A7528" w:rsidRPr="00706651" w:rsidTr="008A752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7528" w:rsidRPr="008A7528" w:rsidRDefault="008A7528" w:rsidP="008A7528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7528" w:rsidRPr="008A7528" w:rsidRDefault="008A7528" w:rsidP="008A752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7528" w:rsidRPr="008A7528" w:rsidRDefault="008A7528" w:rsidP="008A7528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A7528" w:rsidRPr="00B435C0" w:rsidRDefault="008A7528" w:rsidP="008A7528">
          <w:pPr>
            <w:pStyle w:val="Distribution"/>
            <w:rPr>
              <w:color w:val="000000"/>
              <w:lang w:val="en-US"/>
            </w:rPr>
          </w:pPr>
          <w:r w:rsidRPr="00B435C0">
            <w:rPr>
              <w:color w:val="000000"/>
              <w:lang w:val="en-US"/>
            </w:rPr>
            <w:t>Distr.: General</w:t>
          </w:r>
        </w:p>
        <w:p w:rsidR="008A7528" w:rsidRPr="00B435C0" w:rsidRDefault="008A7528" w:rsidP="008A7528">
          <w:pPr>
            <w:pStyle w:val="Publication"/>
            <w:rPr>
              <w:color w:val="000000"/>
              <w:lang w:val="en-US"/>
            </w:rPr>
          </w:pPr>
          <w:r w:rsidRPr="00B435C0">
            <w:rPr>
              <w:color w:val="000000"/>
              <w:lang w:val="en-US"/>
            </w:rPr>
            <w:t>28 August 2015</w:t>
          </w:r>
        </w:p>
        <w:p w:rsidR="008A7528" w:rsidRPr="00B435C0" w:rsidRDefault="008A7528" w:rsidP="008A7528">
          <w:pPr>
            <w:rPr>
              <w:color w:val="000000"/>
              <w:lang w:val="en-US"/>
            </w:rPr>
          </w:pPr>
          <w:r w:rsidRPr="00B435C0">
            <w:rPr>
              <w:color w:val="000000"/>
              <w:lang w:val="en-US"/>
            </w:rPr>
            <w:t>Russian</w:t>
          </w:r>
        </w:p>
        <w:p w:rsidR="008A7528" w:rsidRPr="00B435C0" w:rsidRDefault="008A7528" w:rsidP="008A7528">
          <w:pPr>
            <w:pStyle w:val="Original"/>
            <w:rPr>
              <w:color w:val="000000"/>
              <w:lang w:val="en-US"/>
            </w:rPr>
          </w:pPr>
          <w:r w:rsidRPr="00B435C0">
            <w:rPr>
              <w:color w:val="000000"/>
              <w:lang w:val="en-US"/>
            </w:rPr>
            <w:t>Original: English</w:t>
          </w:r>
        </w:p>
        <w:p w:rsidR="008A7528" w:rsidRPr="00B435C0" w:rsidRDefault="008A7528" w:rsidP="008A7528">
          <w:pPr>
            <w:rPr>
              <w:lang w:val="en-US"/>
            </w:rPr>
          </w:pPr>
        </w:p>
      </w:tc>
    </w:tr>
  </w:tbl>
  <w:p w:rsidR="008A7528" w:rsidRPr="00B435C0" w:rsidRDefault="008A7528" w:rsidP="008A7528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FC15D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4560*"/>
    <w:docVar w:name="CreationDt" w:val="9/21/2015 2:49: PM"/>
    <w:docVar w:name="DocCategory" w:val="Doc"/>
    <w:docVar w:name="DocType" w:val="Final"/>
    <w:docVar w:name="DutyStation" w:val="Geneva"/>
    <w:docVar w:name="FooterJN" w:val="GE.15-14560"/>
    <w:docVar w:name="jobn" w:val="GE.15-14560 (R)"/>
    <w:docVar w:name="jobnDT" w:val="GE.15-14560 (R)   210915"/>
    <w:docVar w:name="jobnDTDT" w:val="GE.15-14560 (R)   210915   210915"/>
    <w:docVar w:name="JobNo" w:val="GE.1514560R"/>
    <w:docVar w:name="JobNo2" w:val="1519433R"/>
    <w:docVar w:name="LocalDrive" w:val="0"/>
    <w:docVar w:name="OandT" w:val=" "/>
    <w:docVar w:name="PaperSize" w:val="A4"/>
    <w:docVar w:name="sss1" w:val="ECE/TRANS/WP.15/2015/10"/>
    <w:docVar w:name="sss2" w:val="-"/>
    <w:docVar w:name="Symbol1" w:val="ECE/TRANS/WP.15/2015/10"/>
    <w:docVar w:name="Symbol2" w:val="-"/>
  </w:docVars>
  <w:rsids>
    <w:rsidRoot w:val="00DA4281"/>
    <w:rsid w:val="00004615"/>
    <w:rsid w:val="00004756"/>
    <w:rsid w:val="00010735"/>
    <w:rsid w:val="00011D8C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B7588"/>
    <w:rsid w:val="000C069D"/>
    <w:rsid w:val="000C67BC"/>
    <w:rsid w:val="000D3185"/>
    <w:rsid w:val="000D64CF"/>
    <w:rsid w:val="000E0F08"/>
    <w:rsid w:val="000E2433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08DF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39F4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2FA7"/>
    <w:rsid w:val="00415DEC"/>
    <w:rsid w:val="00427FE5"/>
    <w:rsid w:val="00433222"/>
    <w:rsid w:val="00436A23"/>
    <w:rsid w:val="00436F13"/>
    <w:rsid w:val="004420FB"/>
    <w:rsid w:val="00444451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4F44D4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29D6"/>
    <w:rsid w:val="005F68EB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458F"/>
    <w:rsid w:val="006B590B"/>
    <w:rsid w:val="006C44B7"/>
    <w:rsid w:val="006C59D5"/>
    <w:rsid w:val="006D2C7C"/>
    <w:rsid w:val="006D58BE"/>
    <w:rsid w:val="006E1418"/>
    <w:rsid w:val="006F3683"/>
    <w:rsid w:val="00700738"/>
    <w:rsid w:val="007042EA"/>
    <w:rsid w:val="007043B9"/>
    <w:rsid w:val="00705549"/>
    <w:rsid w:val="00706651"/>
    <w:rsid w:val="0071210D"/>
    <w:rsid w:val="00716BC5"/>
    <w:rsid w:val="007170E5"/>
    <w:rsid w:val="0072223E"/>
    <w:rsid w:val="00723115"/>
    <w:rsid w:val="00724550"/>
    <w:rsid w:val="00730859"/>
    <w:rsid w:val="00731830"/>
    <w:rsid w:val="00736A19"/>
    <w:rsid w:val="00743C8D"/>
    <w:rsid w:val="00745258"/>
    <w:rsid w:val="007526C1"/>
    <w:rsid w:val="00763C4A"/>
    <w:rsid w:val="00764E74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1732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A7528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563F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0FAA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09DA"/>
    <w:rsid w:val="00AB2CCF"/>
    <w:rsid w:val="00AB49FD"/>
    <w:rsid w:val="00AB69B0"/>
    <w:rsid w:val="00AC271B"/>
    <w:rsid w:val="00AD12DB"/>
    <w:rsid w:val="00AD6322"/>
    <w:rsid w:val="00AD6752"/>
    <w:rsid w:val="00AD6F0B"/>
    <w:rsid w:val="00AD78B1"/>
    <w:rsid w:val="00AF0B91"/>
    <w:rsid w:val="00AF1A65"/>
    <w:rsid w:val="00AF3B70"/>
    <w:rsid w:val="00B03D42"/>
    <w:rsid w:val="00B07A46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35C0"/>
    <w:rsid w:val="00B44E4D"/>
    <w:rsid w:val="00B47187"/>
    <w:rsid w:val="00B5129B"/>
    <w:rsid w:val="00B56376"/>
    <w:rsid w:val="00B5741E"/>
    <w:rsid w:val="00B606B7"/>
    <w:rsid w:val="00B62C69"/>
    <w:rsid w:val="00B63A1B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58FC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35FDC"/>
    <w:rsid w:val="00D40F84"/>
    <w:rsid w:val="00D4336E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281"/>
    <w:rsid w:val="00DA4AFE"/>
    <w:rsid w:val="00DA4BD0"/>
    <w:rsid w:val="00DB058E"/>
    <w:rsid w:val="00DB326E"/>
    <w:rsid w:val="00DC1E7E"/>
    <w:rsid w:val="00DC214B"/>
    <w:rsid w:val="00DC31D2"/>
    <w:rsid w:val="00DC7A5F"/>
    <w:rsid w:val="00DD6A66"/>
    <w:rsid w:val="00DE0D15"/>
    <w:rsid w:val="00DF1CF0"/>
    <w:rsid w:val="00DF6656"/>
    <w:rsid w:val="00DF7388"/>
    <w:rsid w:val="00E04C73"/>
    <w:rsid w:val="00E06936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2F3A"/>
    <w:rsid w:val="00EE3586"/>
    <w:rsid w:val="00EE63A7"/>
    <w:rsid w:val="00EE6F1E"/>
    <w:rsid w:val="00EE7954"/>
    <w:rsid w:val="00EF1FBD"/>
    <w:rsid w:val="00EF29BE"/>
    <w:rsid w:val="00EF7FD0"/>
    <w:rsid w:val="00F07943"/>
    <w:rsid w:val="00F07DDF"/>
    <w:rsid w:val="00F11204"/>
    <w:rsid w:val="00F16256"/>
    <w:rsid w:val="00F230A8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032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29D4"/>
    <w:rsid w:val="00FD3CE8"/>
    <w:rsid w:val="00FD5B91"/>
    <w:rsid w:val="00FD7513"/>
    <w:rsid w:val="00FD79FC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8A7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52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52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52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epuces5">
    <w:name w:val="List Bullet 5"/>
    <w:basedOn w:val="Normal"/>
    <w:uiPriority w:val="99"/>
    <w:semiHidden/>
    <w:unhideWhenUsed/>
    <w:rsid w:val="00FD79FC"/>
    <w:pPr>
      <w:numPr>
        <w:numId w:val="11"/>
      </w:numPr>
      <w:contextualSpacing/>
    </w:pPr>
  </w:style>
  <w:style w:type="table" w:customStyle="1" w:styleId="TabTxt">
    <w:name w:val="_TabTxt"/>
    <w:basedOn w:val="TableauNormal"/>
    <w:rsid w:val="00412FA7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E24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43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A7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5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52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52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FD79FC"/>
    <w:pPr>
      <w:numPr>
        <w:numId w:val="11"/>
      </w:numPr>
      <w:contextualSpacing/>
    </w:pPr>
  </w:style>
  <w:style w:type="table" w:customStyle="1" w:styleId="TabTxt">
    <w:name w:val="_TabTxt"/>
    <w:basedOn w:val="TableNormal"/>
    <w:rsid w:val="00412FA7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D593-78C2-40A2-8C33-9661B00D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Maison</cp:lastModifiedBy>
  <cp:revision>2</cp:revision>
  <cp:lastPrinted>2015-09-21T13:31:00Z</cp:lastPrinted>
  <dcterms:created xsi:type="dcterms:W3CDTF">2015-09-30T12:52:00Z</dcterms:created>
  <dcterms:modified xsi:type="dcterms:W3CDTF">2015-09-30T12:52:00Z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1514560R</vt:lpwstr>
  </property>
  <property fmtid="{D5CDD505-2E9C-101B-9397-08002B2CF9AE}" pid="3" name="ODSRefJobNo">
    <vt:lpwstr>1519433R</vt:lpwstr>
  </property>
  <property fmtid="{D5CDD505-2E9C-101B-9397-08002B2CF9AE}" pid="4" name="Symbol1">
    <vt:lpwstr>ECE/TRANS/WP.15/2015/10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28 August 2015</vt:lpwstr>
  </property>
  <property fmtid="{D5CDD505-2E9C-101B-9397-08002B2CF9AE}" pid="12" name="Original">
    <vt:lpwstr>English</vt:lpwstr>
  </property>
  <property fmtid="{D5CDD505-2E9C-101B-9397-08002B2CF9AE}" pid="13" name="Release Date">
    <vt:lpwstr>210915</vt:lpwstr>
  </property>
</Properties>
</file>