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EF" w:rsidRDefault="00CA64BB" w:rsidP="00CA64BB">
      <w:pPr>
        <w:spacing w:line="60" w:lineRule="exact"/>
        <w:rPr>
          <w:color w:val="010000"/>
          <w:sz w:val="6"/>
        </w:rPr>
      </w:pPr>
      <w:r>
        <w:rPr>
          <w:rStyle w:val="CommentReference"/>
        </w:rPr>
        <w:commentReference w:id="0"/>
      </w:r>
      <w:bookmarkStart w:id="1" w:name="_GoBack"/>
      <w:bookmarkEnd w:id="1"/>
    </w:p>
    <w:p w:rsidR="00CA64BB" w:rsidRDefault="00CA64BB" w:rsidP="00CA64BB">
      <w:pPr>
        <w:spacing w:line="60" w:lineRule="exact"/>
        <w:rPr>
          <w:color w:val="010000"/>
          <w:sz w:val="6"/>
        </w:rPr>
        <w:sectPr w:rsidR="00CA64BB" w:rsidSect="00CA64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A3586E" w:rsidRPr="00A3586E" w:rsidRDefault="00A3586E" w:rsidP="00A3586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bookmarkStart w:id="2" w:name="lt_pId000"/>
    </w:p>
    <w:p w:rsidR="00A3586E" w:rsidRPr="00A3586E" w:rsidRDefault="00A3586E" w:rsidP="00A3586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3586E">
        <w:t>Европейская экономическая комиссия</w:t>
      </w:r>
      <w:bookmarkEnd w:id="2"/>
    </w:p>
    <w:p w:rsidR="00A3586E" w:rsidRPr="00A3586E" w:rsidRDefault="00A3586E" w:rsidP="00A3586E">
      <w:pPr>
        <w:pStyle w:val="SingleTxt"/>
        <w:spacing w:after="0" w:line="120" w:lineRule="exact"/>
        <w:rPr>
          <w:sz w:val="10"/>
        </w:rPr>
      </w:pPr>
      <w:bookmarkStart w:id="3" w:name="lt_pId001"/>
    </w:p>
    <w:p w:rsidR="00A3586E" w:rsidRPr="00A3586E" w:rsidRDefault="00A3586E" w:rsidP="00A3586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A3586E">
        <w:rPr>
          <w:b w:val="0"/>
        </w:rPr>
        <w:t>Комитет по внутреннему транспорту</w:t>
      </w:r>
      <w:bookmarkEnd w:id="3"/>
    </w:p>
    <w:p w:rsidR="00A3586E" w:rsidRPr="00A3586E" w:rsidRDefault="00A3586E" w:rsidP="00A3586E">
      <w:pPr>
        <w:pStyle w:val="SingleTxt"/>
        <w:spacing w:after="0" w:line="120" w:lineRule="exact"/>
        <w:rPr>
          <w:b/>
          <w:sz w:val="10"/>
        </w:rPr>
      </w:pPr>
      <w:bookmarkStart w:id="4" w:name="lt_pId002"/>
    </w:p>
    <w:p w:rsidR="00A3586E" w:rsidRPr="00A3586E" w:rsidRDefault="00A3586E" w:rsidP="00A3586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3586E">
        <w:t>Рабочая группа по перевозкам опасных грузов</w:t>
      </w:r>
      <w:bookmarkEnd w:id="4"/>
    </w:p>
    <w:p w:rsidR="00A3586E" w:rsidRPr="00A3586E" w:rsidRDefault="00A3586E" w:rsidP="00A3586E">
      <w:pPr>
        <w:pStyle w:val="SingleTxt"/>
        <w:spacing w:after="0" w:line="120" w:lineRule="exact"/>
        <w:rPr>
          <w:b/>
          <w:sz w:val="10"/>
        </w:rPr>
      </w:pPr>
      <w:bookmarkStart w:id="5" w:name="lt_pId003"/>
    </w:p>
    <w:p w:rsidR="00A3586E" w:rsidRPr="00A3586E" w:rsidRDefault="00A3586E" w:rsidP="00A3586E">
      <w:pPr>
        <w:rPr>
          <w:b/>
        </w:rPr>
      </w:pPr>
      <w:r w:rsidRPr="00A3586E">
        <w:rPr>
          <w:b/>
        </w:rPr>
        <w:t>Совместное совещание Комиссии экспертов МПОГ</w:t>
      </w:r>
      <w:r w:rsidRPr="00A3586E">
        <w:rPr>
          <w:b/>
        </w:rPr>
        <w:br/>
        <w:t>и Рабочей группы по перевозкам опасных грузов</w:t>
      </w:r>
      <w:bookmarkEnd w:id="5"/>
    </w:p>
    <w:p w:rsidR="00A3586E" w:rsidRPr="00A3586E" w:rsidRDefault="00A3586E" w:rsidP="00A3586E">
      <w:pPr>
        <w:pStyle w:val="SingleTxt"/>
        <w:spacing w:after="0" w:line="120" w:lineRule="exact"/>
        <w:rPr>
          <w:b/>
          <w:sz w:val="10"/>
        </w:rPr>
      </w:pPr>
      <w:bookmarkStart w:id="6" w:name="lt_pId006"/>
    </w:p>
    <w:p w:rsidR="00A3586E" w:rsidRPr="00A3586E" w:rsidRDefault="00A3586E" w:rsidP="00A3586E">
      <w:pPr>
        <w:pStyle w:val="SingleTxt"/>
        <w:spacing w:after="0" w:line="120" w:lineRule="exact"/>
        <w:rPr>
          <w:b/>
          <w:sz w:val="10"/>
        </w:rPr>
      </w:pPr>
    </w:p>
    <w:p w:rsidR="00A3586E" w:rsidRPr="00A3586E" w:rsidRDefault="00A3586E" w:rsidP="00A3586E">
      <w:pPr>
        <w:pStyle w:val="SingleTxt"/>
        <w:spacing w:after="0" w:line="120" w:lineRule="exact"/>
        <w:rPr>
          <w:b/>
          <w:sz w:val="10"/>
        </w:rPr>
      </w:pPr>
    </w:p>
    <w:p w:rsidR="00A3586E" w:rsidRPr="00A3586E" w:rsidRDefault="00A3586E" w:rsidP="00A3586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02B14">
        <w:tab/>
      </w:r>
      <w:r w:rsidRPr="00B02B14">
        <w:tab/>
      </w:r>
      <w:r w:rsidRPr="00A3586E">
        <w:t>Доклад Совместного совещания Комиссии экспертов МПОГ и Рабочей группы по перевозкам опасных грузов о</w:t>
      </w:r>
      <w:r w:rsidR="001604EF">
        <w:t> </w:t>
      </w:r>
      <w:r w:rsidRPr="00A3586E">
        <w:t>работе его весенней сессии 2015 года</w:t>
      </w:r>
      <w:bookmarkEnd w:id="6"/>
      <w:r w:rsidRPr="00B670B1">
        <w:rPr>
          <w:b w:val="0"/>
          <w:sz w:val="20"/>
          <w:szCs w:val="20"/>
          <w:vertAlign w:val="superscript"/>
        </w:rPr>
        <w:footnoteReference w:id="1"/>
      </w:r>
      <w:r w:rsidRPr="00A3586E">
        <w:t>,</w:t>
      </w:r>
    </w:p>
    <w:p w:rsidR="00A3586E" w:rsidRPr="00B670B1" w:rsidRDefault="00A3586E" w:rsidP="00B670B1">
      <w:pPr>
        <w:pStyle w:val="SingleTxt"/>
        <w:spacing w:after="0" w:line="120" w:lineRule="exact"/>
        <w:ind w:left="643"/>
        <w:rPr>
          <w:sz w:val="10"/>
        </w:rPr>
      </w:pPr>
      <w:bookmarkStart w:id="9" w:name="lt_pId011"/>
    </w:p>
    <w:p w:rsidR="00B670B1" w:rsidRPr="00B670B1" w:rsidRDefault="00B670B1" w:rsidP="00A3586E">
      <w:pPr>
        <w:pStyle w:val="SingleTxt"/>
        <w:spacing w:after="0" w:line="120" w:lineRule="exact"/>
        <w:ind w:left="643"/>
        <w:rPr>
          <w:sz w:val="10"/>
        </w:rPr>
      </w:pPr>
    </w:p>
    <w:p w:rsidR="00AF385A" w:rsidRPr="00AF385A" w:rsidRDefault="00A3586E" w:rsidP="00AF385A">
      <w:pPr>
        <w:pStyle w:val="SingleTxt"/>
        <w:spacing w:after="0" w:line="240" w:lineRule="atLeast"/>
        <w:rPr>
          <w:sz w:val="10"/>
        </w:rPr>
      </w:pPr>
      <w:proofErr w:type="gramStart"/>
      <w:r w:rsidRPr="00A3586E">
        <w:t>состоявшейся</w:t>
      </w:r>
      <w:proofErr w:type="gramEnd"/>
      <w:r w:rsidRPr="00A3586E">
        <w:t xml:space="preserve"> в Берне 23–27 марта 2015 года</w:t>
      </w:r>
      <w:bookmarkEnd w:id="9"/>
    </w:p>
    <w:p w:rsidR="00860AAA" w:rsidRPr="00860AAA" w:rsidRDefault="00B670B1" w:rsidP="00860AA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 w:hanging="1267"/>
        <w:rPr>
          <w:sz w:val="10"/>
        </w:rPr>
      </w:pPr>
      <w:bookmarkStart w:id="10" w:name="lt_pId014"/>
      <w:r w:rsidRPr="00AF385A">
        <w:tab/>
      </w:r>
      <w:r w:rsidRPr="00AF385A">
        <w:tab/>
      </w:r>
    </w:p>
    <w:p w:rsidR="00860AAA" w:rsidRPr="00860AAA" w:rsidRDefault="00860AAA" w:rsidP="00860AA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 w:hanging="1267"/>
      </w:pPr>
    </w:p>
    <w:p w:rsidR="00A3586E" w:rsidRPr="00A3586E" w:rsidRDefault="00B670B1" w:rsidP="00B670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85A">
        <w:tab/>
      </w:r>
      <w:r w:rsidRPr="00AF385A">
        <w:tab/>
      </w:r>
      <w:r w:rsidR="00A3586E" w:rsidRPr="00A3586E">
        <w:t>Добавление</w:t>
      </w:r>
      <w:bookmarkEnd w:id="10"/>
      <w:r w:rsidR="00A3586E" w:rsidRPr="00B670B1">
        <w:rPr>
          <w:b w:val="0"/>
          <w:vertAlign w:val="superscript"/>
        </w:rPr>
        <w:footnoteReference w:id="2"/>
      </w:r>
    </w:p>
    <w:p w:rsidR="00B670B1" w:rsidRPr="00B670B1" w:rsidRDefault="00B670B1" w:rsidP="00B670B1">
      <w:pPr>
        <w:pStyle w:val="SingleTxt"/>
        <w:spacing w:after="0" w:line="120" w:lineRule="exact"/>
        <w:rPr>
          <w:sz w:val="10"/>
        </w:rPr>
      </w:pPr>
      <w:bookmarkStart w:id="11" w:name="lt_pId019"/>
    </w:p>
    <w:p w:rsidR="00B670B1" w:rsidRPr="00B670B1" w:rsidRDefault="00B670B1" w:rsidP="00B670B1">
      <w:pPr>
        <w:pStyle w:val="SingleTxt"/>
        <w:spacing w:after="0" w:line="120" w:lineRule="exact"/>
        <w:rPr>
          <w:sz w:val="10"/>
        </w:rPr>
      </w:pPr>
    </w:p>
    <w:p w:rsidR="00A3586E" w:rsidRPr="00A3586E" w:rsidRDefault="00B670B1" w:rsidP="00B670B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85A">
        <w:tab/>
      </w:r>
      <w:r w:rsidRPr="00AF385A">
        <w:tab/>
      </w:r>
      <w:r w:rsidR="00A3586E" w:rsidRPr="00A3586E">
        <w:t>Приложение I</w:t>
      </w:r>
      <w:bookmarkEnd w:id="11"/>
    </w:p>
    <w:p w:rsidR="00B670B1" w:rsidRPr="00B670B1" w:rsidRDefault="00B670B1" w:rsidP="00B670B1">
      <w:pPr>
        <w:pStyle w:val="SingleTxt"/>
        <w:spacing w:after="0" w:line="120" w:lineRule="exact"/>
        <w:rPr>
          <w:sz w:val="10"/>
        </w:rPr>
      </w:pPr>
      <w:bookmarkStart w:id="12" w:name="lt_pId022"/>
    </w:p>
    <w:p w:rsidR="00B670B1" w:rsidRPr="00B670B1" w:rsidRDefault="00B670B1" w:rsidP="00B670B1">
      <w:pPr>
        <w:pStyle w:val="SingleTxt"/>
        <w:spacing w:after="0" w:line="120" w:lineRule="exact"/>
        <w:rPr>
          <w:sz w:val="10"/>
        </w:rPr>
      </w:pPr>
    </w:p>
    <w:p w:rsidR="00A3586E" w:rsidRPr="00A3586E" w:rsidRDefault="00B670B1" w:rsidP="00B670B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02B14">
        <w:tab/>
      </w:r>
      <w:r w:rsidRPr="00B02B14">
        <w:tab/>
      </w:r>
      <w:r w:rsidR="00A3586E" w:rsidRPr="00A3586E">
        <w:t>Доклад Рабочей группы по цистернам</w:t>
      </w:r>
      <w:bookmarkEnd w:id="12"/>
    </w:p>
    <w:p w:rsidR="00B670B1" w:rsidRPr="00B670B1" w:rsidRDefault="00B670B1" w:rsidP="00B670B1">
      <w:pPr>
        <w:pStyle w:val="SingleTxt"/>
        <w:spacing w:after="0" w:line="120" w:lineRule="exact"/>
        <w:rPr>
          <w:sz w:val="10"/>
        </w:rPr>
      </w:pPr>
    </w:p>
    <w:p w:rsidR="00B670B1" w:rsidRPr="00B670B1" w:rsidRDefault="00B670B1" w:rsidP="00B670B1">
      <w:pPr>
        <w:pStyle w:val="SingleTxt"/>
        <w:spacing w:after="0" w:line="120" w:lineRule="exact"/>
        <w:rPr>
          <w:sz w:val="10"/>
        </w:rPr>
      </w:pPr>
    </w:p>
    <w:p w:rsidR="00A3586E" w:rsidRPr="00A3586E" w:rsidRDefault="00A3586E" w:rsidP="00A3586E">
      <w:pPr>
        <w:pStyle w:val="SingleTxt"/>
      </w:pPr>
      <w:r w:rsidRPr="00A3586E">
        <w:t>1.</w:t>
      </w:r>
      <w:r w:rsidRPr="00A3586E">
        <w:tab/>
      </w:r>
      <w:bookmarkStart w:id="13" w:name="lt_pId026"/>
      <w:r w:rsidRPr="00A3586E">
        <w:t xml:space="preserve">Рабочая группа по цистернам провела совещание 23–25 марта 2015 года в Берне на основании соответствующего мандата, предоставленного Совместным совещанием МПОГ/ДОПОГ/ВОПОГ, под председательством г-на </w:t>
      </w:r>
      <w:proofErr w:type="spellStart"/>
      <w:r w:rsidRPr="00A3586E">
        <w:t>Арне</w:t>
      </w:r>
      <w:proofErr w:type="spellEnd"/>
      <w:r w:rsidRPr="00A3586E">
        <w:t xml:space="preserve"> </w:t>
      </w:r>
      <w:proofErr w:type="spellStart"/>
      <w:r w:rsidRPr="00A3586E">
        <w:t>Бейла</w:t>
      </w:r>
      <w:proofErr w:type="spellEnd"/>
      <w:r w:rsidRPr="00A3586E">
        <w:t xml:space="preserve"> (Соединенное Королевство). Обязанности секретаря исполнял г-н </w:t>
      </w:r>
      <w:proofErr w:type="spellStart"/>
      <w:r w:rsidRPr="00A3586E">
        <w:t>Микаэль</w:t>
      </w:r>
      <w:proofErr w:type="spellEnd"/>
      <w:r w:rsidRPr="00A3586E">
        <w:t xml:space="preserve"> </w:t>
      </w:r>
      <w:proofErr w:type="spellStart"/>
      <w:r w:rsidRPr="00A3586E">
        <w:t>Б</w:t>
      </w:r>
      <w:r w:rsidRPr="00A3586E">
        <w:t>о</w:t>
      </w:r>
      <w:r w:rsidRPr="00A3586E">
        <w:t>герт</w:t>
      </w:r>
      <w:proofErr w:type="spellEnd"/>
      <w:r w:rsidRPr="00A3586E">
        <w:t xml:space="preserve"> (Бельгия).</w:t>
      </w:r>
      <w:bookmarkEnd w:id="13"/>
      <w:r w:rsidRPr="00A3586E">
        <w:t xml:space="preserve"> </w:t>
      </w:r>
      <w:bookmarkStart w:id="14" w:name="lt_pId027"/>
      <w:r w:rsidRPr="00A3586E">
        <w:t>Соответствующие документы были представлены пленарной се</w:t>
      </w:r>
      <w:r w:rsidRPr="00A3586E">
        <w:t>с</w:t>
      </w:r>
      <w:r w:rsidRPr="00A3586E">
        <w:t>сии и переданы для рассмотрения Рабочей группе.</w:t>
      </w:r>
      <w:bookmarkEnd w:id="14"/>
    </w:p>
    <w:p w:rsidR="00A3586E" w:rsidRPr="00A3586E" w:rsidRDefault="00A3586E" w:rsidP="00A3586E">
      <w:pPr>
        <w:pStyle w:val="SingleTxt"/>
      </w:pPr>
      <w:r w:rsidRPr="00A3586E">
        <w:t>2.</w:t>
      </w:r>
      <w:r w:rsidRPr="00A3586E">
        <w:tab/>
      </w:r>
      <w:bookmarkStart w:id="15" w:name="lt_pId029"/>
      <w:r w:rsidRPr="00A3586E">
        <w:t>Рабочая группа по цистернам, состоящая из 25 экспертов от 13 стран и пяти неправительственных организаций, рассмотрела следующие официальные и н</w:t>
      </w:r>
      <w:r w:rsidRPr="00A3586E">
        <w:t>е</w:t>
      </w:r>
      <w:r w:rsidRPr="00A3586E">
        <w:t>официальные документы:</w:t>
      </w:r>
      <w:bookmarkEnd w:id="15"/>
    </w:p>
    <w:p w:rsidR="00A3586E" w:rsidRPr="00A3586E" w:rsidRDefault="00A3586E" w:rsidP="00B670B1">
      <w:pPr>
        <w:pStyle w:val="SingleTxt"/>
        <w:spacing w:after="0"/>
      </w:pPr>
      <w:bookmarkStart w:id="16" w:name="lt_pId030"/>
      <w:r w:rsidRPr="00A3586E">
        <w:rPr>
          <w:i/>
        </w:rPr>
        <w:t>Документы:</w:t>
      </w:r>
      <w:bookmarkStart w:id="17" w:name="lt_pId031"/>
      <w:bookmarkEnd w:id="16"/>
      <w:r w:rsidR="00B670B1">
        <w:tab/>
      </w:r>
      <w:r w:rsidR="00AF385A">
        <w:tab/>
      </w:r>
      <w:r w:rsidR="00AF385A">
        <w:tab/>
      </w:r>
      <w:r w:rsidR="00AF385A">
        <w:tab/>
      </w:r>
      <w:r w:rsidRPr="00A3586E">
        <w:t>ECE/TRANS/WP.15/AC.1/2014/13 (Украина)</w:t>
      </w:r>
      <w:bookmarkEnd w:id="17"/>
    </w:p>
    <w:p w:rsidR="00A3586E" w:rsidRPr="00A3586E" w:rsidRDefault="00A3586E" w:rsidP="00AF385A">
      <w:pPr>
        <w:pStyle w:val="SingleTxt"/>
        <w:spacing w:after="0"/>
        <w:jc w:val="left"/>
      </w:pPr>
      <w:r w:rsidRPr="00A3586E">
        <w:tab/>
      </w:r>
      <w:r w:rsidRPr="00A3586E">
        <w:tab/>
      </w:r>
      <w:bookmarkStart w:id="18" w:name="lt_pId034"/>
      <w:r w:rsidR="00B670B1">
        <w:tab/>
      </w:r>
      <w:r w:rsidR="00AF385A">
        <w:tab/>
      </w:r>
      <w:r w:rsidR="00AF385A">
        <w:tab/>
      </w:r>
      <w:r w:rsidR="00AF385A">
        <w:tab/>
      </w:r>
      <w:r w:rsidRPr="00A3586E">
        <w:t xml:space="preserve">ECE/TRANS/WP.15/AC.1/2015/3 (секретариат </w:t>
      </w:r>
      <w:r w:rsidR="00AF385A">
        <w:tab/>
      </w:r>
      <w:r w:rsidR="00AF385A">
        <w:tab/>
      </w:r>
      <w:r w:rsidR="00AF385A">
        <w:tab/>
      </w:r>
      <w:r w:rsidR="00AF385A">
        <w:tab/>
      </w:r>
      <w:r w:rsidR="00AF385A">
        <w:tab/>
      </w:r>
      <w:r w:rsidR="00AF385A">
        <w:tab/>
      </w:r>
      <w:r w:rsidR="00AF385A">
        <w:tab/>
      </w:r>
      <w:r w:rsidR="00AF385A">
        <w:tab/>
      </w:r>
      <w:r w:rsidRPr="00A3586E">
        <w:t>ОТИФ)</w:t>
      </w:r>
      <w:bookmarkEnd w:id="18"/>
    </w:p>
    <w:p w:rsidR="00A3586E" w:rsidRPr="00B02B14" w:rsidRDefault="00A3586E" w:rsidP="00B670B1">
      <w:pPr>
        <w:pStyle w:val="SingleTxt"/>
        <w:spacing w:after="0"/>
        <w:rPr>
          <w:lang w:val="en-GB"/>
        </w:rPr>
      </w:pPr>
      <w:r w:rsidRPr="00A3586E">
        <w:lastRenderedPageBreak/>
        <w:tab/>
      </w:r>
      <w:r w:rsidRPr="00A3586E">
        <w:tab/>
      </w:r>
      <w:bookmarkStart w:id="19" w:name="lt_pId037"/>
      <w:r w:rsidR="00B670B1" w:rsidRPr="00AF385A">
        <w:tab/>
      </w:r>
      <w:r w:rsidR="00AF385A">
        <w:tab/>
      </w:r>
      <w:r w:rsidR="00AF385A">
        <w:tab/>
      </w:r>
      <w:r w:rsidR="00AF385A">
        <w:tab/>
      </w:r>
      <w:r w:rsidRPr="00A3586E">
        <w:rPr>
          <w:lang w:val="en-US"/>
        </w:rPr>
        <w:t>ECE</w:t>
      </w:r>
      <w:r w:rsidRPr="00B02B14">
        <w:rPr>
          <w:lang w:val="en-GB"/>
        </w:rPr>
        <w:t>/</w:t>
      </w:r>
      <w:r w:rsidRPr="00A3586E">
        <w:rPr>
          <w:lang w:val="en-US"/>
        </w:rPr>
        <w:t>TRANS</w:t>
      </w:r>
      <w:r w:rsidRPr="00B02B14">
        <w:rPr>
          <w:lang w:val="en-GB"/>
        </w:rPr>
        <w:t>/</w:t>
      </w:r>
      <w:r w:rsidRPr="00A3586E">
        <w:rPr>
          <w:lang w:val="en-US"/>
        </w:rPr>
        <w:t>WP</w:t>
      </w:r>
      <w:r w:rsidRPr="00B02B14">
        <w:rPr>
          <w:lang w:val="en-GB"/>
        </w:rPr>
        <w:t>.15/</w:t>
      </w:r>
      <w:r w:rsidRPr="00A3586E">
        <w:rPr>
          <w:lang w:val="en-US"/>
        </w:rPr>
        <w:t>AC</w:t>
      </w:r>
      <w:r w:rsidRPr="00B02B14">
        <w:rPr>
          <w:lang w:val="en-GB"/>
        </w:rPr>
        <w:t>.1/2015/8 (</w:t>
      </w:r>
      <w:r w:rsidRPr="00A3586E">
        <w:t>Франция</w:t>
      </w:r>
      <w:r w:rsidRPr="00B02B14">
        <w:rPr>
          <w:lang w:val="en-GB"/>
        </w:rPr>
        <w:t>)</w:t>
      </w:r>
      <w:bookmarkEnd w:id="19"/>
    </w:p>
    <w:p w:rsidR="00A3586E" w:rsidRPr="00B02B14" w:rsidRDefault="00A3586E" w:rsidP="00B670B1">
      <w:pPr>
        <w:pStyle w:val="SingleTxt"/>
        <w:spacing w:after="0"/>
        <w:rPr>
          <w:lang w:val="en-GB"/>
        </w:rPr>
      </w:pPr>
      <w:r w:rsidRPr="00B02B14">
        <w:rPr>
          <w:lang w:val="en-GB"/>
        </w:rPr>
        <w:tab/>
      </w:r>
      <w:r w:rsidRPr="00B02B14">
        <w:rPr>
          <w:lang w:val="en-GB"/>
        </w:rPr>
        <w:tab/>
      </w:r>
      <w:bookmarkStart w:id="20" w:name="lt_pId040"/>
      <w:r w:rsidR="00B670B1" w:rsidRPr="00B02B14">
        <w:rPr>
          <w:lang w:val="en-GB"/>
        </w:rPr>
        <w:tab/>
      </w:r>
      <w:r w:rsidR="00AF385A" w:rsidRPr="00B02B14">
        <w:rPr>
          <w:lang w:val="en-GB"/>
        </w:rPr>
        <w:tab/>
      </w:r>
      <w:r w:rsidR="00AF385A" w:rsidRPr="00B02B14">
        <w:rPr>
          <w:lang w:val="en-GB"/>
        </w:rPr>
        <w:tab/>
      </w:r>
      <w:r w:rsidR="00AF385A" w:rsidRPr="00B02B14">
        <w:rPr>
          <w:lang w:val="en-GB"/>
        </w:rPr>
        <w:tab/>
      </w:r>
      <w:r w:rsidRPr="00A3586E">
        <w:rPr>
          <w:lang w:val="en-US"/>
        </w:rPr>
        <w:t>ECE</w:t>
      </w:r>
      <w:r w:rsidRPr="00B02B14">
        <w:rPr>
          <w:lang w:val="en-GB"/>
        </w:rPr>
        <w:t>/</w:t>
      </w:r>
      <w:r w:rsidRPr="00A3586E">
        <w:rPr>
          <w:lang w:val="en-US"/>
        </w:rPr>
        <w:t>TRANS</w:t>
      </w:r>
      <w:r w:rsidRPr="00B02B14">
        <w:rPr>
          <w:lang w:val="en-GB"/>
        </w:rPr>
        <w:t>/</w:t>
      </w:r>
      <w:r w:rsidRPr="00A3586E">
        <w:rPr>
          <w:lang w:val="en-US"/>
        </w:rPr>
        <w:t>WP</w:t>
      </w:r>
      <w:r w:rsidRPr="00B02B14">
        <w:rPr>
          <w:lang w:val="en-GB"/>
        </w:rPr>
        <w:t>.15/</w:t>
      </w:r>
      <w:r w:rsidRPr="00A3586E">
        <w:rPr>
          <w:lang w:val="en-US"/>
        </w:rPr>
        <w:t>AC</w:t>
      </w:r>
      <w:r w:rsidRPr="00B02B14">
        <w:rPr>
          <w:lang w:val="en-GB"/>
        </w:rPr>
        <w:t>.1/2015/10 (</w:t>
      </w:r>
      <w:r w:rsidRPr="00A3586E">
        <w:t>Нидерланды</w:t>
      </w:r>
      <w:r w:rsidRPr="00B02B14">
        <w:rPr>
          <w:lang w:val="en-GB"/>
        </w:rPr>
        <w:t>)</w:t>
      </w:r>
      <w:bookmarkEnd w:id="20"/>
    </w:p>
    <w:p w:rsidR="00A3586E" w:rsidRPr="00B02B14" w:rsidRDefault="00A3586E" w:rsidP="00B670B1">
      <w:pPr>
        <w:pStyle w:val="SingleTxt"/>
        <w:spacing w:after="0"/>
        <w:rPr>
          <w:lang w:val="en-GB"/>
        </w:rPr>
      </w:pPr>
      <w:r w:rsidRPr="00B02B14">
        <w:rPr>
          <w:lang w:val="en-GB"/>
        </w:rPr>
        <w:tab/>
      </w:r>
      <w:r w:rsidRPr="00B02B14">
        <w:rPr>
          <w:lang w:val="en-GB"/>
        </w:rPr>
        <w:tab/>
      </w:r>
      <w:bookmarkStart w:id="21" w:name="lt_pId043"/>
      <w:r w:rsidR="00B670B1" w:rsidRPr="00B02B14">
        <w:rPr>
          <w:lang w:val="en-GB"/>
        </w:rPr>
        <w:tab/>
      </w:r>
      <w:r w:rsidR="00AF385A" w:rsidRPr="00B02B14">
        <w:rPr>
          <w:lang w:val="en-GB"/>
        </w:rPr>
        <w:tab/>
      </w:r>
      <w:r w:rsidR="00AF385A" w:rsidRPr="00B02B14">
        <w:rPr>
          <w:lang w:val="en-GB"/>
        </w:rPr>
        <w:tab/>
      </w:r>
      <w:r w:rsidR="00AF385A" w:rsidRPr="00B02B14">
        <w:rPr>
          <w:lang w:val="en-GB"/>
        </w:rPr>
        <w:tab/>
      </w:r>
      <w:r w:rsidRPr="00A3586E">
        <w:rPr>
          <w:lang w:val="en-US"/>
        </w:rPr>
        <w:t>ECE</w:t>
      </w:r>
      <w:r w:rsidRPr="00B02B14">
        <w:rPr>
          <w:lang w:val="en-GB"/>
        </w:rPr>
        <w:t>/</w:t>
      </w:r>
      <w:r w:rsidRPr="00A3586E">
        <w:rPr>
          <w:lang w:val="en-US"/>
        </w:rPr>
        <w:t>TRANS</w:t>
      </w:r>
      <w:r w:rsidRPr="00B02B14">
        <w:rPr>
          <w:lang w:val="en-GB"/>
        </w:rPr>
        <w:t>/</w:t>
      </w:r>
      <w:r w:rsidRPr="00A3586E">
        <w:rPr>
          <w:lang w:val="en-US"/>
        </w:rPr>
        <w:t>WP</w:t>
      </w:r>
      <w:r w:rsidRPr="00B02B14">
        <w:rPr>
          <w:lang w:val="en-GB"/>
        </w:rPr>
        <w:t>.15/</w:t>
      </w:r>
      <w:r w:rsidRPr="00A3586E">
        <w:rPr>
          <w:lang w:val="en-US"/>
        </w:rPr>
        <w:t>AC</w:t>
      </w:r>
      <w:r w:rsidRPr="00B02B14">
        <w:rPr>
          <w:lang w:val="en-GB"/>
        </w:rPr>
        <w:t>.1/2015/16 (</w:t>
      </w:r>
      <w:r w:rsidRPr="00A3586E">
        <w:t>Франция</w:t>
      </w:r>
      <w:r w:rsidRPr="00B02B14">
        <w:rPr>
          <w:lang w:val="en-GB"/>
        </w:rPr>
        <w:t>)</w:t>
      </w:r>
      <w:bookmarkEnd w:id="21"/>
    </w:p>
    <w:p w:rsidR="00A3586E" w:rsidRPr="00A3586E" w:rsidRDefault="00A3586E" w:rsidP="00B670B1">
      <w:pPr>
        <w:pStyle w:val="SingleTxt"/>
        <w:spacing w:after="0"/>
        <w:rPr>
          <w:lang w:val="en-US"/>
        </w:rPr>
      </w:pPr>
      <w:r w:rsidRPr="00B02B14">
        <w:rPr>
          <w:lang w:val="en-GB"/>
        </w:rPr>
        <w:tab/>
      </w:r>
      <w:r w:rsidRPr="00B02B14">
        <w:rPr>
          <w:lang w:val="en-GB"/>
        </w:rPr>
        <w:tab/>
      </w:r>
      <w:bookmarkStart w:id="22" w:name="lt_pId046"/>
      <w:r w:rsidR="00B670B1" w:rsidRPr="00B02B14">
        <w:rPr>
          <w:lang w:val="en-GB"/>
        </w:rPr>
        <w:tab/>
      </w:r>
      <w:r w:rsidR="00AF385A" w:rsidRPr="00B02B14">
        <w:rPr>
          <w:lang w:val="en-GB"/>
        </w:rPr>
        <w:tab/>
      </w:r>
      <w:r w:rsidR="00AF385A" w:rsidRPr="00B02B14">
        <w:rPr>
          <w:lang w:val="en-GB"/>
        </w:rPr>
        <w:tab/>
      </w:r>
      <w:r w:rsidR="00AF385A" w:rsidRPr="00B02B14">
        <w:rPr>
          <w:lang w:val="en-GB"/>
        </w:rPr>
        <w:tab/>
      </w:r>
      <w:r w:rsidRPr="00A3586E">
        <w:rPr>
          <w:lang w:val="en-US"/>
        </w:rPr>
        <w:t>ECE/TRANS/WP.15/AC.1/2015/19 (</w:t>
      </w:r>
      <w:r w:rsidRPr="00A3586E">
        <w:t>МСЖД</w:t>
      </w:r>
      <w:r w:rsidRPr="00A3586E">
        <w:rPr>
          <w:lang w:val="en-US"/>
        </w:rPr>
        <w:t>)</w:t>
      </w:r>
      <w:bookmarkEnd w:id="22"/>
    </w:p>
    <w:p w:rsidR="00A3586E" w:rsidRPr="00A3586E" w:rsidRDefault="00A3586E" w:rsidP="00B670B1">
      <w:pPr>
        <w:pStyle w:val="SingleTxt"/>
        <w:spacing w:after="0"/>
        <w:rPr>
          <w:lang w:val="en-US"/>
        </w:rPr>
      </w:pPr>
      <w:r w:rsidRPr="00A3586E">
        <w:rPr>
          <w:lang w:val="en-US"/>
        </w:rPr>
        <w:tab/>
      </w:r>
      <w:r w:rsidRPr="00A3586E">
        <w:rPr>
          <w:lang w:val="en-US"/>
        </w:rPr>
        <w:tab/>
      </w:r>
      <w:bookmarkStart w:id="23" w:name="lt_pId049"/>
      <w:r w:rsidR="00B670B1">
        <w:rPr>
          <w:lang w:val="en-US"/>
        </w:rPr>
        <w:tab/>
      </w:r>
      <w:r w:rsidR="00AF385A" w:rsidRPr="00AF385A">
        <w:rPr>
          <w:lang w:val="en-US"/>
        </w:rPr>
        <w:tab/>
      </w:r>
      <w:r w:rsidR="00AF385A" w:rsidRPr="00AF385A">
        <w:rPr>
          <w:lang w:val="en-US"/>
        </w:rPr>
        <w:tab/>
      </w:r>
      <w:r w:rsidR="00AF385A" w:rsidRPr="00AF385A">
        <w:rPr>
          <w:lang w:val="en-US"/>
        </w:rPr>
        <w:tab/>
      </w:r>
      <w:r w:rsidRPr="00A3586E">
        <w:rPr>
          <w:lang w:val="en-US"/>
        </w:rPr>
        <w:t>ECE/TRANS/WP.15/AC.1/2015/20 (</w:t>
      </w:r>
      <w:r w:rsidRPr="00A3586E">
        <w:t>МСЖД</w:t>
      </w:r>
      <w:r w:rsidRPr="00A3586E">
        <w:rPr>
          <w:lang w:val="en-US"/>
        </w:rPr>
        <w:t>)</w:t>
      </w:r>
      <w:bookmarkEnd w:id="23"/>
    </w:p>
    <w:p w:rsidR="00A3586E" w:rsidRPr="00A3586E" w:rsidRDefault="00A3586E" w:rsidP="00AF385A">
      <w:pPr>
        <w:pStyle w:val="SingleTxt"/>
        <w:jc w:val="left"/>
      </w:pPr>
      <w:r w:rsidRPr="00A3586E">
        <w:rPr>
          <w:lang w:val="en-US"/>
        </w:rPr>
        <w:tab/>
      </w:r>
      <w:r w:rsidRPr="00A3586E">
        <w:rPr>
          <w:lang w:val="en-US"/>
        </w:rPr>
        <w:tab/>
      </w:r>
      <w:bookmarkStart w:id="24" w:name="lt_pId052"/>
      <w:r w:rsidR="00B670B1">
        <w:rPr>
          <w:lang w:val="en-US"/>
        </w:rPr>
        <w:tab/>
      </w:r>
      <w:r w:rsidR="00AF385A" w:rsidRPr="00AF385A">
        <w:rPr>
          <w:lang w:val="en-US"/>
        </w:rPr>
        <w:tab/>
      </w:r>
      <w:r w:rsidR="00AF385A" w:rsidRPr="00AF385A">
        <w:rPr>
          <w:lang w:val="en-US"/>
        </w:rPr>
        <w:tab/>
      </w:r>
      <w:r w:rsidR="00AF385A" w:rsidRPr="00AF385A">
        <w:rPr>
          <w:lang w:val="en-US"/>
        </w:rPr>
        <w:tab/>
      </w:r>
      <w:r w:rsidRPr="00A3586E">
        <w:t xml:space="preserve">ECE/TRANS/WP.15/AC.1/2015/22 (Соединенное </w:t>
      </w:r>
      <w:r w:rsidR="00AF385A">
        <w:tab/>
      </w:r>
      <w:r w:rsidR="00AF385A">
        <w:tab/>
      </w:r>
      <w:r w:rsidR="00AF385A">
        <w:tab/>
      </w:r>
      <w:r w:rsidR="00AF385A">
        <w:tab/>
      </w:r>
      <w:r w:rsidR="00AF385A">
        <w:tab/>
      </w:r>
      <w:r w:rsidR="00AF385A">
        <w:tab/>
      </w:r>
      <w:r w:rsidRPr="00A3586E">
        <w:t>Королевство)</w:t>
      </w:r>
      <w:bookmarkEnd w:id="24"/>
    </w:p>
    <w:p w:rsidR="00B670B1" w:rsidRPr="00B670B1" w:rsidRDefault="00A3586E" w:rsidP="00B670B1">
      <w:pPr>
        <w:pStyle w:val="SingleTxt"/>
        <w:spacing w:after="0" w:line="240" w:lineRule="atLeast"/>
        <w:rPr>
          <w:sz w:val="10"/>
        </w:rPr>
      </w:pPr>
      <w:bookmarkStart w:id="25" w:name="lt_pId053"/>
      <w:r w:rsidRPr="00A3586E">
        <w:rPr>
          <w:i/>
        </w:rPr>
        <w:t>Неофициальные документы:</w:t>
      </w:r>
      <w:r w:rsidRPr="00A3586E">
        <w:rPr>
          <w:i/>
        </w:rPr>
        <w:tab/>
      </w:r>
      <w:r w:rsidRPr="00A3586E">
        <w:t>INF.48 (мартовская сессия 2014 </w:t>
      </w:r>
      <w:r w:rsidR="00B670B1">
        <w:t>года)</w:t>
      </w:r>
    </w:p>
    <w:p w:rsidR="00B670B1" w:rsidRPr="00B670B1" w:rsidRDefault="00B670B1" w:rsidP="00B670B1">
      <w:pPr>
        <w:pStyle w:val="SingleTxt"/>
        <w:spacing w:after="0" w:line="240" w:lineRule="atLeast"/>
        <w:rPr>
          <w:sz w:val="10"/>
        </w:rPr>
      </w:pPr>
      <w:r w:rsidRPr="00B670B1">
        <w:tab/>
      </w:r>
      <w:r w:rsidRPr="00B670B1">
        <w:tab/>
      </w:r>
      <w:r w:rsidRPr="00B670B1">
        <w:tab/>
      </w:r>
      <w:r w:rsidRPr="00B670B1">
        <w:tab/>
      </w:r>
      <w:r w:rsidRPr="00B670B1">
        <w:tab/>
      </w:r>
      <w:r w:rsidRPr="00B670B1">
        <w:tab/>
      </w:r>
      <w:r w:rsidR="00A3586E" w:rsidRPr="00A3586E">
        <w:t>(Российская Федерация)</w:t>
      </w:r>
      <w:bookmarkEnd w:id="25"/>
    </w:p>
    <w:p w:rsidR="00A3586E" w:rsidRPr="00A3586E" w:rsidRDefault="00B670B1" w:rsidP="00B670B1">
      <w:pPr>
        <w:pStyle w:val="SingleTxt"/>
        <w:spacing w:after="0" w:line="240" w:lineRule="atLeast"/>
      </w:pPr>
      <w:r w:rsidRPr="00AF385A">
        <w:tab/>
      </w:r>
      <w:r w:rsidRPr="00AF385A">
        <w:tab/>
      </w:r>
      <w:r w:rsidR="00A3586E" w:rsidRPr="00A3586E">
        <w:tab/>
      </w:r>
      <w:bookmarkStart w:id="26" w:name="lt_pId055"/>
      <w:r w:rsidR="00A3586E" w:rsidRPr="00A3586E">
        <w:tab/>
      </w:r>
      <w:r w:rsidR="00A3586E" w:rsidRPr="00A3586E">
        <w:tab/>
      </w:r>
      <w:r w:rsidR="00A3586E" w:rsidRPr="00A3586E">
        <w:tab/>
        <w:t>INF.10 (Германия)</w:t>
      </w:r>
      <w:bookmarkEnd w:id="26"/>
    </w:p>
    <w:p w:rsidR="00A3586E" w:rsidRPr="00A3586E" w:rsidRDefault="00B670B1" w:rsidP="00B670B1">
      <w:pPr>
        <w:pStyle w:val="SingleTxt"/>
        <w:spacing w:after="0"/>
      </w:pPr>
      <w:bookmarkStart w:id="27" w:name="lt_pId056"/>
      <w:r w:rsidRPr="00AF385A">
        <w:tab/>
      </w:r>
      <w:r w:rsidRPr="00AF385A">
        <w:tab/>
      </w:r>
      <w:r w:rsidRPr="00AF385A">
        <w:tab/>
      </w:r>
      <w:r w:rsidRPr="00AF385A">
        <w:tab/>
      </w:r>
      <w:r w:rsidRPr="00AF385A">
        <w:tab/>
      </w:r>
      <w:r w:rsidRPr="00AF385A">
        <w:tab/>
      </w:r>
      <w:r w:rsidR="00A3586E" w:rsidRPr="00A3586E">
        <w:t>INF.12/Rev.</w:t>
      </w:r>
      <w:bookmarkStart w:id="28" w:name="lt_pId057"/>
      <w:bookmarkEnd w:id="27"/>
      <w:r w:rsidR="00A3586E" w:rsidRPr="00A3586E">
        <w:t>1 (Польша)</w:t>
      </w:r>
      <w:bookmarkEnd w:id="28"/>
    </w:p>
    <w:p w:rsidR="00A3586E" w:rsidRPr="00A3586E" w:rsidRDefault="00B670B1" w:rsidP="00B670B1">
      <w:pPr>
        <w:pStyle w:val="SingleTxt"/>
        <w:spacing w:after="0"/>
      </w:pPr>
      <w:bookmarkStart w:id="29" w:name="lt_pId058"/>
      <w:r w:rsidRPr="00B02B14">
        <w:tab/>
      </w:r>
      <w:r w:rsidRPr="00B02B14">
        <w:tab/>
      </w:r>
      <w:r w:rsidRPr="00B02B14">
        <w:tab/>
      </w:r>
      <w:r w:rsidRPr="00B02B14">
        <w:tab/>
      </w:r>
      <w:r w:rsidRPr="00B02B14">
        <w:tab/>
      </w:r>
      <w:r w:rsidRPr="00B02B14">
        <w:tab/>
      </w:r>
      <w:r w:rsidR="00A3586E" w:rsidRPr="00A3586E">
        <w:t>INF.15 (Германия)</w:t>
      </w:r>
      <w:bookmarkEnd w:id="29"/>
    </w:p>
    <w:p w:rsidR="00A3586E" w:rsidRPr="00A3586E" w:rsidRDefault="00B670B1" w:rsidP="00B670B1">
      <w:pPr>
        <w:pStyle w:val="SingleTxt"/>
        <w:spacing w:after="0"/>
      </w:pPr>
      <w:bookmarkStart w:id="30" w:name="lt_pId059"/>
      <w:r w:rsidRPr="00B02B14">
        <w:tab/>
      </w:r>
      <w:r w:rsidRPr="00B02B14">
        <w:tab/>
      </w:r>
      <w:r w:rsidRPr="00B02B14">
        <w:tab/>
      </w:r>
      <w:r w:rsidRPr="00B02B14">
        <w:tab/>
      </w:r>
      <w:r w:rsidRPr="00B02B14">
        <w:tab/>
      </w:r>
      <w:r w:rsidRPr="00B02B14">
        <w:tab/>
      </w:r>
      <w:r w:rsidR="00A3586E" w:rsidRPr="00A3586E">
        <w:t>INF.17 (МСЖД)</w:t>
      </w:r>
      <w:bookmarkEnd w:id="30"/>
    </w:p>
    <w:p w:rsidR="00A3586E" w:rsidRPr="00A3586E" w:rsidRDefault="00B670B1" w:rsidP="00B670B1">
      <w:pPr>
        <w:pStyle w:val="SingleTxt"/>
        <w:spacing w:after="0"/>
      </w:pPr>
      <w:bookmarkStart w:id="31" w:name="lt_pId060"/>
      <w:r w:rsidRPr="00B02B14">
        <w:tab/>
      </w:r>
      <w:r w:rsidRPr="00B02B14">
        <w:tab/>
      </w:r>
      <w:r w:rsidRPr="00B02B14">
        <w:tab/>
      </w:r>
      <w:r w:rsidRPr="00B02B14">
        <w:tab/>
      </w:r>
      <w:r w:rsidRPr="00B02B14">
        <w:tab/>
      </w:r>
      <w:r w:rsidRPr="00B02B14">
        <w:tab/>
      </w:r>
      <w:r w:rsidR="00A3586E" w:rsidRPr="00A3586E">
        <w:t>INF.18 (Соединенное Королевство)</w:t>
      </w:r>
      <w:bookmarkEnd w:id="31"/>
    </w:p>
    <w:p w:rsidR="00A3586E" w:rsidRPr="00A3586E" w:rsidRDefault="00B670B1" w:rsidP="00B670B1">
      <w:pPr>
        <w:pStyle w:val="SingleTxt"/>
        <w:spacing w:after="0"/>
      </w:pPr>
      <w:bookmarkStart w:id="32" w:name="lt_pId061"/>
      <w:r w:rsidRPr="00B02B14">
        <w:tab/>
      </w:r>
      <w:r w:rsidRPr="00B02B14">
        <w:tab/>
      </w:r>
      <w:r w:rsidRPr="00B02B14">
        <w:tab/>
      </w:r>
      <w:r w:rsidRPr="00B02B14">
        <w:tab/>
      </w:r>
      <w:r w:rsidRPr="00B02B14">
        <w:tab/>
      </w:r>
      <w:r w:rsidRPr="00B02B14">
        <w:tab/>
      </w:r>
      <w:r w:rsidR="00A3586E" w:rsidRPr="00A3586E">
        <w:t>INF.22 (Российская Федерация)</w:t>
      </w:r>
      <w:bookmarkEnd w:id="32"/>
    </w:p>
    <w:p w:rsidR="00A3586E" w:rsidRPr="00A3586E" w:rsidRDefault="00A3586E" w:rsidP="00B670B1">
      <w:pPr>
        <w:pStyle w:val="SingleTxt"/>
        <w:spacing w:after="0"/>
      </w:pPr>
      <w:r w:rsidRPr="00A3586E">
        <w:tab/>
      </w:r>
      <w:bookmarkStart w:id="33" w:name="lt_pId063"/>
      <w:r w:rsidR="00B670B1" w:rsidRPr="00B02B14">
        <w:tab/>
      </w:r>
      <w:r w:rsidR="00B670B1" w:rsidRPr="00B02B14">
        <w:tab/>
      </w:r>
      <w:r w:rsidR="00B670B1" w:rsidRPr="00B02B14">
        <w:tab/>
      </w:r>
      <w:r w:rsidR="00B670B1" w:rsidRPr="00B02B14">
        <w:tab/>
      </w:r>
      <w:r w:rsidR="00B670B1" w:rsidRPr="00B02B14">
        <w:tab/>
      </w:r>
      <w:r w:rsidRPr="00A3586E">
        <w:t>INF.41 (ЕАСНГ)</w:t>
      </w:r>
      <w:bookmarkEnd w:id="33"/>
    </w:p>
    <w:p w:rsidR="00A3586E" w:rsidRPr="00A3586E" w:rsidRDefault="00A3586E" w:rsidP="00B670B1">
      <w:pPr>
        <w:pStyle w:val="SingleTxt"/>
        <w:spacing w:after="0"/>
      </w:pPr>
      <w:r w:rsidRPr="00A3586E">
        <w:tab/>
      </w:r>
      <w:r w:rsidRPr="00A3586E">
        <w:tab/>
      </w:r>
      <w:r w:rsidRPr="00A3586E">
        <w:tab/>
      </w:r>
      <w:bookmarkStart w:id="34" w:name="lt_pId067"/>
      <w:r w:rsidR="00B670B1" w:rsidRPr="00B02B14">
        <w:tab/>
      </w:r>
      <w:r w:rsidR="00B670B1" w:rsidRPr="00B02B14">
        <w:tab/>
      </w:r>
      <w:r w:rsidR="00B670B1" w:rsidRPr="00B02B14">
        <w:tab/>
      </w:r>
      <w:r w:rsidRPr="00A3586E">
        <w:t>INF.42 (Бельгия)</w:t>
      </w:r>
      <w:bookmarkEnd w:id="34"/>
    </w:p>
    <w:p w:rsidR="00B670B1" w:rsidRPr="00B670B1" w:rsidRDefault="00B670B1" w:rsidP="00B670B1">
      <w:pPr>
        <w:pStyle w:val="SingleTxt"/>
        <w:spacing w:after="0" w:line="120" w:lineRule="exact"/>
        <w:rPr>
          <w:sz w:val="10"/>
        </w:rPr>
      </w:pPr>
      <w:bookmarkStart w:id="35" w:name="lt_pId070"/>
    </w:p>
    <w:p w:rsidR="00B670B1" w:rsidRPr="00B670B1" w:rsidRDefault="00B670B1" w:rsidP="00B670B1">
      <w:pPr>
        <w:pStyle w:val="SingleTxt"/>
        <w:spacing w:after="0" w:line="120" w:lineRule="exact"/>
        <w:rPr>
          <w:sz w:val="10"/>
        </w:rPr>
      </w:pPr>
    </w:p>
    <w:p w:rsidR="00A3586E" w:rsidRPr="00A3586E" w:rsidRDefault="00B670B1" w:rsidP="00860AA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02B14">
        <w:tab/>
      </w:r>
      <w:r w:rsidRPr="00B02B14">
        <w:tab/>
      </w:r>
      <w:r w:rsidR="00A3586E" w:rsidRPr="00A3586E">
        <w:t>Пункт 1:</w:t>
      </w:r>
      <w:bookmarkEnd w:id="35"/>
      <w:r w:rsidR="00A3586E" w:rsidRPr="00A3586E">
        <w:t xml:space="preserve"> </w:t>
      </w:r>
      <w:bookmarkStart w:id="36" w:name="lt_pId071"/>
      <w:r w:rsidR="00A3586E" w:rsidRPr="00A3586E">
        <w:t>ECE/TRANS/WP.15/AC.1/2014/13 (Украина)</w:t>
      </w:r>
      <w:r>
        <w:t> </w:t>
      </w:r>
      <w:r w:rsidRPr="00B670B1">
        <w:t>–</w:t>
      </w:r>
      <w:r w:rsidR="00A3586E" w:rsidRPr="00A3586E">
        <w:t xml:space="preserve"> Предложение по изменению специальных положений TU21 и</w:t>
      </w:r>
      <w:r w:rsidR="00860AAA">
        <w:rPr>
          <w:lang w:val="en-US"/>
        </w:rPr>
        <w:t> </w:t>
      </w:r>
      <w:r w:rsidR="00A3586E" w:rsidRPr="00A3586E">
        <w:t>TU16 в целях согласования с требованиями приложения 2 к</w:t>
      </w:r>
      <w:r w:rsidR="00860AAA">
        <w:rPr>
          <w:lang w:val="en-US"/>
        </w:rPr>
        <w:t> </w:t>
      </w:r>
      <w:r w:rsidR="00A3586E" w:rsidRPr="00A3586E">
        <w:t>СМГС + INF.48 (мартовская сессия 2014 года) (Российская Федерация)</w:t>
      </w:r>
      <w:bookmarkEnd w:id="36"/>
    </w:p>
    <w:p w:rsidR="00B670B1" w:rsidRPr="00B670B1" w:rsidRDefault="00B670B1" w:rsidP="00B670B1">
      <w:pPr>
        <w:pStyle w:val="SingleTxt"/>
        <w:spacing w:after="0" w:line="120" w:lineRule="exact"/>
        <w:rPr>
          <w:sz w:val="10"/>
        </w:rPr>
      </w:pPr>
    </w:p>
    <w:p w:rsidR="00B670B1" w:rsidRPr="00B670B1" w:rsidRDefault="00B670B1" w:rsidP="00B670B1">
      <w:pPr>
        <w:pStyle w:val="SingleTxt"/>
        <w:spacing w:after="0" w:line="120" w:lineRule="exact"/>
        <w:rPr>
          <w:sz w:val="10"/>
        </w:rPr>
      </w:pPr>
    </w:p>
    <w:p w:rsidR="00A3586E" w:rsidRPr="00A3586E" w:rsidRDefault="00A3586E" w:rsidP="00AF385A">
      <w:pPr>
        <w:pStyle w:val="SingleTxt"/>
        <w:spacing w:after="0" w:line="240" w:lineRule="atLeast"/>
      </w:pPr>
      <w:r w:rsidRPr="00A3586E">
        <w:t>3.</w:t>
      </w:r>
      <w:r w:rsidRPr="00A3586E">
        <w:tab/>
      </w:r>
      <w:bookmarkStart w:id="37" w:name="lt_pId075"/>
      <w:r w:rsidRPr="00A3586E">
        <w:t>Участникам Рабочей группы напомнили о дискуссиях по этой теме, которые состоялись в ходе весенней и осенней сессий 2014 года и отражены в докладах Рабочей группы по цистернам ECE/TRANS/WP.15/AC.1/134/Add.</w:t>
      </w:r>
      <w:bookmarkStart w:id="38" w:name="lt_pId076"/>
      <w:bookmarkEnd w:id="37"/>
      <w:r w:rsidRPr="00A3586E">
        <w:t>1 и ECE/</w:t>
      </w:r>
      <w:r w:rsidR="00AF385A">
        <w:br/>
      </w:r>
      <w:r w:rsidRPr="00A3586E">
        <w:t>TRANS/WP.15/AC.1/136/Add.1.</w:t>
      </w:r>
      <w:bookmarkEnd w:id="38"/>
    </w:p>
    <w:p w:rsidR="00A3586E" w:rsidRPr="00A3586E" w:rsidRDefault="00A3586E" w:rsidP="00B670B1">
      <w:pPr>
        <w:pStyle w:val="SingleTxt"/>
      </w:pPr>
      <w:r w:rsidRPr="00A3586E">
        <w:t>4.</w:t>
      </w:r>
      <w:r w:rsidRPr="00A3586E">
        <w:tab/>
        <w:t>Выводы, сделанные на осенней сессии 2014 года (ECE/TRANS</w:t>
      </w:r>
      <w:r w:rsidR="00860AAA" w:rsidRPr="00860AAA">
        <w:t>/</w:t>
      </w:r>
      <w:r w:rsidR="00AF385A">
        <w:br/>
      </w:r>
      <w:r w:rsidRPr="00A3586E">
        <w:t>WP.15/AC.1/136/Add.1, пункты 4–6), воспроизводятся ниже:</w:t>
      </w:r>
    </w:p>
    <w:p w:rsidR="00A3586E" w:rsidRPr="00B670B1" w:rsidRDefault="00A3586E" w:rsidP="00B670B1">
      <w:pPr>
        <w:pStyle w:val="SingleTxt"/>
        <w:rPr>
          <w:i/>
        </w:rPr>
      </w:pPr>
      <w:bookmarkStart w:id="39" w:name="lt_pId083"/>
      <w:r w:rsidRPr="00B670B1">
        <w:rPr>
          <w:i/>
        </w:rPr>
        <w:t>После обсуждения и разъяснения текущей практики в области перевозок между Украиной и Германией Группа не пришла к единому мнению в отношении того, допускают ли существующие положения TU21 использование воды без добавл</w:t>
      </w:r>
      <w:r w:rsidRPr="00B670B1">
        <w:rPr>
          <w:i/>
        </w:rPr>
        <w:t>е</w:t>
      </w:r>
      <w:r w:rsidRPr="00B670B1">
        <w:rPr>
          <w:i/>
        </w:rPr>
        <w:t>ния азота для стабильной перевозки фосфора (№ ООН 2447 и № ООН 1381).</w:t>
      </w:r>
      <w:bookmarkEnd w:id="39"/>
      <w:r w:rsidRPr="00B670B1">
        <w:rPr>
          <w:i/>
        </w:rPr>
        <w:t xml:space="preserve"> </w:t>
      </w:r>
      <w:bookmarkStart w:id="40" w:name="lt_pId084"/>
      <w:proofErr w:type="gramStart"/>
      <w:r w:rsidRPr="00B670B1">
        <w:rPr>
          <w:i/>
        </w:rPr>
        <w:t>Хотя приложение 2 к СМГС допускает использование воды без каких-либо доб</w:t>
      </w:r>
      <w:r w:rsidRPr="00B670B1">
        <w:rPr>
          <w:i/>
        </w:rPr>
        <w:t>а</w:t>
      </w:r>
      <w:r w:rsidRPr="00B670B1">
        <w:rPr>
          <w:i/>
        </w:rPr>
        <w:t>вок, было отмечено, что толщина слоя воды в этой системе составляет 30−60 см, в то время как согласно ДОПОГ/МПОГ минимальная толщина слоя воды должна составлять лишь 12 см.</w:t>
      </w:r>
      <w:bookmarkEnd w:id="40"/>
      <w:r w:rsidRPr="00B670B1">
        <w:rPr>
          <w:i/>
        </w:rPr>
        <w:t xml:space="preserve"> </w:t>
      </w:r>
      <w:bookmarkStart w:id="41" w:name="lt_pId085"/>
      <w:r w:rsidRPr="00B670B1">
        <w:rPr>
          <w:i/>
        </w:rPr>
        <w:t>Однако неясно, является ли общая сист</w:t>
      </w:r>
      <w:r w:rsidRPr="00B670B1">
        <w:rPr>
          <w:i/>
        </w:rPr>
        <w:t>е</w:t>
      </w:r>
      <w:r w:rsidRPr="00B670B1">
        <w:rPr>
          <w:i/>
        </w:rPr>
        <w:t>ма, предусмотренная СМГС, идентичной системе, предусмотренной ДОПОГ/МПОГ (например, герметично ли закрываются цистерны…).</w:t>
      </w:r>
      <w:bookmarkEnd w:id="41"/>
      <w:proofErr w:type="gramEnd"/>
      <w:r w:rsidRPr="00B670B1">
        <w:rPr>
          <w:i/>
        </w:rPr>
        <w:t xml:space="preserve"> </w:t>
      </w:r>
      <w:bookmarkStart w:id="42" w:name="lt_pId086"/>
      <w:r w:rsidRPr="00B670B1">
        <w:rPr>
          <w:i/>
        </w:rPr>
        <w:t>Некот</w:t>
      </w:r>
      <w:r w:rsidRPr="00B670B1">
        <w:rPr>
          <w:i/>
        </w:rPr>
        <w:t>о</w:t>
      </w:r>
      <w:r w:rsidRPr="00B670B1">
        <w:rPr>
          <w:i/>
        </w:rPr>
        <w:t>рые эксперты сочли, что использование слоя воды толщиной лишь 12 см без д</w:t>
      </w:r>
      <w:r w:rsidRPr="00B670B1">
        <w:rPr>
          <w:i/>
        </w:rPr>
        <w:t>о</w:t>
      </w:r>
      <w:r w:rsidRPr="00B670B1">
        <w:rPr>
          <w:i/>
        </w:rPr>
        <w:t>бавления азота не может гарантировать, что твердый фосфор будет полн</w:t>
      </w:r>
      <w:r w:rsidRPr="00B670B1">
        <w:rPr>
          <w:i/>
        </w:rPr>
        <w:t>о</w:t>
      </w:r>
      <w:r w:rsidRPr="00B670B1">
        <w:rPr>
          <w:i/>
        </w:rPr>
        <w:t>стью покрыт во время перевозки, и существует мало информации относител</w:t>
      </w:r>
      <w:r w:rsidRPr="00B670B1">
        <w:rPr>
          <w:i/>
        </w:rPr>
        <w:t>ь</w:t>
      </w:r>
      <w:r w:rsidRPr="00B670B1">
        <w:rPr>
          <w:i/>
        </w:rPr>
        <w:t>но происхождения этих технических положений, содержащихся в правилах.</w:t>
      </w:r>
      <w:bookmarkEnd w:id="42"/>
    </w:p>
    <w:p w:rsidR="00A3586E" w:rsidRPr="00B670B1" w:rsidRDefault="00A3586E" w:rsidP="00B670B1">
      <w:pPr>
        <w:pStyle w:val="SingleTxt"/>
        <w:rPr>
          <w:i/>
        </w:rPr>
      </w:pPr>
      <w:bookmarkStart w:id="43" w:name="lt_pId089"/>
      <w:r w:rsidRPr="00B670B1">
        <w:rPr>
          <w:i/>
        </w:rPr>
        <w:t>В итоге Группа решила, что существующий те</w:t>
      </w:r>
      <w:proofErr w:type="gramStart"/>
      <w:r w:rsidRPr="00B670B1">
        <w:rPr>
          <w:i/>
        </w:rPr>
        <w:t>кст пр</w:t>
      </w:r>
      <w:proofErr w:type="gramEnd"/>
      <w:r w:rsidRPr="00B670B1">
        <w:rPr>
          <w:i/>
        </w:rPr>
        <w:t>иводит к проблемам с толкованием и что его следует изменить.</w:t>
      </w:r>
      <w:bookmarkEnd w:id="43"/>
      <w:r w:rsidRPr="00B670B1">
        <w:rPr>
          <w:i/>
        </w:rPr>
        <w:t xml:space="preserve"> </w:t>
      </w:r>
      <w:bookmarkStart w:id="44" w:name="lt_pId090"/>
      <w:r w:rsidRPr="00B670B1">
        <w:rPr>
          <w:i/>
        </w:rPr>
        <w:t>Группа сочла, что в этих целях ей требуется дополнительная информация относительно:</w:t>
      </w:r>
      <w:bookmarkEnd w:id="44"/>
    </w:p>
    <w:p w:rsidR="00A3586E" w:rsidRPr="009C683D" w:rsidRDefault="009C683D" w:rsidP="009C683D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</w:tabs>
        <w:ind w:left="1742" w:hanging="475"/>
        <w:rPr>
          <w:i/>
        </w:rPr>
      </w:pPr>
      <w:bookmarkStart w:id="45" w:name="lt_pId091"/>
      <w:r w:rsidRPr="00B02B14">
        <w:tab/>
      </w:r>
      <w:r w:rsidRPr="009C683D">
        <w:t>•</w:t>
      </w:r>
      <w:r w:rsidRPr="009C683D">
        <w:tab/>
      </w:r>
      <w:r w:rsidR="00A3586E" w:rsidRPr="009C683D">
        <w:rPr>
          <w:i/>
        </w:rPr>
        <w:t>существующей в странах практики (на основе сведений, полученных от с</w:t>
      </w:r>
      <w:r w:rsidR="00A3586E" w:rsidRPr="009C683D">
        <w:rPr>
          <w:i/>
        </w:rPr>
        <w:t>о</w:t>
      </w:r>
      <w:r w:rsidR="00A3586E" w:rsidRPr="009C683D">
        <w:rPr>
          <w:i/>
        </w:rPr>
        <w:t>ответствующей отрасли);</w:t>
      </w:r>
      <w:bookmarkEnd w:id="45"/>
    </w:p>
    <w:p w:rsidR="00A3586E" w:rsidRPr="00A3586E" w:rsidRDefault="009C683D" w:rsidP="009C683D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</w:tabs>
        <w:ind w:left="1742" w:hanging="475"/>
      </w:pPr>
      <w:bookmarkStart w:id="46" w:name="lt_pId092"/>
      <w:r w:rsidRPr="00B02B14">
        <w:tab/>
      </w:r>
      <w:r w:rsidRPr="009C683D">
        <w:t>•</w:t>
      </w:r>
      <w:r w:rsidRPr="009C683D">
        <w:tab/>
      </w:r>
      <w:r w:rsidR="00A3586E" w:rsidRPr="009C683D">
        <w:rPr>
          <w:i/>
        </w:rPr>
        <w:t>поведения вещества в цистерне в присутствии слоя воды толщиной лишь</w:t>
      </w:r>
      <w:r w:rsidR="00AF385A">
        <w:rPr>
          <w:i/>
        </w:rPr>
        <w:t> </w:t>
      </w:r>
      <w:r w:rsidR="00A3586E" w:rsidRPr="009C683D">
        <w:rPr>
          <w:i/>
        </w:rPr>
        <w:t>12 см;</w:t>
      </w:r>
      <w:bookmarkEnd w:id="46"/>
    </w:p>
    <w:p w:rsidR="00A3586E" w:rsidRPr="00A3586E" w:rsidRDefault="009C683D" w:rsidP="009C683D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</w:tabs>
        <w:ind w:left="1742" w:hanging="475"/>
      </w:pPr>
      <w:bookmarkStart w:id="47" w:name="lt_pId093"/>
      <w:r w:rsidRPr="00AF385A">
        <w:lastRenderedPageBreak/>
        <w:tab/>
      </w:r>
      <w:r w:rsidRPr="009C683D">
        <w:t>•</w:t>
      </w:r>
      <w:r w:rsidRPr="009C683D">
        <w:tab/>
      </w:r>
      <w:r w:rsidR="00A3586E" w:rsidRPr="009C683D">
        <w:rPr>
          <w:i/>
        </w:rPr>
        <w:t>поведения вещества при различных степенях наполнения;</w:t>
      </w:r>
      <w:bookmarkEnd w:id="47"/>
    </w:p>
    <w:p w:rsidR="00A3586E" w:rsidRPr="00A3586E" w:rsidRDefault="009C683D" w:rsidP="009C683D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</w:tabs>
        <w:ind w:left="1742" w:hanging="475"/>
      </w:pPr>
      <w:bookmarkStart w:id="48" w:name="lt_pId094"/>
      <w:r w:rsidRPr="00B02B14">
        <w:tab/>
      </w:r>
      <w:r w:rsidRPr="009C683D">
        <w:t>•</w:t>
      </w:r>
      <w:r w:rsidRPr="009C683D">
        <w:tab/>
      </w:r>
      <w:r w:rsidR="00A3586E" w:rsidRPr="009C683D">
        <w:rPr>
          <w:i/>
        </w:rPr>
        <w:t>физического состояния фосфора во время перевозки.</w:t>
      </w:r>
      <w:bookmarkEnd w:id="48"/>
    </w:p>
    <w:p w:rsidR="009C683D" w:rsidRPr="009C683D" w:rsidRDefault="009C683D" w:rsidP="009C683D">
      <w:pPr>
        <w:pStyle w:val="SingleTxt"/>
        <w:spacing w:after="0" w:line="120" w:lineRule="exact"/>
        <w:rPr>
          <w:sz w:val="10"/>
        </w:rPr>
      </w:pPr>
      <w:bookmarkStart w:id="49" w:name="lt_pId097"/>
    </w:p>
    <w:p w:rsidR="00A3586E" w:rsidRPr="00A3586E" w:rsidRDefault="009C683D" w:rsidP="009C683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jc w:val="both"/>
      </w:pPr>
      <w:r w:rsidRPr="00B02B14">
        <w:tab/>
      </w:r>
      <w:r w:rsidRPr="00B02B14">
        <w:tab/>
      </w:r>
      <w:r w:rsidR="00A3586E" w:rsidRPr="00A3586E">
        <w:t>Группа решила предложить соответствующей отрасли принять участие в будущей сессии Рабочей группы с целью содействия прояснению данного вопроса.</w:t>
      </w:r>
      <w:bookmarkEnd w:id="49"/>
    </w:p>
    <w:p w:rsidR="009C683D" w:rsidRPr="009C683D" w:rsidRDefault="009C683D" w:rsidP="009C683D">
      <w:pPr>
        <w:pStyle w:val="SingleTxt"/>
        <w:spacing w:after="0" w:line="120" w:lineRule="exact"/>
        <w:rPr>
          <w:sz w:val="10"/>
        </w:rPr>
      </w:pPr>
      <w:bookmarkStart w:id="50" w:name="lt_pId098"/>
    </w:p>
    <w:p w:rsidR="00A3586E" w:rsidRPr="009C683D" w:rsidRDefault="00A3586E" w:rsidP="00B670B1">
      <w:pPr>
        <w:pStyle w:val="SingleTxt"/>
        <w:rPr>
          <w:i/>
        </w:rPr>
      </w:pPr>
      <w:r w:rsidRPr="009C683D">
        <w:rPr>
          <w:i/>
        </w:rPr>
        <w:t>Группа также подробно рассмотрела изложенный в INF.48 вопрос о том, нео</w:t>
      </w:r>
      <w:r w:rsidRPr="009C683D">
        <w:rPr>
          <w:i/>
        </w:rPr>
        <w:t>б</w:t>
      </w:r>
      <w:r w:rsidRPr="009C683D">
        <w:rPr>
          <w:i/>
        </w:rPr>
        <w:t>ходимо ли заполнение водой пор</w:t>
      </w:r>
      <w:r w:rsidR="00AF385A">
        <w:rPr>
          <w:i/>
        </w:rPr>
        <w:t>ожних неочищенных цистерн на 96% или 98</w:t>
      </w:r>
      <w:r w:rsidRPr="009C683D">
        <w:rPr>
          <w:i/>
        </w:rPr>
        <w:t>%, когда основная часть остатков продукта находится в нижней части цистерны.</w:t>
      </w:r>
      <w:bookmarkEnd w:id="50"/>
      <w:r w:rsidRPr="009C683D">
        <w:rPr>
          <w:i/>
        </w:rPr>
        <w:t xml:space="preserve"> </w:t>
      </w:r>
      <w:bookmarkStart w:id="51" w:name="lt_pId099"/>
      <w:r w:rsidRPr="009C683D">
        <w:rPr>
          <w:i/>
        </w:rPr>
        <w:t>Группа сочла, что данный вопрос связан с первым вопросом, поскольку необход</w:t>
      </w:r>
      <w:r w:rsidRPr="009C683D">
        <w:rPr>
          <w:i/>
        </w:rPr>
        <w:t>и</w:t>
      </w:r>
      <w:r w:rsidRPr="009C683D">
        <w:rPr>
          <w:i/>
        </w:rPr>
        <w:t xml:space="preserve">мо в полной мере понять поведение вещества в цистерне (например, налипают ли остатки продукта на стенки корпуса, происходит ли спекание…), с </w:t>
      </w:r>
      <w:proofErr w:type="gramStart"/>
      <w:r w:rsidRPr="009C683D">
        <w:rPr>
          <w:i/>
        </w:rPr>
        <w:t>тем</w:t>
      </w:r>
      <w:proofErr w:type="gramEnd"/>
      <w:r w:rsidRPr="009C683D">
        <w:rPr>
          <w:i/>
        </w:rPr>
        <w:t xml:space="preserve"> чт</w:t>
      </w:r>
      <w:r w:rsidRPr="009C683D">
        <w:rPr>
          <w:i/>
        </w:rPr>
        <w:t>о</w:t>
      </w:r>
      <w:r w:rsidRPr="009C683D">
        <w:rPr>
          <w:i/>
        </w:rPr>
        <w:t>бы оценить это положение.</w:t>
      </w:r>
      <w:bookmarkEnd w:id="51"/>
    </w:p>
    <w:p w:rsidR="00A3586E" w:rsidRPr="00A3586E" w:rsidRDefault="00A3586E" w:rsidP="00B670B1">
      <w:pPr>
        <w:pStyle w:val="SingleTxt"/>
      </w:pPr>
      <w:r w:rsidRPr="00A3586E">
        <w:t>5.</w:t>
      </w:r>
      <w:r w:rsidRPr="00A3586E">
        <w:tab/>
        <w:t xml:space="preserve">По просьбе Рабочей группы доктор </w:t>
      </w:r>
      <w:proofErr w:type="spellStart"/>
      <w:r w:rsidRPr="00A3586E">
        <w:t>Хейко</w:t>
      </w:r>
      <w:proofErr w:type="spellEnd"/>
      <w:r w:rsidRPr="00A3586E">
        <w:t xml:space="preserve"> </w:t>
      </w:r>
      <w:proofErr w:type="spellStart"/>
      <w:r w:rsidRPr="00A3586E">
        <w:t>Маммен</w:t>
      </w:r>
      <w:proofErr w:type="spellEnd"/>
      <w:r w:rsidRPr="00A3586E">
        <w:t xml:space="preserve"> из Группы ICL выступил с подробным сообщением о существующей практике перевозки желтого фосф</w:t>
      </w:r>
      <w:r w:rsidRPr="00A3586E">
        <w:t>о</w:t>
      </w:r>
      <w:r w:rsidRPr="00A3586E">
        <w:t>ра. Из этого сообщения следует, что сегодня для перевозки желтого фосфора в цистернах на практике используется главным образом № ООН 1381. Для ваг</w:t>
      </w:r>
      <w:r w:rsidRPr="00A3586E">
        <w:t>о</w:t>
      </w:r>
      <w:r w:rsidRPr="00A3586E">
        <w:t>нов-цистерн и контейнеров-цистерн применяются различные методы. Для ваг</w:t>
      </w:r>
      <w:r w:rsidRPr="00A3586E">
        <w:t>о</w:t>
      </w:r>
      <w:r w:rsidRPr="00A3586E">
        <w:t>нов-цистерн обычно используется слой воды толщиной 30 см, как это предпис</w:t>
      </w:r>
      <w:r w:rsidRPr="00A3586E">
        <w:t>а</w:t>
      </w:r>
      <w:r w:rsidRPr="00A3586E">
        <w:t>но в приложении 2 к СМГС, поскольку существуют некоторые сомнения относ</w:t>
      </w:r>
      <w:r w:rsidRPr="00A3586E">
        <w:t>и</w:t>
      </w:r>
      <w:r w:rsidRPr="00A3586E">
        <w:t>тельно того, герметично ли закрыты использованные вагоны-цистерны. Для ко</w:t>
      </w:r>
      <w:r w:rsidRPr="00A3586E">
        <w:t>н</w:t>
      </w:r>
      <w:r w:rsidRPr="00A3586E">
        <w:t xml:space="preserve">тейнеров-цистерн используется слой воды толщиной 12 см с дополнительной азотной подушкой. Из-за высокой плотности продукта обычно используются специальные цистерны, при </w:t>
      </w:r>
      <w:proofErr w:type="gramStart"/>
      <w:r w:rsidRPr="00A3586E">
        <w:t>том</w:t>
      </w:r>
      <w:proofErr w:type="gramEnd"/>
      <w:r w:rsidRPr="00A3586E">
        <w:t xml:space="preserve"> что существующие тенденции свидетельствуют об увеличении использования контейнеров-цистерн и уменьшении использов</w:t>
      </w:r>
      <w:r w:rsidRPr="00A3586E">
        <w:t>а</w:t>
      </w:r>
      <w:r w:rsidRPr="00A3586E">
        <w:t xml:space="preserve">ния вагонов-цистерн. В этой связи было отмечено, что в Северной Америке это вещество перевозится под слоем воды толщиной менее 12 см с дополнительной азотной подушкой. В </w:t>
      </w:r>
      <w:proofErr w:type="gramStart"/>
      <w:r w:rsidRPr="00A3586E">
        <w:t>прошлом</w:t>
      </w:r>
      <w:proofErr w:type="gramEnd"/>
      <w:r w:rsidRPr="00A3586E">
        <w:t xml:space="preserve"> по меньшей мере один поставщик применял тол</w:t>
      </w:r>
      <w:r w:rsidRPr="00A3586E">
        <w:t>ь</w:t>
      </w:r>
      <w:r w:rsidRPr="00A3586E">
        <w:t>ко азотную подушку и высоко оптимизированное оборудование. Применение только слоя воды толщиной 12 см без дополнительного азота в вагоне-цистерне МПОГ было представлено как безопасный способ перевозки, так как главным условием безопасности является то, что фосфор должен оставаться увлажне</w:t>
      </w:r>
      <w:r w:rsidRPr="00A3586E">
        <w:t>н</w:t>
      </w:r>
      <w:r w:rsidRPr="00A3586E">
        <w:t>ным, а цистерна должна быть герметично закрыта.</w:t>
      </w:r>
    </w:p>
    <w:p w:rsidR="00A3586E" w:rsidRPr="00A3586E" w:rsidRDefault="00A3586E" w:rsidP="00B670B1">
      <w:pPr>
        <w:pStyle w:val="SingleTxt"/>
      </w:pPr>
      <w:r w:rsidRPr="00A3586E">
        <w:t>6.</w:t>
      </w:r>
      <w:r w:rsidRPr="00A3586E">
        <w:tab/>
        <w:t>После этого сообщения состоялось подробное обсуждение, по результатам которого был сделан вывод о том, что удовлетворительный уровень безопасности обеспечивают три следующих возможных варианта:</w:t>
      </w:r>
    </w:p>
    <w:p w:rsidR="00A3586E" w:rsidRPr="00A3586E" w:rsidRDefault="00A3586E" w:rsidP="00B670B1">
      <w:pPr>
        <w:pStyle w:val="SingleTxt"/>
      </w:pPr>
      <w:r w:rsidRPr="00A3586E">
        <w:t>a)</w:t>
      </w:r>
      <w:r w:rsidRPr="00A3586E">
        <w:tab/>
        <w:t>использование слоя воды толщиной не менее 12 см;</w:t>
      </w:r>
    </w:p>
    <w:p w:rsidR="00A3586E" w:rsidRPr="00A3586E" w:rsidRDefault="00A3586E" w:rsidP="00B670B1">
      <w:pPr>
        <w:pStyle w:val="SingleTxt"/>
      </w:pPr>
      <w:r w:rsidRPr="00A3586E">
        <w:t>b)</w:t>
      </w:r>
      <w:r w:rsidRPr="00A3586E">
        <w:tab/>
        <w:t>использование только азотной подушки; или</w:t>
      </w:r>
    </w:p>
    <w:p w:rsidR="00A3586E" w:rsidRPr="00A3586E" w:rsidRDefault="00A3586E" w:rsidP="00B670B1">
      <w:pPr>
        <w:pStyle w:val="SingleTxt"/>
      </w:pPr>
      <w:r w:rsidRPr="00A3586E">
        <w:t>c)</w:t>
      </w:r>
      <w:r w:rsidRPr="00A3586E">
        <w:tab/>
        <w:t>использование воды в сочетании с азотной подушкой.</w:t>
      </w:r>
    </w:p>
    <w:p w:rsidR="00A3586E" w:rsidRPr="00A3586E" w:rsidRDefault="00A3586E" w:rsidP="00B670B1">
      <w:pPr>
        <w:pStyle w:val="SingleTxt"/>
      </w:pPr>
      <w:r w:rsidRPr="00A3586E">
        <w:t>Нынешняя формулировка положения TU21, как представляется, допускает эти три возможных варианта, однако было сочтено, что его текст можно было бы уточнить.</w:t>
      </w:r>
    </w:p>
    <w:p w:rsidR="00A3586E" w:rsidRPr="00A3586E" w:rsidRDefault="00A3586E" w:rsidP="00B670B1">
      <w:pPr>
        <w:pStyle w:val="SingleTxt"/>
      </w:pPr>
      <w:r w:rsidRPr="00A3586E">
        <w:t>Есть также признаки того, что в будущем в приложение 2 к СМГС могут быть внесены изменения, предусматривающие использование для контейнеров-цистерн слоя воды толщиной 12 см и азотной подушки в соответствии с МПОГ.</w:t>
      </w:r>
    </w:p>
    <w:p w:rsidR="00A3586E" w:rsidRPr="00A3586E" w:rsidRDefault="00A3586E" w:rsidP="00B670B1">
      <w:pPr>
        <w:pStyle w:val="SingleTxt"/>
      </w:pPr>
      <w:r w:rsidRPr="00A3586E">
        <w:t>7.</w:t>
      </w:r>
      <w:r w:rsidRPr="00A3586E">
        <w:tab/>
        <w:t>Было сочтено, что содержащееся в документе 2014/13 предложение об и</w:t>
      </w:r>
      <w:r w:rsidRPr="00A3586E">
        <w:t>з</w:t>
      </w:r>
      <w:r w:rsidRPr="00A3586E">
        <w:t>менении транспортного документа является вопросом, который должен рассма</w:t>
      </w:r>
      <w:r w:rsidRPr="00A3586E">
        <w:t>т</w:t>
      </w:r>
      <w:r w:rsidRPr="00A3586E">
        <w:t>риваться Постоянной рабочей группой Комитета экспертов МПОГ.</w:t>
      </w:r>
    </w:p>
    <w:p w:rsidR="00A3586E" w:rsidRPr="00A3586E" w:rsidRDefault="00A3586E" w:rsidP="00B670B1">
      <w:pPr>
        <w:pStyle w:val="SingleTxt"/>
      </w:pPr>
      <w:r w:rsidRPr="00A3586E">
        <w:t>8.</w:t>
      </w:r>
      <w:r w:rsidRPr="00A3586E">
        <w:tab/>
        <w:t>Описанная в документе INF.48 проблема, касающаяся положения TU16 и необходимости заполнения водой пор</w:t>
      </w:r>
      <w:r w:rsidR="009C683D">
        <w:t>ожних неочищенных цистерн на 96</w:t>
      </w:r>
      <w:r w:rsidRPr="00A3586E">
        <w:t xml:space="preserve">%, была </w:t>
      </w:r>
      <w:r w:rsidRPr="00A3586E">
        <w:lastRenderedPageBreak/>
        <w:t>рассмотрена более подробно. На практике поставщики не способны обрабат</w:t>
      </w:r>
      <w:r w:rsidRPr="00A3586E">
        <w:t>ы</w:t>
      </w:r>
      <w:r w:rsidRPr="00A3586E">
        <w:t>вать большие количества токсичной сточной воды, образующиеся в результате применения этого метода, вследствие чего сегодня используется только слой в</w:t>
      </w:r>
      <w:r w:rsidRPr="00A3586E">
        <w:t>о</w:t>
      </w:r>
      <w:r w:rsidRPr="00A3586E">
        <w:t>ды толщиной 25−30 см с дополнительной азотной подушкой. На внутреннюю п</w:t>
      </w:r>
      <w:r w:rsidRPr="00A3586E">
        <w:t>о</w:t>
      </w:r>
      <w:r w:rsidRPr="00A3586E">
        <w:t>верхность цистерны остатки, видимо, не налипают, но на ее дне образуется су</w:t>
      </w:r>
      <w:r w:rsidRPr="00A3586E">
        <w:t>с</w:t>
      </w:r>
      <w:r w:rsidRPr="00A3586E">
        <w:t>пензия. Чтобы отразить такую практику, Группа предлагает изменить положение TU16 следующим образом:</w:t>
      </w:r>
    </w:p>
    <w:p w:rsidR="009C683D" w:rsidRPr="009C683D" w:rsidRDefault="009C683D" w:rsidP="009C683D">
      <w:pPr>
        <w:pStyle w:val="SingleTxt"/>
        <w:spacing w:after="0" w:line="120" w:lineRule="exact"/>
        <w:rPr>
          <w:b/>
          <w:sz w:val="10"/>
        </w:rPr>
      </w:pPr>
      <w:bookmarkStart w:id="52" w:name="lt_pId130"/>
    </w:p>
    <w:p w:rsidR="009C683D" w:rsidRPr="009C683D" w:rsidRDefault="009C683D" w:rsidP="009C683D">
      <w:pPr>
        <w:pStyle w:val="SingleTxt"/>
        <w:spacing w:after="0" w:line="120" w:lineRule="exact"/>
        <w:rPr>
          <w:b/>
          <w:sz w:val="10"/>
        </w:rPr>
      </w:pPr>
    </w:p>
    <w:p w:rsidR="00A3586E" w:rsidRPr="00A3586E" w:rsidRDefault="009C683D" w:rsidP="009C683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02B14">
        <w:tab/>
      </w:r>
      <w:r w:rsidRPr="00B02B14">
        <w:tab/>
      </w:r>
      <w:r w:rsidR="00A3586E" w:rsidRPr="00A3586E">
        <w:t>Предложение</w:t>
      </w:r>
      <w:bookmarkEnd w:id="52"/>
    </w:p>
    <w:p w:rsidR="009C683D" w:rsidRPr="009C683D" w:rsidRDefault="009C683D" w:rsidP="009C683D">
      <w:pPr>
        <w:pStyle w:val="SingleTxt"/>
        <w:spacing w:after="0" w:line="120" w:lineRule="exact"/>
        <w:rPr>
          <w:sz w:val="10"/>
        </w:rPr>
      </w:pPr>
    </w:p>
    <w:p w:rsidR="009C683D" w:rsidRPr="009C683D" w:rsidRDefault="009C683D" w:rsidP="009C683D">
      <w:pPr>
        <w:pStyle w:val="SingleTxt"/>
        <w:spacing w:after="0" w:line="120" w:lineRule="exact"/>
        <w:rPr>
          <w:sz w:val="10"/>
        </w:rPr>
      </w:pPr>
    </w:p>
    <w:p w:rsidR="00A3586E" w:rsidRPr="00A3586E" w:rsidRDefault="00A3586E" w:rsidP="00B670B1">
      <w:pPr>
        <w:pStyle w:val="SingleTxt"/>
      </w:pPr>
      <w:r w:rsidRPr="00A3586E">
        <w:t>Изменить положение TU16 следующим образом (изменения подчеркнуты):</w:t>
      </w:r>
    </w:p>
    <w:p w:rsidR="00A3586E" w:rsidRPr="00A3586E" w:rsidRDefault="009C683D" w:rsidP="00B670B1">
      <w:pPr>
        <w:pStyle w:val="SingleTxt"/>
      </w:pPr>
      <w:bookmarkStart w:id="53" w:name="lt_pId132"/>
      <w:r>
        <w:t>«</w:t>
      </w:r>
      <w:r w:rsidR="00A3586E" w:rsidRPr="00A3586E">
        <w:t>TU16</w:t>
      </w:r>
      <w:bookmarkStart w:id="54" w:name="lt_pId134"/>
      <w:bookmarkEnd w:id="53"/>
      <w:proofErr w:type="gramStart"/>
      <w:r w:rsidR="000D6565">
        <w:tab/>
      </w:r>
      <w:r w:rsidR="00A3586E" w:rsidRPr="00A3586E">
        <w:t>П</w:t>
      </w:r>
      <w:proofErr w:type="gramEnd"/>
      <w:r w:rsidR="00A3586E" w:rsidRPr="00A3586E">
        <w:t>ри предъявлении к перевозке неочищенные порожние цистерны должны:</w:t>
      </w:r>
      <w:bookmarkEnd w:id="54"/>
    </w:p>
    <w:p w:rsidR="00A3586E" w:rsidRPr="00A3586E" w:rsidRDefault="009C683D" w:rsidP="00860AAA">
      <w:pPr>
        <w:pStyle w:val="SingleTxt"/>
        <w:tabs>
          <w:tab w:val="right" w:pos="1685"/>
          <w:tab w:val="right" w:pos="2160"/>
        </w:tabs>
        <w:ind w:left="2218" w:right="1260" w:hanging="475"/>
      </w:pPr>
      <w:r w:rsidRPr="009C683D">
        <w:tab/>
        <w:t>•</w:t>
      </w:r>
      <w:r w:rsidRPr="009C683D">
        <w:tab/>
      </w:r>
      <w:r w:rsidR="00A3586E" w:rsidRPr="00A3586E">
        <w:t xml:space="preserve">заполняться азотом </w:t>
      </w:r>
      <w:r w:rsidR="00A3586E" w:rsidRPr="009C683D">
        <w:rPr>
          <w:i/>
          <w:u w:val="single"/>
        </w:rPr>
        <w:t>(с водой или без воды)</w:t>
      </w:r>
      <w:r w:rsidR="00A3586E" w:rsidRPr="00A3586E">
        <w:t>; или</w:t>
      </w:r>
    </w:p>
    <w:p w:rsidR="00A3586E" w:rsidRPr="00A3586E" w:rsidRDefault="009C683D" w:rsidP="00860AAA">
      <w:pPr>
        <w:pStyle w:val="SingleTxt"/>
        <w:tabs>
          <w:tab w:val="right" w:pos="1685"/>
          <w:tab w:val="right" w:pos="2160"/>
        </w:tabs>
        <w:ind w:left="2218" w:hanging="475"/>
      </w:pPr>
      <w:bookmarkStart w:id="55" w:name="lt_pId137"/>
      <w:r w:rsidRPr="00B02B14">
        <w:tab/>
      </w:r>
      <w:r w:rsidRPr="009C683D">
        <w:t>•</w:t>
      </w:r>
      <w:r w:rsidRPr="009C683D">
        <w:tab/>
      </w:r>
      <w:r w:rsidR="00A3586E" w:rsidRPr="00A3586E">
        <w:t>заполняться водой не менее чем на 96 % и не более чем на 98 % их вместимости;</w:t>
      </w:r>
      <w:bookmarkEnd w:id="55"/>
      <w:r w:rsidR="00A3586E" w:rsidRPr="00A3586E">
        <w:t xml:space="preserve"> </w:t>
      </w:r>
      <w:bookmarkStart w:id="56" w:name="lt_pId138"/>
      <w:r w:rsidR="00A3586E" w:rsidRPr="00A3586E">
        <w:t>в период с 1 октября по 31 марта в воде должно соде</w:t>
      </w:r>
      <w:r w:rsidR="00A3586E" w:rsidRPr="00A3586E">
        <w:t>р</w:t>
      </w:r>
      <w:r w:rsidR="00A3586E" w:rsidRPr="00A3586E">
        <w:t>жаться достаточное количество антифриза для предотвращения ее з</w:t>
      </w:r>
      <w:r w:rsidR="00A3586E" w:rsidRPr="00A3586E">
        <w:t>а</w:t>
      </w:r>
      <w:r w:rsidR="00A3586E" w:rsidRPr="00A3586E">
        <w:t>мерзания во время перевозки;</w:t>
      </w:r>
      <w:bookmarkEnd w:id="56"/>
      <w:r w:rsidR="00A3586E" w:rsidRPr="00A3586E">
        <w:t xml:space="preserve"> </w:t>
      </w:r>
      <w:bookmarkStart w:id="57" w:name="lt_pId139"/>
      <w:r w:rsidR="00A3586E" w:rsidRPr="00A3586E">
        <w:t>антифриз должен быть лишен корроз</w:t>
      </w:r>
      <w:r w:rsidR="00A3586E" w:rsidRPr="00A3586E">
        <w:t>и</w:t>
      </w:r>
      <w:r w:rsidR="00A3586E" w:rsidRPr="00A3586E">
        <w:t>онной активности и способности вступать в реакцию с фосфором</w:t>
      </w:r>
      <w:r>
        <w:t>»</w:t>
      </w:r>
      <w:r w:rsidR="00A3586E" w:rsidRPr="00A3586E">
        <w:t>.</w:t>
      </w:r>
      <w:bookmarkEnd w:id="57"/>
    </w:p>
    <w:p w:rsidR="00A3586E" w:rsidRPr="00A3586E" w:rsidRDefault="00A3586E" w:rsidP="00B670B1">
      <w:pPr>
        <w:pStyle w:val="SingleTxt"/>
      </w:pPr>
      <w:r w:rsidRPr="00A3586E">
        <w:t>9.</w:t>
      </w:r>
      <w:r w:rsidRPr="00A3586E">
        <w:tab/>
        <w:t>И наконец, Рабочая группа отметила, что в случае переносных ц</w:t>
      </w:r>
      <w:r w:rsidRPr="00A3586E">
        <w:t>и</w:t>
      </w:r>
      <w:r w:rsidRPr="00A3586E">
        <w:t>стерн</w:t>
      </w:r>
      <w:r w:rsidR="00860AAA">
        <w:rPr>
          <w:lang w:val="en-US"/>
        </w:rPr>
        <w:t> </w:t>
      </w:r>
      <w:r w:rsidRPr="00A3586E">
        <w:t>ООН для № ООН 1381 не предусмотрено специального положения по ц</w:t>
      </w:r>
      <w:r w:rsidRPr="00A3586E">
        <w:t>и</w:t>
      </w:r>
      <w:r w:rsidRPr="00A3586E">
        <w:t>стернам, которое касалось бы удаления воздуха из пространства над фосфором. Этот вопрос следует довести до сведения Подкомитета экспертов ООН, которому следует рассмотреть возможность назначения аналогичного специального пол</w:t>
      </w:r>
      <w:r w:rsidRPr="00A3586E">
        <w:t>о</w:t>
      </w:r>
      <w:r w:rsidRPr="00A3586E">
        <w:t>жения TP7 (в настоящее время отнесено к № ООН 2447) применительно к ном</w:t>
      </w:r>
      <w:r w:rsidRPr="00A3586E">
        <w:t>е</w:t>
      </w:r>
      <w:r w:rsidRPr="00A3586E">
        <w:t>ру ООН 1381.</w:t>
      </w:r>
    </w:p>
    <w:p w:rsidR="009C683D" w:rsidRPr="009C683D" w:rsidRDefault="009C683D" w:rsidP="009C683D">
      <w:pPr>
        <w:pStyle w:val="SingleTxt"/>
        <w:spacing w:after="0" w:line="120" w:lineRule="exact"/>
        <w:rPr>
          <w:b/>
          <w:sz w:val="10"/>
        </w:rPr>
      </w:pPr>
      <w:bookmarkStart w:id="58" w:name="lt_pId145"/>
    </w:p>
    <w:p w:rsidR="009C683D" w:rsidRPr="009C683D" w:rsidRDefault="009C683D" w:rsidP="009C683D">
      <w:pPr>
        <w:pStyle w:val="SingleTxt"/>
        <w:spacing w:after="0" w:line="120" w:lineRule="exact"/>
        <w:rPr>
          <w:b/>
          <w:sz w:val="10"/>
        </w:rPr>
      </w:pPr>
    </w:p>
    <w:p w:rsidR="00A3586E" w:rsidRPr="00A3586E" w:rsidRDefault="009C683D" w:rsidP="009C683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3586E" w:rsidRPr="00A3586E">
        <w:t>Пункт 2:</w:t>
      </w:r>
      <w:bookmarkEnd w:id="58"/>
      <w:r w:rsidR="00A3586E" w:rsidRPr="00A3586E">
        <w:t xml:space="preserve"> </w:t>
      </w:r>
      <w:bookmarkStart w:id="59" w:name="lt_pId146"/>
      <w:r w:rsidR="00A3586E" w:rsidRPr="00A3586E">
        <w:t>ECE/TRANS/WP.15/AC.1/2015/8 (Франция) </w:t>
      </w:r>
      <w:r w:rsidR="0035188E">
        <w:t>–</w:t>
      </w:r>
      <w:r w:rsidR="00A3586E" w:rsidRPr="00A3586E">
        <w:t xml:space="preserve"> Толщина стенок цистерн вместимостью менее 5 000 литров, изготовленных из нержавеющих ферритно-</w:t>
      </w:r>
      <w:proofErr w:type="spellStart"/>
      <w:r w:rsidR="00A3586E" w:rsidRPr="00A3586E">
        <w:t>аустенитных</w:t>
      </w:r>
      <w:proofErr w:type="spellEnd"/>
      <w:r w:rsidR="00A3586E" w:rsidRPr="00A3586E">
        <w:t xml:space="preserve"> сталей</w:t>
      </w:r>
      <w:bookmarkEnd w:id="59"/>
    </w:p>
    <w:p w:rsidR="009C683D" w:rsidRPr="009C683D" w:rsidRDefault="009C683D" w:rsidP="009C683D">
      <w:pPr>
        <w:pStyle w:val="SingleTxt"/>
        <w:spacing w:after="0" w:line="120" w:lineRule="exact"/>
        <w:rPr>
          <w:sz w:val="10"/>
        </w:rPr>
      </w:pPr>
    </w:p>
    <w:p w:rsidR="009C683D" w:rsidRPr="009C683D" w:rsidRDefault="009C683D" w:rsidP="009C683D">
      <w:pPr>
        <w:pStyle w:val="SingleTxt"/>
        <w:spacing w:after="0" w:line="120" w:lineRule="exact"/>
        <w:rPr>
          <w:sz w:val="10"/>
        </w:rPr>
      </w:pPr>
    </w:p>
    <w:p w:rsidR="00A3586E" w:rsidRPr="00A3586E" w:rsidRDefault="00A3586E" w:rsidP="00B670B1">
      <w:pPr>
        <w:pStyle w:val="SingleTxt"/>
      </w:pPr>
      <w:r w:rsidRPr="00A3586E">
        <w:t>10.</w:t>
      </w:r>
      <w:r w:rsidRPr="00A3586E">
        <w:tab/>
        <w:t>Рабочая группа одобрила внесенное Францией предложение об изменении таблицы пункта 6.8.2.1.21 (только ДОПОГ) с целью включения в нее ферритно-</w:t>
      </w:r>
      <w:proofErr w:type="spellStart"/>
      <w:r w:rsidRPr="00A3586E">
        <w:t>аустенитных</w:t>
      </w:r>
      <w:proofErr w:type="spellEnd"/>
      <w:r w:rsidRPr="00A3586E">
        <w:t xml:space="preserve"> нержавеющих сталей. Кроме того, было отмечено, что необходимо исправить тексты пунктов 6.12.3.1.3 и 6.12.3.2.3 на английском языке, в которых вместо </w:t>
      </w:r>
      <w:r w:rsidR="00AF385A">
        <w:t>«</w:t>
      </w:r>
      <w:proofErr w:type="spellStart"/>
      <w:r w:rsidRPr="00A3586E">
        <w:t>stainless</w:t>
      </w:r>
      <w:proofErr w:type="spellEnd"/>
      <w:r w:rsidRPr="00A3586E">
        <w:t xml:space="preserve"> </w:t>
      </w:r>
      <w:proofErr w:type="spellStart"/>
      <w:r w:rsidRPr="00A3586E">
        <w:t>austenitic</w:t>
      </w:r>
      <w:proofErr w:type="spellEnd"/>
      <w:r w:rsidRPr="00A3586E">
        <w:t xml:space="preserve"> </w:t>
      </w:r>
      <w:proofErr w:type="spellStart"/>
      <w:r w:rsidRPr="00A3586E">
        <w:t>steels</w:t>
      </w:r>
      <w:proofErr w:type="spellEnd"/>
      <w:r w:rsidR="00AF385A">
        <w:t>»</w:t>
      </w:r>
      <w:r w:rsidRPr="00A3586E">
        <w:t xml:space="preserve"> следует читать </w:t>
      </w:r>
      <w:r w:rsidR="00AF385A">
        <w:t>«</w:t>
      </w:r>
      <w:proofErr w:type="spellStart"/>
      <w:r w:rsidRPr="00A3586E">
        <w:t>austenitic</w:t>
      </w:r>
      <w:proofErr w:type="spellEnd"/>
      <w:r w:rsidRPr="00A3586E">
        <w:t xml:space="preserve"> </w:t>
      </w:r>
      <w:proofErr w:type="spellStart"/>
      <w:r w:rsidRPr="00A3586E">
        <w:t>stainless</w:t>
      </w:r>
      <w:proofErr w:type="spellEnd"/>
      <w:r w:rsidRPr="00A3586E">
        <w:t xml:space="preserve"> </w:t>
      </w:r>
      <w:proofErr w:type="spellStart"/>
      <w:r w:rsidRPr="00A3586E">
        <w:t>steels</w:t>
      </w:r>
      <w:proofErr w:type="spellEnd"/>
      <w:r w:rsidR="00AF385A">
        <w:t>»</w:t>
      </w:r>
      <w:r w:rsidRPr="00A3586E">
        <w:t>.</w:t>
      </w:r>
    </w:p>
    <w:p w:rsidR="009C683D" w:rsidRPr="009C683D" w:rsidRDefault="009C683D" w:rsidP="009C683D">
      <w:pPr>
        <w:pStyle w:val="SingleTxt"/>
        <w:spacing w:after="0" w:line="120" w:lineRule="exact"/>
        <w:rPr>
          <w:sz w:val="10"/>
        </w:rPr>
      </w:pPr>
    </w:p>
    <w:p w:rsidR="009C683D" w:rsidRPr="009C683D" w:rsidRDefault="009C683D" w:rsidP="009C683D">
      <w:pPr>
        <w:pStyle w:val="SingleTxt"/>
        <w:spacing w:after="0" w:line="120" w:lineRule="exact"/>
        <w:rPr>
          <w:b/>
          <w:sz w:val="10"/>
        </w:rPr>
      </w:pPr>
    </w:p>
    <w:p w:rsidR="00A3586E" w:rsidRPr="00A3586E" w:rsidRDefault="009C683D" w:rsidP="006A7D4D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lastRenderedPageBreak/>
        <w:tab/>
      </w:r>
      <w:r>
        <w:tab/>
      </w:r>
      <w:r w:rsidR="00A3586E" w:rsidRPr="00A3586E">
        <w:t>Предложение</w:t>
      </w:r>
    </w:p>
    <w:p w:rsidR="009C683D" w:rsidRPr="009C683D" w:rsidRDefault="009C683D" w:rsidP="009C683D">
      <w:pPr>
        <w:pStyle w:val="SingleTxt"/>
        <w:spacing w:after="0" w:line="120" w:lineRule="exact"/>
        <w:rPr>
          <w:sz w:val="10"/>
        </w:rPr>
      </w:pPr>
    </w:p>
    <w:p w:rsidR="009C683D" w:rsidRPr="009C683D" w:rsidRDefault="009C683D" w:rsidP="009C683D">
      <w:pPr>
        <w:pStyle w:val="SingleTxt"/>
        <w:spacing w:after="0" w:line="120" w:lineRule="exact"/>
        <w:rPr>
          <w:sz w:val="10"/>
        </w:rPr>
      </w:pPr>
    </w:p>
    <w:p w:rsidR="00A3586E" w:rsidRDefault="00A3586E" w:rsidP="00B670B1">
      <w:pPr>
        <w:pStyle w:val="SingleTxt"/>
      </w:pPr>
      <w:r w:rsidRPr="00A3586E">
        <w:t>11.</w:t>
      </w:r>
      <w:r w:rsidRPr="00A3586E">
        <w:tab/>
      </w:r>
      <w:bookmarkStart w:id="60" w:name="lt_pId154"/>
      <w:r w:rsidRPr="00A3586E">
        <w:t>Внести во вторую таблицу пункта 6.8.2.1.21 ДОПОГ следующие изменения:</w:t>
      </w:r>
      <w:bookmarkEnd w:id="60"/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Look w:val="0000" w:firstRow="0" w:lastRow="0" w:firstColumn="0" w:lastColumn="0" w:noHBand="0" w:noVBand="0"/>
      </w:tblPr>
      <w:tblGrid>
        <w:gridCol w:w="1341"/>
        <w:gridCol w:w="4212"/>
        <w:gridCol w:w="963"/>
        <w:gridCol w:w="963"/>
        <w:gridCol w:w="1514"/>
      </w:tblGrid>
      <w:tr w:rsidR="00860AAA" w:rsidRPr="00A734D0" w:rsidTr="006A7D4D">
        <w:trPr>
          <w:cantSplit/>
          <w:tblHeader/>
        </w:trPr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34D0" w:rsidRPr="00A734D0" w:rsidRDefault="00A734D0" w:rsidP="00A734D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734D0" w:rsidRPr="00A734D0" w:rsidRDefault="00A734D0" w:rsidP="00A734D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rPr>
                <w:i/>
                <w:sz w:val="14"/>
              </w:rPr>
            </w:pPr>
            <w:r w:rsidRPr="008F09A5">
              <w:rPr>
                <w:i/>
                <w:sz w:val="16"/>
              </w:rPr>
              <w:t>Максимальный радиус кривизны корпуса (м)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734D0" w:rsidRPr="008F09A5" w:rsidRDefault="00A734D0" w:rsidP="00AC6611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8F09A5">
              <w:rPr>
                <w:i/>
                <w:sz w:val="16"/>
              </w:rPr>
              <w:t>≤ 2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734D0" w:rsidRPr="008F09A5" w:rsidRDefault="00A734D0" w:rsidP="00AC6611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8F09A5">
              <w:rPr>
                <w:i/>
                <w:sz w:val="16"/>
              </w:rPr>
              <w:t>2–3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734D0" w:rsidRPr="008F09A5" w:rsidRDefault="00A734D0" w:rsidP="00AC6611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8F09A5">
              <w:rPr>
                <w:i/>
                <w:sz w:val="16"/>
              </w:rPr>
              <w:t>2–3</w:t>
            </w:r>
          </w:p>
        </w:tc>
      </w:tr>
      <w:tr w:rsidR="00A734D0" w:rsidRPr="00A734D0" w:rsidTr="006A7D4D">
        <w:trPr>
          <w:cantSplit/>
          <w:trHeight w:hRule="exact" w:val="115"/>
          <w:tblHeader/>
        </w:trPr>
        <w:tc>
          <w:tcPr>
            <w:tcW w:w="1341" w:type="dxa"/>
            <w:shd w:val="clear" w:color="auto" w:fill="auto"/>
            <w:vAlign w:val="bottom"/>
          </w:tcPr>
          <w:p w:rsidR="00A734D0" w:rsidRPr="00A734D0" w:rsidRDefault="00A734D0" w:rsidP="00A734D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42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734D0" w:rsidRPr="00A734D0" w:rsidRDefault="00A734D0" w:rsidP="00A734D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734D0" w:rsidRPr="00A734D0" w:rsidRDefault="00A734D0" w:rsidP="00A734D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734D0" w:rsidRPr="00A734D0" w:rsidRDefault="00A734D0" w:rsidP="00A734D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5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734D0" w:rsidRPr="00A734D0" w:rsidRDefault="00A734D0" w:rsidP="00A734D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860AAA" w:rsidRPr="00A734D0" w:rsidTr="006A7D4D">
        <w:trPr>
          <w:cantSplit/>
        </w:trPr>
        <w:tc>
          <w:tcPr>
            <w:tcW w:w="1341" w:type="dxa"/>
            <w:shd w:val="clear" w:color="auto" w:fill="auto"/>
            <w:vAlign w:val="bottom"/>
          </w:tcPr>
          <w:p w:rsidR="00A734D0" w:rsidRPr="00A734D0" w:rsidRDefault="00A734D0" w:rsidP="00A734D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4212" w:type="dxa"/>
            <w:shd w:val="clear" w:color="auto" w:fill="auto"/>
          </w:tcPr>
          <w:p w:rsidR="00A734D0" w:rsidRPr="008F09A5" w:rsidRDefault="00A734D0" w:rsidP="00AC6611">
            <w:pPr>
              <w:spacing w:before="40" w:after="120" w:line="220" w:lineRule="exact"/>
              <w:ind w:right="113"/>
            </w:pPr>
            <w:r w:rsidRPr="008F09A5">
              <w:t>Вместимость корпуса или его секции (м</w:t>
            </w:r>
            <w:r w:rsidRPr="008F09A5">
              <w:rPr>
                <w:vertAlign w:val="superscript"/>
              </w:rPr>
              <w:t>3</w:t>
            </w:r>
            <w:r w:rsidRPr="008F09A5">
              <w:t xml:space="preserve">) </w:t>
            </w:r>
          </w:p>
        </w:tc>
        <w:tc>
          <w:tcPr>
            <w:tcW w:w="963" w:type="dxa"/>
            <w:shd w:val="clear" w:color="auto" w:fill="auto"/>
          </w:tcPr>
          <w:p w:rsidR="00A734D0" w:rsidRPr="008F09A5" w:rsidRDefault="00A734D0" w:rsidP="00AC6611">
            <w:pPr>
              <w:spacing w:before="40" w:after="120" w:line="220" w:lineRule="exact"/>
              <w:ind w:right="113"/>
              <w:jc w:val="right"/>
            </w:pPr>
            <w:r w:rsidRPr="008F09A5">
              <w:t>5,0</w:t>
            </w:r>
          </w:p>
        </w:tc>
        <w:tc>
          <w:tcPr>
            <w:tcW w:w="963" w:type="dxa"/>
            <w:shd w:val="clear" w:color="auto" w:fill="auto"/>
          </w:tcPr>
          <w:p w:rsidR="00A734D0" w:rsidRPr="008F09A5" w:rsidRDefault="00A734D0" w:rsidP="00AC6611">
            <w:pPr>
              <w:spacing w:before="40" w:after="120" w:line="220" w:lineRule="exact"/>
              <w:ind w:right="113"/>
              <w:jc w:val="right"/>
            </w:pPr>
            <w:r w:rsidRPr="008F09A5">
              <w:t>≤ 3,5</w:t>
            </w:r>
          </w:p>
        </w:tc>
        <w:tc>
          <w:tcPr>
            <w:tcW w:w="1514" w:type="dxa"/>
            <w:shd w:val="clear" w:color="auto" w:fill="auto"/>
          </w:tcPr>
          <w:p w:rsidR="00A734D0" w:rsidRPr="008F09A5" w:rsidRDefault="00A734D0" w:rsidP="00AC6611">
            <w:pPr>
              <w:spacing w:before="40" w:after="120" w:line="220" w:lineRule="exact"/>
              <w:ind w:right="113"/>
              <w:jc w:val="right"/>
            </w:pPr>
            <w:r w:rsidRPr="008F09A5">
              <w:t>&gt;3,5, но ≤5,0</w:t>
            </w:r>
          </w:p>
        </w:tc>
      </w:tr>
      <w:tr w:rsidR="006A7D4D" w:rsidRPr="00A734D0" w:rsidTr="006A7D4D">
        <w:trPr>
          <w:cantSplit/>
        </w:trPr>
        <w:tc>
          <w:tcPr>
            <w:tcW w:w="1341" w:type="dxa"/>
            <w:vMerge w:val="restart"/>
            <w:shd w:val="clear" w:color="auto" w:fill="auto"/>
          </w:tcPr>
          <w:p w:rsidR="006A7D4D" w:rsidRPr="00A734D0" w:rsidRDefault="006A7D4D" w:rsidP="006A7D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8F09A5">
              <w:t>Минимал</w:t>
            </w:r>
            <w:r w:rsidRPr="008F09A5">
              <w:t>ь</w:t>
            </w:r>
            <w:r w:rsidRPr="008F09A5">
              <w:t>ная толщ</w:t>
            </w:r>
            <w:r w:rsidRPr="008F09A5">
              <w:t>и</w:t>
            </w:r>
            <w:r w:rsidRPr="008F09A5">
              <w:t>на корпуса</w:t>
            </w:r>
          </w:p>
        </w:tc>
        <w:tc>
          <w:tcPr>
            <w:tcW w:w="4212" w:type="dxa"/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</w:pPr>
            <w:proofErr w:type="spellStart"/>
            <w:r w:rsidRPr="008F09A5">
              <w:rPr>
                <w:bCs/>
                <w:iCs/>
              </w:rPr>
              <w:t>Аустенитные</w:t>
            </w:r>
            <w:proofErr w:type="spellEnd"/>
            <w:r w:rsidRPr="008F09A5">
              <w:rPr>
                <w:bCs/>
                <w:iCs/>
              </w:rPr>
              <w:t xml:space="preserve"> нержавеющие стали</w:t>
            </w:r>
            <w:r w:rsidRPr="008F09A5"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  <w:jc w:val="right"/>
            </w:pPr>
            <w:r w:rsidRPr="008F09A5">
              <w:t>2,5 мм</w:t>
            </w:r>
          </w:p>
        </w:tc>
        <w:tc>
          <w:tcPr>
            <w:tcW w:w="963" w:type="dxa"/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  <w:jc w:val="right"/>
            </w:pPr>
            <w:r w:rsidRPr="008F09A5">
              <w:t>2,5 мм</w:t>
            </w:r>
          </w:p>
        </w:tc>
        <w:tc>
          <w:tcPr>
            <w:tcW w:w="1514" w:type="dxa"/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  <w:jc w:val="right"/>
            </w:pPr>
            <w:r w:rsidRPr="008F09A5">
              <w:t>3 мм</w:t>
            </w:r>
          </w:p>
        </w:tc>
      </w:tr>
      <w:tr w:rsidR="006A7D4D" w:rsidRPr="00A734D0" w:rsidTr="006A7D4D">
        <w:trPr>
          <w:cantSplit/>
        </w:trPr>
        <w:tc>
          <w:tcPr>
            <w:tcW w:w="1341" w:type="dxa"/>
            <w:vMerge/>
            <w:shd w:val="clear" w:color="auto" w:fill="auto"/>
            <w:vAlign w:val="bottom"/>
          </w:tcPr>
          <w:p w:rsidR="006A7D4D" w:rsidRPr="00A734D0" w:rsidRDefault="006A7D4D" w:rsidP="00A734D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4212" w:type="dxa"/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  <w:rPr>
                <w:b/>
                <w:bCs/>
                <w:i/>
                <w:iCs/>
              </w:rPr>
            </w:pPr>
            <w:r w:rsidRPr="008F09A5">
              <w:rPr>
                <w:b/>
                <w:bCs/>
                <w:i/>
                <w:iCs/>
              </w:rPr>
              <w:t>Ферритно-</w:t>
            </w:r>
            <w:proofErr w:type="spellStart"/>
            <w:r w:rsidRPr="008F09A5">
              <w:rPr>
                <w:b/>
                <w:bCs/>
                <w:i/>
                <w:iCs/>
              </w:rPr>
              <w:t>аустенитные</w:t>
            </w:r>
            <w:proofErr w:type="spellEnd"/>
            <w:r w:rsidRPr="008F09A5">
              <w:rPr>
                <w:b/>
                <w:bCs/>
                <w:i/>
                <w:iCs/>
              </w:rPr>
              <w:t xml:space="preserve"> нержавеющие стали </w:t>
            </w:r>
          </w:p>
        </w:tc>
        <w:tc>
          <w:tcPr>
            <w:tcW w:w="963" w:type="dxa"/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  <w:jc w:val="right"/>
              <w:rPr>
                <w:b/>
                <w:bCs/>
                <w:i/>
                <w:iCs/>
              </w:rPr>
            </w:pPr>
            <w:r w:rsidRPr="008F09A5">
              <w:rPr>
                <w:b/>
                <w:bCs/>
                <w:i/>
                <w:iCs/>
              </w:rPr>
              <w:t>3 мм</w:t>
            </w:r>
          </w:p>
        </w:tc>
        <w:tc>
          <w:tcPr>
            <w:tcW w:w="963" w:type="dxa"/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  <w:jc w:val="right"/>
              <w:rPr>
                <w:b/>
                <w:bCs/>
                <w:i/>
                <w:iCs/>
              </w:rPr>
            </w:pPr>
            <w:r w:rsidRPr="008F09A5">
              <w:rPr>
                <w:b/>
                <w:bCs/>
                <w:i/>
                <w:iCs/>
              </w:rPr>
              <w:t>3 мм</w:t>
            </w:r>
          </w:p>
        </w:tc>
        <w:tc>
          <w:tcPr>
            <w:tcW w:w="1514" w:type="dxa"/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  <w:jc w:val="right"/>
              <w:rPr>
                <w:b/>
                <w:bCs/>
                <w:i/>
                <w:iCs/>
              </w:rPr>
            </w:pPr>
            <w:r w:rsidRPr="008F09A5">
              <w:rPr>
                <w:b/>
                <w:bCs/>
                <w:i/>
                <w:iCs/>
              </w:rPr>
              <w:t>3,5 мм</w:t>
            </w:r>
          </w:p>
        </w:tc>
      </w:tr>
      <w:tr w:rsidR="006A7D4D" w:rsidRPr="00A734D0" w:rsidTr="006A7D4D">
        <w:trPr>
          <w:cantSplit/>
        </w:trPr>
        <w:tc>
          <w:tcPr>
            <w:tcW w:w="1341" w:type="dxa"/>
            <w:vMerge/>
            <w:shd w:val="clear" w:color="auto" w:fill="auto"/>
            <w:vAlign w:val="bottom"/>
          </w:tcPr>
          <w:p w:rsidR="006A7D4D" w:rsidRPr="00A734D0" w:rsidRDefault="006A7D4D" w:rsidP="00A734D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4212" w:type="dxa"/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</w:pPr>
            <w:r w:rsidRPr="008F09A5">
              <w:t>Прочие стали</w:t>
            </w:r>
          </w:p>
        </w:tc>
        <w:tc>
          <w:tcPr>
            <w:tcW w:w="963" w:type="dxa"/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  <w:jc w:val="right"/>
            </w:pPr>
            <w:r w:rsidRPr="008F09A5">
              <w:t>3 мм</w:t>
            </w:r>
          </w:p>
        </w:tc>
        <w:tc>
          <w:tcPr>
            <w:tcW w:w="963" w:type="dxa"/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  <w:jc w:val="right"/>
            </w:pPr>
            <w:r w:rsidRPr="008F09A5">
              <w:t>3 мм</w:t>
            </w:r>
          </w:p>
        </w:tc>
        <w:tc>
          <w:tcPr>
            <w:tcW w:w="1514" w:type="dxa"/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  <w:jc w:val="right"/>
            </w:pPr>
            <w:r w:rsidRPr="008F09A5">
              <w:t>4 мм</w:t>
            </w:r>
          </w:p>
        </w:tc>
      </w:tr>
      <w:tr w:rsidR="006A7D4D" w:rsidRPr="00A734D0" w:rsidTr="006A7D4D">
        <w:trPr>
          <w:cantSplit/>
        </w:trPr>
        <w:tc>
          <w:tcPr>
            <w:tcW w:w="1341" w:type="dxa"/>
            <w:vMerge/>
            <w:shd w:val="clear" w:color="auto" w:fill="auto"/>
            <w:vAlign w:val="bottom"/>
          </w:tcPr>
          <w:p w:rsidR="006A7D4D" w:rsidRPr="00A734D0" w:rsidRDefault="006A7D4D" w:rsidP="00A734D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4212" w:type="dxa"/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</w:pPr>
            <w:r w:rsidRPr="008F09A5">
              <w:t>Алюминиевые сплавы</w:t>
            </w:r>
          </w:p>
        </w:tc>
        <w:tc>
          <w:tcPr>
            <w:tcW w:w="963" w:type="dxa"/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  <w:jc w:val="right"/>
            </w:pPr>
            <w:r w:rsidRPr="008F09A5">
              <w:t>4 мм</w:t>
            </w:r>
          </w:p>
        </w:tc>
        <w:tc>
          <w:tcPr>
            <w:tcW w:w="963" w:type="dxa"/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  <w:jc w:val="right"/>
            </w:pPr>
            <w:r w:rsidRPr="008F09A5">
              <w:t>4 мм</w:t>
            </w:r>
          </w:p>
        </w:tc>
        <w:tc>
          <w:tcPr>
            <w:tcW w:w="1514" w:type="dxa"/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  <w:jc w:val="right"/>
            </w:pPr>
            <w:r w:rsidRPr="008F09A5">
              <w:t>5 мм</w:t>
            </w:r>
          </w:p>
        </w:tc>
      </w:tr>
      <w:tr w:rsidR="006A7D4D" w:rsidRPr="00A734D0" w:rsidTr="006A7D4D">
        <w:trPr>
          <w:cantSplit/>
        </w:trPr>
        <w:tc>
          <w:tcPr>
            <w:tcW w:w="134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A7D4D" w:rsidRPr="00A734D0" w:rsidRDefault="006A7D4D" w:rsidP="00A734D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4212" w:type="dxa"/>
            <w:tcBorders>
              <w:bottom w:val="single" w:sz="12" w:space="0" w:color="auto"/>
            </w:tcBorders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</w:pPr>
            <w:r w:rsidRPr="008F09A5">
              <w:t>Алюминий чистотой 99,80</w:t>
            </w:r>
            <w:r>
              <w:t> </w:t>
            </w:r>
            <w:r w:rsidRPr="008F09A5">
              <w:t xml:space="preserve">% 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  <w:jc w:val="right"/>
            </w:pPr>
            <w:r w:rsidRPr="008F09A5">
              <w:t>6 мм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  <w:jc w:val="right"/>
            </w:pPr>
            <w:r w:rsidRPr="008F09A5">
              <w:t>6 мм</w:t>
            </w:r>
          </w:p>
        </w:tc>
        <w:tc>
          <w:tcPr>
            <w:tcW w:w="1514" w:type="dxa"/>
            <w:tcBorders>
              <w:bottom w:val="single" w:sz="12" w:space="0" w:color="auto"/>
            </w:tcBorders>
            <w:shd w:val="clear" w:color="auto" w:fill="auto"/>
          </w:tcPr>
          <w:p w:rsidR="006A7D4D" w:rsidRPr="008F09A5" w:rsidRDefault="006A7D4D" w:rsidP="00AC6611">
            <w:pPr>
              <w:spacing w:before="40" w:after="120" w:line="220" w:lineRule="exact"/>
              <w:ind w:right="113"/>
              <w:jc w:val="right"/>
            </w:pPr>
            <w:r w:rsidRPr="008F09A5">
              <w:t>8 мм</w:t>
            </w:r>
          </w:p>
        </w:tc>
      </w:tr>
    </w:tbl>
    <w:p w:rsidR="00A734D0" w:rsidRPr="00A734D0" w:rsidRDefault="00A734D0" w:rsidP="00A734D0">
      <w:pPr>
        <w:pStyle w:val="SingleTxt"/>
        <w:spacing w:after="0" w:line="120" w:lineRule="exact"/>
        <w:rPr>
          <w:b/>
          <w:sz w:val="10"/>
        </w:rPr>
      </w:pPr>
      <w:bookmarkStart w:id="61" w:name="lt_pId186"/>
    </w:p>
    <w:p w:rsidR="00A734D0" w:rsidRPr="00A734D0" w:rsidRDefault="00A734D0" w:rsidP="00A734D0">
      <w:pPr>
        <w:pStyle w:val="SingleTxt"/>
        <w:spacing w:after="0" w:line="120" w:lineRule="exact"/>
        <w:rPr>
          <w:b/>
          <w:sz w:val="10"/>
        </w:rPr>
      </w:pPr>
    </w:p>
    <w:p w:rsidR="00A3586E" w:rsidRPr="00A3586E" w:rsidRDefault="00A734D0" w:rsidP="00A734D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3586E" w:rsidRPr="00A3586E">
        <w:t>Предложение</w:t>
      </w:r>
      <w:bookmarkEnd w:id="61"/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3586E" w:rsidRPr="00A3586E" w:rsidRDefault="00A3586E" w:rsidP="00A734D0">
      <w:pPr>
        <w:pStyle w:val="SingleTxt"/>
        <w:rPr>
          <w:lang w:val="en-US"/>
        </w:rPr>
      </w:pPr>
      <w:r w:rsidRPr="00A3586E">
        <w:t>В</w:t>
      </w:r>
      <w:r w:rsidRPr="00A3586E">
        <w:rPr>
          <w:lang w:val="en-US"/>
        </w:rPr>
        <w:t xml:space="preserve"> </w:t>
      </w:r>
      <w:r w:rsidRPr="00A3586E">
        <w:t>пунктах</w:t>
      </w:r>
      <w:r w:rsidRPr="00A3586E">
        <w:rPr>
          <w:lang w:val="en-US"/>
        </w:rPr>
        <w:t xml:space="preserve"> 6.12.3.1.3 </w:t>
      </w:r>
      <w:r w:rsidRPr="00A3586E">
        <w:t>и</w:t>
      </w:r>
      <w:r w:rsidRPr="00A3586E">
        <w:rPr>
          <w:lang w:val="en-US"/>
        </w:rPr>
        <w:t xml:space="preserve"> 6.12.3.2.3 </w:t>
      </w:r>
      <w:r w:rsidRPr="00A3586E">
        <w:t>на</w:t>
      </w:r>
      <w:r w:rsidRPr="00A3586E">
        <w:rPr>
          <w:lang w:val="en-US"/>
        </w:rPr>
        <w:t xml:space="preserve"> </w:t>
      </w:r>
      <w:r w:rsidRPr="00A3586E">
        <w:t>английском</w:t>
      </w:r>
      <w:r w:rsidRPr="00A3586E">
        <w:rPr>
          <w:lang w:val="en-US"/>
        </w:rPr>
        <w:t xml:space="preserve"> </w:t>
      </w:r>
      <w:r w:rsidRPr="00A3586E">
        <w:t>языке</w:t>
      </w:r>
      <w:r w:rsidRPr="00A3586E">
        <w:rPr>
          <w:lang w:val="en-US"/>
        </w:rPr>
        <w:t xml:space="preserve"> </w:t>
      </w:r>
      <w:r w:rsidRPr="00A3586E">
        <w:t>заменить</w:t>
      </w:r>
      <w:r w:rsidRPr="00A3586E">
        <w:rPr>
          <w:lang w:val="en-US"/>
        </w:rPr>
        <w:t xml:space="preserve"> </w:t>
      </w:r>
      <w:r w:rsidR="00AF385A" w:rsidRPr="00AF385A">
        <w:rPr>
          <w:lang w:val="en-US"/>
        </w:rPr>
        <w:t>«</w:t>
      </w:r>
      <w:r w:rsidRPr="00A3586E">
        <w:rPr>
          <w:lang w:val="en-US"/>
        </w:rPr>
        <w:t>stainless austeni</w:t>
      </w:r>
      <w:r w:rsidRPr="00A3586E">
        <w:rPr>
          <w:lang w:val="en-US"/>
        </w:rPr>
        <w:t>t</w:t>
      </w:r>
      <w:r w:rsidRPr="00A3586E">
        <w:rPr>
          <w:lang w:val="en-US"/>
        </w:rPr>
        <w:t>ic steels</w:t>
      </w:r>
      <w:r w:rsidR="00AF385A" w:rsidRPr="00AF385A">
        <w:rPr>
          <w:lang w:val="en-US"/>
        </w:rPr>
        <w:t>»</w:t>
      </w:r>
      <w:r w:rsidRPr="00A3586E">
        <w:rPr>
          <w:lang w:val="en-US"/>
        </w:rPr>
        <w:t xml:space="preserve"> </w:t>
      </w:r>
      <w:r w:rsidRPr="00A3586E">
        <w:t>на</w:t>
      </w:r>
      <w:r w:rsidRPr="00A3586E">
        <w:rPr>
          <w:lang w:val="en-US"/>
        </w:rPr>
        <w:t xml:space="preserve"> </w:t>
      </w:r>
      <w:r w:rsidR="00AF385A" w:rsidRPr="00AF385A">
        <w:rPr>
          <w:lang w:val="en-US"/>
        </w:rPr>
        <w:t>«</w:t>
      </w:r>
      <w:r w:rsidRPr="00A3586E">
        <w:rPr>
          <w:lang w:val="en-US"/>
        </w:rPr>
        <w:t>austenitic stainless steels</w:t>
      </w:r>
      <w:r w:rsidR="00AF385A" w:rsidRPr="00AF385A">
        <w:rPr>
          <w:lang w:val="en-US"/>
        </w:rPr>
        <w:t>»</w:t>
      </w:r>
      <w:r w:rsidRPr="00A3586E">
        <w:rPr>
          <w:lang w:val="en-US"/>
        </w:rPr>
        <w:t>.</w:t>
      </w:r>
    </w:p>
    <w:p w:rsidR="00A734D0" w:rsidRPr="00A734D0" w:rsidRDefault="00A734D0" w:rsidP="00A734D0">
      <w:pPr>
        <w:pStyle w:val="SingleTxt"/>
        <w:spacing w:after="0" w:line="120" w:lineRule="exact"/>
        <w:rPr>
          <w:sz w:val="10"/>
          <w:lang w:val="en-US"/>
        </w:rPr>
      </w:pPr>
      <w:bookmarkStart w:id="62" w:name="lt_pId190"/>
    </w:p>
    <w:p w:rsidR="00A734D0" w:rsidRPr="00AF385A" w:rsidRDefault="00A734D0" w:rsidP="00A734D0">
      <w:pPr>
        <w:pStyle w:val="SingleTxt"/>
        <w:spacing w:after="0" w:line="120" w:lineRule="exact"/>
        <w:rPr>
          <w:sz w:val="10"/>
          <w:lang w:val="en-US"/>
        </w:rPr>
      </w:pPr>
    </w:p>
    <w:p w:rsidR="00A3586E" w:rsidRPr="00A3586E" w:rsidRDefault="00A734D0" w:rsidP="00A734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385A">
        <w:rPr>
          <w:lang w:val="en-US"/>
        </w:rPr>
        <w:tab/>
      </w:r>
      <w:r w:rsidRPr="00AF385A">
        <w:rPr>
          <w:lang w:val="en-US"/>
        </w:rPr>
        <w:tab/>
      </w:r>
      <w:r w:rsidR="00A3586E" w:rsidRPr="00A3586E">
        <w:t>Пункт 3:</w:t>
      </w:r>
      <w:bookmarkEnd w:id="62"/>
      <w:r w:rsidR="00A3586E" w:rsidRPr="00A3586E">
        <w:t xml:space="preserve"> </w:t>
      </w:r>
      <w:bookmarkStart w:id="63" w:name="lt_pId191"/>
      <w:r w:rsidR="00A3586E" w:rsidRPr="00A3586E">
        <w:t>ECE/TRANS/W</w:t>
      </w:r>
      <w:r w:rsidR="0035188E">
        <w:t>P.15/AC.1/2015/10 (Нидерланды) –</w:t>
      </w:r>
      <w:r w:rsidR="00A3586E" w:rsidRPr="00A3586E">
        <w:t xml:space="preserve"> Корпуса цистерн с защитной облицовкой, изготовленные из</w:t>
      </w:r>
      <w:r w:rsidR="001604EF">
        <w:t> </w:t>
      </w:r>
      <w:r w:rsidR="00A3586E" w:rsidRPr="00A3586E">
        <w:t>алюминиевого сплава</w:t>
      </w:r>
      <w:bookmarkEnd w:id="63"/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3586E" w:rsidRPr="00A3586E" w:rsidRDefault="00A3586E" w:rsidP="00A3586E">
      <w:pPr>
        <w:pStyle w:val="SingleTxt"/>
      </w:pPr>
      <w:r w:rsidRPr="00A3586E">
        <w:t>12.</w:t>
      </w:r>
      <w:r w:rsidRPr="00A3586E">
        <w:tab/>
      </w:r>
      <w:bookmarkStart w:id="64" w:name="lt_pId193"/>
      <w:r w:rsidRPr="00A3586E">
        <w:t>Рабочая группа обстоятельно рассмотрела документ 2015/10.</w:t>
      </w:r>
      <w:bookmarkEnd w:id="64"/>
      <w:r w:rsidRPr="00A3586E">
        <w:t xml:space="preserve"> Авария, оп</w:t>
      </w:r>
      <w:r w:rsidRPr="00A3586E">
        <w:t>и</w:t>
      </w:r>
      <w:r w:rsidRPr="00A3586E">
        <w:t>санная в этом документе, была связана с перевозкой соляной, а не фтористовод</w:t>
      </w:r>
      <w:r w:rsidRPr="00A3586E">
        <w:t>о</w:t>
      </w:r>
      <w:r w:rsidRPr="00A3586E">
        <w:t>родной кислоты. Хотя предложение было в принципе поддержано Группой, в х</w:t>
      </w:r>
      <w:r w:rsidRPr="00A3586E">
        <w:t>о</w:t>
      </w:r>
      <w:r w:rsidRPr="00A3586E">
        <w:t xml:space="preserve">де обсуждения ряд экспертов отметили, что использование только </w:t>
      </w:r>
      <w:proofErr w:type="spellStart"/>
      <w:r w:rsidRPr="00A3586E">
        <w:t>pH</w:t>
      </w:r>
      <w:proofErr w:type="spellEnd"/>
      <w:r w:rsidRPr="00A3586E">
        <w:t xml:space="preserve"> как крит</w:t>
      </w:r>
      <w:r w:rsidRPr="00A3586E">
        <w:t>е</w:t>
      </w:r>
      <w:r w:rsidRPr="00A3586E">
        <w:t>рия для запрещения использования алюминия в качестве материала корпуса ц</w:t>
      </w:r>
      <w:r w:rsidRPr="00A3586E">
        <w:t>и</w:t>
      </w:r>
      <w:r w:rsidRPr="00A3586E">
        <w:t xml:space="preserve">стерн с облицовкой недостаточно, так как некоторые вещества, вызывающие коррозию металлов, не имеют крайних показателей </w:t>
      </w:r>
      <w:proofErr w:type="spellStart"/>
      <w:r w:rsidRPr="00A3586E">
        <w:t>pH</w:t>
      </w:r>
      <w:proofErr w:type="spellEnd"/>
      <w:r w:rsidRPr="00A3586E">
        <w:t xml:space="preserve"> (например, растворы г</w:t>
      </w:r>
      <w:r w:rsidRPr="00A3586E">
        <w:t>и</w:t>
      </w:r>
      <w:r w:rsidRPr="00A3586E">
        <w:t>похлорита); кроме того, определенную роль в коррозии играют также другие факторы, такие как примеси и температура. К тому же, некоторые виды облицо</w:t>
      </w:r>
      <w:r w:rsidRPr="00A3586E">
        <w:t>в</w:t>
      </w:r>
      <w:r w:rsidRPr="00A3586E">
        <w:t>ки служат не для защиты цистерны от разъедающего действия перевозимого в</w:t>
      </w:r>
      <w:r w:rsidRPr="00A3586E">
        <w:t>е</w:t>
      </w:r>
      <w:r w:rsidRPr="00A3586E">
        <w:t>щества, а для обеспечения чистоты этого вещества.</w:t>
      </w:r>
    </w:p>
    <w:p w:rsidR="00A3586E" w:rsidRPr="00A3586E" w:rsidRDefault="00A3586E" w:rsidP="00A3586E">
      <w:pPr>
        <w:pStyle w:val="SingleTxt"/>
      </w:pPr>
      <w:r w:rsidRPr="00A3586E">
        <w:t>13.</w:t>
      </w:r>
      <w:r w:rsidRPr="00A3586E">
        <w:tab/>
        <w:t>Некоторые эксперты объяснили, что они, как на уровне правил, так и на практике, абсолютно не согласны использовать алюминий в качестве констру</w:t>
      </w:r>
      <w:r w:rsidRPr="00A3586E">
        <w:t>к</w:t>
      </w:r>
      <w:r w:rsidRPr="00A3586E">
        <w:t xml:space="preserve">ционного материала для корпусов цистерн с защитной облицовкой и запретили изготовление новых таких </w:t>
      </w:r>
      <w:proofErr w:type="gramStart"/>
      <w:r w:rsidRPr="00A3586E">
        <w:t>цистерн</w:t>
      </w:r>
      <w:proofErr w:type="gramEnd"/>
      <w:r w:rsidRPr="00A3586E">
        <w:t xml:space="preserve"> начиная с определенной даты. Дополнител</w:t>
      </w:r>
      <w:r w:rsidRPr="00A3586E">
        <w:t>ь</w:t>
      </w:r>
      <w:r w:rsidRPr="00A3586E">
        <w:t>ной причиной принятия такого решения являются трудности, связанные с ра</w:t>
      </w:r>
      <w:r w:rsidRPr="00A3586E">
        <w:t>з</w:t>
      </w:r>
      <w:r w:rsidRPr="00A3586E">
        <w:t>личными значениями теплового расширения для алюминия и материалов обл</w:t>
      </w:r>
      <w:r w:rsidRPr="00A3586E">
        <w:t>и</w:t>
      </w:r>
      <w:r w:rsidRPr="00A3586E">
        <w:t>цовки.</w:t>
      </w:r>
    </w:p>
    <w:p w:rsidR="00A3586E" w:rsidRPr="00A3586E" w:rsidRDefault="00A3586E" w:rsidP="00A3586E">
      <w:pPr>
        <w:pStyle w:val="SingleTxt"/>
      </w:pPr>
      <w:r w:rsidRPr="00A3586E">
        <w:t>По мнению других экспертов, альтернативным подходом могло бы быть испол</w:t>
      </w:r>
      <w:r w:rsidRPr="00A3586E">
        <w:t>ь</w:t>
      </w:r>
      <w:r w:rsidRPr="00A3586E">
        <w:t>зование специальных положений по цистернам, запрещающих некоторые ко</w:t>
      </w:r>
      <w:r w:rsidRPr="00A3586E">
        <w:t>н</w:t>
      </w:r>
      <w:r w:rsidRPr="00A3586E">
        <w:t>струкционные материалы применительно к конкретным веществам. При повр</w:t>
      </w:r>
      <w:r w:rsidRPr="00A3586E">
        <w:t>е</w:t>
      </w:r>
      <w:r w:rsidRPr="00A3586E">
        <w:t xml:space="preserve">ждении облицовки перевозимое вещество неизбежно ослабит конструкционный материал. В таком случае предлагается использовать конструкционный материал, который не приведет к </w:t>
      </w:r>
      <w:r w:rsidR="00AF385A">
        <w:t>«</w:t>
      </w:r>
      <w:r w:rsidRPr="00A3586E">
        <w:t>катастрофическому разрушению</w:t>
      </w:r>
      <w:r w:rsidR="00AF385A">
        <w:t>»</w:t>
      </w:r>
      <w:r w:rsidRPr="00A3586E">
        <w:t>. В настоящее время существуют подготовленные промышленностью списки совместимости матери</w:t>
      </w:r>
      <w:r w:rsidRPr="00A3586E">
        <w:t>а</w:t>
      </w:r>
      <w:r w:rsidRPr="00A3586E">
        <w:lastRenderedPageBreak/>
        <w:t>лов и веществ, однако не ясно, какой объем работы придется проделать для ра</w:t>
      </w:r>
      <w:r w:rsidRPr="00A3586E">
        <w:t>с</w:t>
      </w:r>
      <w:r w:rsidRPr="00A3586E">
        <w:t>смотрения каждого вещества в отдельности.</w:t>
      </w:r>
    </w:p>
    <w:p w:rsidR="00A3586E" w:rsidRPr="00A3586E" w:rsidRDefault="00A3586E" w:rsidP="00A3586E">
      <w:pPr>
        <w:pStyle w:val="SingleTxt"/>
      </w:pPr>
      <w:r w:rsidRPr="00A3586E">
        <w:t>14.</w:t>
      </w:r>
      <w:r w:rsidRPr="00A3586E">
        <w:tab/>
        <w:t>В результате Группе предстоит дополнительно рассмотреть ряд следующих вопросов и альтернативных вариантов:</w:t>
      </w:r>
    </w:p>
    <w:p w:rsidR="00A3586E" w:rsidRPr="00A3586E" w:rsidRDefault="00A734D0" w:rsidP="00A734D0">
      <w:pPr>
        <w:pStyle w:val="SingleTxt"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right" w:pos="1685"/>
        </w:tabs>
        <w:ind w:left="1742" w:right="1260" w:hanging="475"/>
      </w:pPr>
      <w:r>
        <w:tab/>
        <w:t>•</w:t>
      </w:r>
      <w:r>
        <w:tab/>
      </w:r>
      <w:r w:rsidR="00A3586E" w:rsidRPr="00A3586E">
        <w:t>О каком количестве цистерн идет речь?</w:t>
      </w:r>
    </w:p>
    <w:p w:rsidR="00A3586E" w:rsidRPr="00A3586E" w:rsidRDefault="00A734D0" w:rsidP="00A734D0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</w:tabs>
        <w:ind w:left="1742" w:hanging="475"/>
      </w:pPr>
      <w:r>
        <w:tab/>
        <w:t>•</w:t>
      </w:r>
      <w:r>
        <w:tab/>
      </w:r>
      <w:r w:rsidR="00A3586E" w:rsidRPr="00A3586E">
        <w:t>Каковы будут последствия и сроки поэтапного отказа от этих цистерн?</w:t>
      </w:r>
    </w:p>
    <w:p w:rsidR="00A3586E" w:rsidRPr="00A3586E" w:rsidRDefault="00A734D0" w:rsidP="00A734D0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</w:tabs>
        <w:ind w:left="1742" w:hanging="475"/>
      </w:pPr>
      <w:r>
        <w:tab/>
        <w:t>•</w:t>
      </w:r>
      <w:r>
        <w:tab/>
      </w:r>
      <w:r w:rsidR="00A3586E" w:rsidRPr="00A3586E">
        <w:t>Оправдан ли запрет, если облицовка существует только для обеспечения ч</w:t>
      </w:r>
      <w:r w:rsidR="00A3586E" w:rsidRPr="00A3586E">
        <w:t>и</w:t>
      </w:r>
      <w:r w:rsidR="00A3586E" w:rsidRPr="00A3586E">
        <w:t>стоты вещества?</w:t>
      </w:r>
    </w:p>
    <w:p w:rsidR="00A3586E" w:rsidRPr="00A3586E" w:rsidRDefault="00A734D0" w:rsidP="00A734D0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</w:tabs>
        <w:ind w:left="1742" w:hanging="475"/>
      </w:pPr>
      <w:r>
        <w:tab/>
        <w:t>•</w:t>
      </w:r>
      <w:r>
        <w:tab/>
      </w:r>
      <w:r w:rsidR="00A3586E" w:rsidRPr="00A3586E">
        <w:t>Есть ли необходимость в дополнительном осмотре облицовки на существ</w:t>
      </w:r>
      <w:r w:rsidR="00A3586E" w:rsidRPr="00A3586E">
        <w:t>у</w:t>
      </w:r>
      <w:r w:rsidR="00A3586E" w:rsidRPr="00A3586E">
        <w:t>ющих цистернах?</w:t>
      </w:r>
    </w:p>
    <w:p w:rsidR="00A3586E" w:rsidRPr="00A3586E" w:rsidRDefault="00A734D0" w:rsidP="00A734D0">
      <w:pPr>
        <w:pStyle w:val="SingleTxt"/>
        <w:tabs>
          <w:tab w:val="clear" w:pos="1267"/>
          <w:tab w:val="clear" w:pos="1742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pos="1685"/>
          <w:tab w:val="right" w:pos="2074"/>
        </w:tabs>
        <w:ind w:left="1742" w:hanging="475"/>
      </w:pPr>
      <w:bookmarkStart w:id="65" w:name="lt_pId210"/>
      <w:r>
        <w:tab/>
        <w:t>•</w:t>
      </w:r>
      <w:r>
        <w:tab/>
      </w:r>
      <w:r w:rsidR="00A3586E" w:rsidRPr="00A3586E">
        <w:t>Должно ли это быть общим подходом или подходом, специфичным для н</w:t>
      </w:r>
      <w:r w:rsidR="00A3586E" w:rsidRPr="00A3586E">
        <w:t>е</w:t>
      </w:r>
      <w:r w:rsidR="00A3586E" w:rsidRPr="00A3586E">
        <w:t>которых веществ?</w:t>
      </w:r>
      <w:bookmarkEnd w:id="65"/>
    </w:p>
    <w:p w:rsidR="00A3586E" w:rsidRPr="00A3586E" w:rsidRDefault="00A3586E" w:rsidP="00A3586E">
      <w:pPr>
        <w:pStyle w:val="SingleTxt"/>
      </w:pPr>
      <w:r w:rsidRPr="00A3586E">
        <w:t>Рабочая группа решила предложить Нидерландам вернуться к этому вопросу на следующей сессии с учетом результатов состоявшегося обсуждения.</w:t>
      </w:r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  <w:bookmarkStart w:id="66" w:name="lt_pId214"/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3586E" w:rsidRPr="00A3586E" w:rsidRDefault="00A734D0" w:rsidP="00A734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3586E" w:rsidRPr="00A3586E">
        <w:t>Пункт 4:</w:t>
      </w:r>
      <w:bookmarkEnd w:id="66"/>
      <w:r w:rsidR="00A3586E" w:rsidRPr="00A3586E">
        <w:t xml:space="preserve"> </w:t>
      </w:r>
      <w:bookmarkStart w:id="67" w:name="lt_pId215"/>
      <w:r w:rsidR="00A3586E" w:rsidRPr="00A3586E">
        <w:t>ECE/TRAN</w:t>
      </w:r>
      <w:r>
        <w:t>S/WP.15/AC.1/2015/16 (Франция) –</w:t>
      </w:r>
      <w:r w:rsidR="00A3586E" w:rsidRPr="00A3586E">
        <w:t xml:space="preserve"> Периодическая проверка цистерн с внутренней облицовкой</w:t>
      </w:r>
      <w:bookmarkEnd w:id="67"/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3586E" w:rsidRPr="00A3586E" w:rsidRDefault="00A3586E" w:rsidP="00A3586E">
      <w:pPr>
        <w:pStyle w:val="SingleTxt"/>
      </w:pPr>
      <w:r w:rsidRPr="00A3586E">
        <w:t>15.</w:t>
      </w:r>
      <w:r w:rsidRPr="00A3586E">
        <w:tab/>
        <w:t>Рабочая группа рассмотрела просьбу Франции об обмене опытом по этому вопросу в случае, если гидравлические испытания, проводимые в ходе период</w:t>
      </w:r>
      <w:r w:rsidRPr="00A3586E">
        <w:t>и</w:t>
      </w:r>
      <w:r w:rsidRPr="00A3586E">
        <w:t>ческих проверок, могут вызвать дефекты во внутренней термореактивной обл</w:t>
      </w:r>
      <w:r w:rsidRPr="00A3586E">
        <w:t>и</w:t>
      </w:r>
      <w:r w:rsidRPr="00A3586E">
        <w:t>цовке цистерн. Расчетное давление рассматриваемых цистерн составляет 4 бара.</w:t>
      </w:r>
    </w:p>
    <w:p w:rsidR="00A734D0" w:rsidRDefault="00A3586E" w:rsidP="00A734D0">
      <w:pPr>
        <w:pStyle w:val="SingleTxt"/>
      </w:pPr>
      <w:r w:rsidRPr="00A3586E">
        <w:t>16.</w:t>
      </w:r>
      <w:r w:rsidRPr="00A3586E">
        <w:tab/>
        <w:t>Было упомянуто, что термореактивная облицовка может содержать пузыр</w:t>
      </w:r>
      <w:r w:rsidRPr="00A3586E">
        <w:t>ь</w:t>
      </w:r>
      <w:r w:rsidRPr="00A3586E">
        <w:t>ки воздуха, которые образуются в результате испарения растворителя и могут вызвать растрескивание. Возможными способами решения этой проблемы явл</w:t>
      </w:r>
      <w:r w:rsidRPr="00A3586E">
        <w:t>я</w:t>
      </w:r>
      <w:r w:rsidRPr="00A3586E">
        <w:t>ются отверждение при более высокой температуре и обеспечение достаточной эластичности. Рассматриваемые полимеры, как представляется, предполагают наложение облицовки при низкой температуре. Был задан вопрос о том, могут ли эти полимеры быть хрупче, чем другие материалы, обычно используемые для о</w:t>
      </w:r>
      <w:r w:rsidRPr="00A3586E">
        <w:t>б</w:t>
      </w:r>
      <w:r w:rsidRPr="00A3586E">
        <w:t>лицовки (например, эпоксидные термореактивные полимеры). Группа также о</w:t>
      </w:r>
      <w:r w:rsidRPr="00A3586E">
        <w:t>т</w:t>
      </w:r>
      <w:r w:rsidRPr="00A3586E">
        <w:t>метила, что в соответствии со стандартом EN 12972 облицовка должна быть сп</w:t>
      </w:r>
      <w:r w:rsidRPr="00A3586E">
        <w:t>о</w:t>
      </w:r>
      <w:r w:rsidRPr="00A3586E">
        <w:t>собна выдерживать испытание под давлением. И наконец, Группа обсудила также некоторые трудности, связанные с оценкой качества облицовки в ходе период</w:t>
      </w:r>
      <w:r w:rsidRPr="00A3586E">
        <w:t>и</w:t>
      </w:r>
      <w:r w:rsidRPr="00A3586E">
        <w:t>ческой проверки, так как проба на искру может оказать легкое разрушительное воздействие на облицовку. Представитель Франции спросил, могут ли другие страны поделиться информацией о том, применяется ли соответствующая обл</w:t>
      </w:r>
      <w:r w:rsidRPr="00A3586E">
        <w:t>и</w:t>
      </w:r>
      <w:r w:rsidRPr="00A3586E">
        <w:t>цовка где-либо еще.</w:t>
      </w:r>
      <w:bookmarkStart w:id="68" w:name="lt_pId229"/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3586E" w:rsidRPr="00A3586E" w:rsidRDefault="00A734D0" w:rsidP="00A734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3586E" w:rsidRPr="00A3586E">
        <w:t>Пункт 5:</w:t>
      </w:r>
      <w:bookmarkEnd w:id="68"/>
      <w:r w:rsidR="00A3586E" w:rsidRPr="00A3586E">
        <w:t xml:space="preserve"> </w:t>
      </w:r>
      <w:bookmarkStart w:id="69" w:name="lt_pId230"/>
      <w:r w:rsidR="00A3586E" w:rsidRPr="00A3586E">
        <w:t>ECE/TRANS/WP.15/</w:t>
      </w:r>
      <w:r>
        <w:t>AC.1/2015/3 (секретариат ОТИФ) –</w:t>
      </w:r>
      <w:r w:rsidR="00A3586E" w:rsidRPr="00A3586E">
        <w:t xml:space="preserve"> 4.3.2.2 Степень наполнения + неофициальный документ INF.22 (Российская Федерация)</w:t>
      </w:r>
      <w:bookmarkEnd w:id="69"/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3586E" w:rsidRPr="00A3586E" w:rsidRDefault="00A3586E" w:rsidP="00A3586E">
      <w:pPr>
        <w:pStyle w:val="SingleTxt"/>
      </w:pPr>
      <w:r w:rsidRPr="00A3586E">
        <w:t>17.</w:t>
      </w:r>
      <w:r w:rsidRPr="00A3586E">
        <w:tab/>
        <w:t xml:space="preserve">Рабочая группа тщательно рассмотрела предложение секретариата ОТИФ и вспомогательную информацию, </w:t>
      </w:r>
      <w:proofErr w:type="gramStart"/>
      <w:r w:rsidRPr="00A3586E">
        <w:t>содержащиеся</w:t>
      </w:r>
      <w:proofErr w:type="gramEnd"/>
      <w:r w:rsidRPr="00A3586E">
        <w:t xml:space="preserve"> в неофициальном докуме</w:t>
      </w:r>
      <w:r w:rsidRPr="00A3586E">
        <w:t>н</w:t>
      </w:r>
      <w:r w:rsidRPr="00A3586E">
        <w:t>те</w:t>
      </w:r>
      <w:r w:rsidR="00860AAA">
        <w:rPr>
          <w:lang w:val="en-US"/>
        </w:rPr>
        <w:t> </w:t>
      </w:r>
      <w:r w:rsidRPr="00A3586E">
        <w:t>INF.22. Однако Группа не поддержала предложенные поправки по следующим причинам:</w:t>
      </w:r>
    </w:p>
    <w:p w:rsidR="00A3586E" w:rsidRPr="00A3586E" w:rsidRDefault="00A734D0" w:rsidP="00A734D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 xml:space="preserve">Что касается использования крайне резких изменений температуры при расчете коэффициента теплового расширения, то основное различие между </w:t>
      </w:r>
      <w:r w:rsidR="00A3586E" w:rsidRPr="00A3586E">
        <w:lastRenderedPageBreak/>
        <w:t>главами 4.2 и 4.3 состоит в том, что обеими системами допускаются ра</w:t>
      </w:r>
      <w:r w:rsidR="00A3586E" w:rsidRPr="00A3586E">
        <w:t>з</w:t>
      </w:r>
      <w:r w:rsidR="00A3586E" w:rsidRPr="00A3586E">
        <w:t>личные максимальные коэффициенты наполнения. Если переносные ц</w:t>
      </w:r>
      <w:r w:rsidR="00A3586E" w:rsidRPr="00A3586E">
        <w:t>и</w:t>
      </w:r>
      <w:r w:rsidR="00A3586E" w:rsidRPr="00A3586E">
        <w:t>стерны ООН имеют максимальную степень наполнения, равную 95 % или 97 % (с учетом компенсации теплового расширения), то цистерны МПОГ/ДОПОГ могут наполняться на 98 % или даже 100 % (с учетом ко</w:t>
      </w:r>
      <w:r w:rsidR="00A3586E" w:rsidRPr="00A3586E">
        <w:t>м</w:t>
      </w:r>
      <w:r w:rsidR="00A3586E" w:rsidRPr="00A3586E">
        <w:t>пенсации теплового расширения) в зависимости от перевозимого вещества.</w:t>
      </w:r>
    </w:p>
    <w:p w:rsidR="00A3586E" w:rsidRPr="00A3586E" w:rsidRDefault="00A734D0" w:rsidP="00A734D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>Было отмечено, что в настоящее время имеется ряд проблем, связанных с переполнением цистерн, и в этой связи был сделан вывод о том, что разр</w:t>
      </w:r>
      <w:r w:rsidR="00A3586E" w:rsidRPr="00A3586E">
        <w:t>е</w:t>
      </w:r>
      <w:r w:rsidR="00A3586E" w:rsidRPr="00A3586E">
        <w:t>шение более низких исходных температур для определения максимальной степени наполнения, чем используемая в настоящее время температура, равная 50</w:t>
      </w:r>
      <w:proofErr w:type="gramStart"/>
      <w:r w:rsidR="00A3586E" w:rsidRPr="00A3586E">
        <w:t> °С</w:t>
      </w:r>
      <w:proofErr w:type="gramEnd"/>
      <w:r w:rsidR="00A3586E" w:rsidRPr="00A3586E">
        <w:t>, вряд ли будет способствовать решению этих проблем.</w:t>
      </w:r>
    </w:p>
    <w:p w:rsidR="00A3586E" w:rsidRPr="00A3586E" w:rsidRDefault="00A734D0" w:rsidP="00A734D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>Никакой реальной проблемы совместимости между приложением 2 к СМГС и МПОГ по этому вопросу не существует, если только используется наиб</w:t>
      </w:r>
      <w:r w:rsidR="00A3586E" w:rsidRPr="00A3586E">
        <w:t>о</w:t>
      </w:r>
      <w:r w:rsidR="00A3586E" w:rsidRPr="00A3586E">
        <w:t xml:space="preserve">лее </w:t>
      </w:r>
      <w:r w:rsidR="00AF385A">
        <w:t>«</w:t>
      </w:r>
      <w:r w:rsidR="00A3586E" w:rsidRPr="00A3586E">
        <w:t>жесткий</w:t>
      </w:r>
      <w:r w:rsidR="00AF385A">
        <w:t>»</w:t>
      </w:r>
      <w:r w:rsidR="00A3586E" w:rsidRPr="00A3586E">
        <w:t xml:space="preserve"> из коэффициентов наполнения.</w:t>
      </w:r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  <w:bookmarkStart w:id="70" w:name="lt_pId240"/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3586E" w:rsidRPr="00A3586E" w:rsidRDefault="00A734D0" w:rsidP="00A734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3586E" w:rsidRPr="00A3586E">
        <w:t>Пункт 6:</w:t>
      </w:r>
      <w:bookmarkEnd w:id="70"/>
      <w:r w:rsidR="00A3586E" w:rsidRPr="00A3586E">
        <w:t xml:space="preserve"> </w:t>
      </w:r>
      <w:bookmarkStart w:id="71" w:name="lt_pId241"/>
      <w:r w:rsidR="00A3586E" w:rsidRPr="00A3586E">
        <w:t>ECE/T</w:t>
      </w:r>
      <w:r w:rsidR="0035188E">
        <w:t>RANS/WP.15/AC.1/2015/19 (МСЖД) –</w:t>
      </w:r>
      <w:r w:rsidR="00A3586E" w:rsidRPr="00A3586E">
        <w:t xml:space="preserve"> Перевозка цистерн, транспортных средств-батарей/вагонов-батарей и</w:t>
      </w:r>
      <w:r w:rsidR="001604EF">
        <w:t> </w:t>
      </w:r>
      <w:r w:rsidR="00A3586E" w:rsidRPr="00A3586E">
        <w:t>МЭГК после истечения срока действительности периодической и промежуточной проверки</w:t>
      </w:r>
      <w:bookmarkEnd w:id="71"/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3586E" w:rsidRPr="00A3586E" w:rsidRDefault="00A3586E" w:rsidP="00A3586E">
      <w:pPr>
        <w:pStyle w:val="SingleTxt"/>
      </w:pPr>
      <w:r w:rsidRPr="00A3586E">
        <w:t>18.</w:t>
      </w:r>
      <w:r w:rsidRPr="00A3586E">
        <w:tab/>
        <w:t>Рабочая группа рассмотрела предложение МСЖД, основанное на принц</w:t>
      </w:r>
      <w:r w:rsidRPr="00A3586E">
        <w:t>и</w:t>
      </w:r>
      <w:r w:rsidRPr="00A3586E">
        <w:t>пах, применяемых в настоящее время к переносным цистернам ООН, и имеющее целью допустить некоторую гибкость в том, что касается срока действительности периодической и промежуточной проверки. Однако большинство экспертов, вх</w:t>
      </w:r>
      <w:r w:rsidRPr="00A3586E">
        <w:t>о</w:t>
      </w:r>
      <w:r w:rsidRPr="00A3586E">
        <w:t>дящих в состав Группы, не поддержали предложение МСЖД. Было сочтено, что в случае переносных цистерн ООН перевозки в соответствии с МПОГ/ДОПОГ, как правило, короче, чем морские перевозки, и что именно по этой причине была разрешена гибкость в отношении этих цистерн, тогда как продление срока де</w:t>
      </w:r>
      <w:r w:rsidRPr="00A3586E">
        <w:t>й</w:t>
      </w:r>
      <w:r w:rsidRPr="00A3586E">
        <w:t>ствительности проверок лишь слегка отсрочит проблему. В этой связи как раз и была поставлена под сомнение практическая целесообразность этого предлож</w:t>
      </w:r>
      <w:r w:rsidRPr="00A3586E">
        <w:t>е</w:t>
      </w:r>
      <w:r w:rsidRPr="00A3586E">
        <w:t>ния. Некоторые эксперты, однако, положительно отнеслись к этому предлож</w:t>
      </w:r>
      <w:r w:rsidRPr="00A3586E">
        <w:t>е</w:t>
      </w:r>
      <w:r w:rsidRPr="00A3586E">
        <w:t>нию, в частности в связи с удалением или переработкой продукта, но при усл</w:t>
      </w:r>
      <w:r w:rsidRPr="00A3586E">
        <w:t>о</w:t>
      </w:r>
      <w:r w:rsidRPr="00A3586E">
        <w:t>вии более короткого срока. В пункте 4.3.2.4.4 уже разрешена перевозка порожних неочищенных цистерн после истечения срока действительности проверки с ц</w:t>
      </w:r>
      <w:r w:rsidRPr="00A3586E">
        <w:t>е</w:t>
      </w:r>
      <w:r w:rsidRPr="00A3586E">
        <w:t>лью прохождения новой проверки.</w:t>
      </w:r>
    </w:p>
    <w:p w:rsidR="00A3586E" w:rsidRPr="00A3586E" w:rsidRDefault="00A3586E" w:rsidP="00A3586E">
      <w:pPr>
        <w:pStyle w:val="SingleTxt"/>
      </w:pPr>
      <w:r w:rsidRPr="00A3586E">
        <w:t>19.</w:t>
      </w:r>
      <w:r w:rsidRPr="00A3586E">
        <w:tab/>
      </w:r>
      <w:proofErr w:type="gramStart"/>
      <w:r w:rsidRPr="00A3586E">
        <w:t>Рабочая группа предложила МСЖД учесть состоявшееся обсуждение и ра</w:t>
      </w:r>
      <w:r w:rsidRPr="00A3586E">
        <w:t>с</w:t>
      </w:r>
      <w:r w:rsidRPr="00A3586E">
        <w:t>смотреть возможность повторного изучения этого вопроса при условии его д</w:t>
      </w:r>
      <w:r w:rsidRPr="00A3586E">
        <w:t>о</w:t>
      </w:r>
      <w:r w:rsidRPr="00A3586E">
        <w:t>полнительного обоснования и с учетом возможной информации о том, как эта проблема решается в правилах, применяемых в других частях света (например, в приложении 2 к СМГС или правилах в области железнодорожных перевозок, действующих в Северной Америке).</w:t>
      </w:r>
      <w:proofErr w:type="gramEnd"/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  <w:bookmarkStart w:id="72" w:name="lt_pId253"/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3586E" w:rsidRPr="00A3586E" w:rsidRDefault="00A734D0" w:rsidP="00A734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3586E" w:rsidRPr="00A3586E">
        <w:t>Пункт 7:</w:t>
      </w:r>
      <w:bookmarkEnd w:id="72"/>
      <w:r w:rsidR="00A3586E" w:rsidRPr="00A3586E">
        <w:t xml:space="preserve"> </w:t>
      </w:r>
      <w:bookmarkStart w:id="73" w:name="lt_pId254"/>
      <w:r w:rsidR="00A3586E" w:rsidRPr="00A3586E">
        <w:t>ECE/TRANS/WP.15/AC.1/2015/20 (</w:t>
      </w:r>
      <w:r>
        <w:t>МСЖД) –</w:t>
      </w:r>
      <w:r w:rsidR="00A3586E" w:rsidRPr="00A3586E">
        <w:t xml:space="preserve"> Указание даты следующей проверки на обеих боковых сторонах контейнеров-цистерн, переносных цистерн и МЭГК</w:t>
      </w:r>
      <w:bookmarkEnd w:id="73"/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3586E" w:rsidRPr="00A3586E" w:rsidRDefault="00A3586E" w:rsidP="00A3586E">
      <w:pPr>
        <w:pStyle w:val="SingleTxt"/>
      </w:pPr>
      <w:r w:rsidRPr="00A3586E">
        <w:t>20.</w:t>
      </w:r>
      <w:r w:rsidRPr="00A3586E">
        <w:tab/>
        <w:t xml:space="preserve">Некоторые эксперты признали выраженную МСЖД необходимость, ранее </w:t>
      </w:r>
      <w:proofErr w:type="spellStart"/>
      <w:r w:rsidRPr="00A3586E">
        <w:t>обсуждавшуюся</w:t>
      </w:r>
      <w:proofErr w:type="spellEnd"/>
      <w:r w:rsidRPr="00A3586E">
        <w:t xml:space="preserve"> в Рабочей группе, но повторили, что сначала следует провести консультации с Подкомитетом экспертов Организации Объединенных Наций. Что касается морских перевозок, то некоторые эксперты сочли это изменение нену</w:t>
      </w:r>
      <w:r w:rsidRPr="00A3586E">
        <w:t>ж</w:t>
      </w:r>
      <w:r w:rsidRPr="00A3586E">
        <w:t>ным, так как перед погрузкой обычно требуется предъявить свидетельство с д</w:t>
      </w:r>
      <w:r w:rsidRPr="00A3586E">
        <w:t>а</w:t>
      </w:r>
      <w:r w:rsidRPr="00A3586E">
        <w:lastRenderedPageBreak/>
        <w:t>той прохождения проверки. В случае железнодорожных перевозок было призн</w:t>
      </w:r>
      <w:r w:rsidRPr="00A3586E">
        <w:t>а</w:t>
      </w:r>
      <w:r w:rsidRPr="00A3586E">
        <w:t>но, что эта дополнительная информация могла бы быть полезна для целей пр</w:t>
      </w:r>
      <w:r w:rsidRPr="00A3586E">
        <w:t>о</w:t>
      </w:r>
      <w:r w:rsidRPr="00A3586E">
        <w:t>верки и обеспечения применения. Недавно согласованное изменение к МПОГ, в соответствии с которым перевозчик может полагаться на информацию, пред</w:t>
      </w:r>
      <w:r w:rsidRPr="00A3586E">
        <w:t>о</w:t>
      </w:r>
      <w:r w:rsidRPr="00A3586E">
        <w:t>ставляемую ответственным за наполнение, может в некоторой степени сгладить эту обеспокоенность. Этот вопрос был воспринят с пониманием применительно к охлажденным сжиженным газам, в отношении которых было предложено ра</w:t>
      </w:r>
      <w:r w:rsidRPr="00A3586E">
        <w:t>с</w:t>
      </w:r>
      <w:r w:rsidRPr="00A3586E">
        <w:t>смотреть возможность согласования с периодичностью, указанной в главе 6.7.</w:t>
      </w:r>
    </w:p>
    <w:p w:rsidR="00A3586E" w:rsidRPr="00A3586E" w:rsidRDefault="00A3586E" w:rsidP="00A3586E">
      <w:pPr>
        <w:pStyle w:val="SingleTxt"/>
      </w:pPr>
      <w:r w:rsidRPr="00A3586E">
        <w:t>21.</w:t>
      </w:r>
      <w:bookmarkStart w:id="74" w:name="lt_pId262"/>
      <w:r w:rsidRPr="00A3586E">
        <w:tab/>
      </w:r>
      <w:bookmarkEnd w:id="74"/>
      <w:r w:rsidRPr="00A3586E">
        <w:t>Рабочей группе не удалось достичь консенсуса по этому вопросу, однако она пришла к выводу о том, что до возобновления обсуждения в Подкомитете экспертов Организации Объединенных Наций предлагать эти изменения в отн</w:t>
      </w:r>
      <w:r w:rsidRPr="00A3586E">
        <w:t>о</w:t>
      </w:r>
      <w:r w:rsidRPr="00A3586E">
        <w:t>шении контейнеров-цистерн, возможно, преждевременно.</w:t>
      </w:r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  <w:bookmarkStart w:id="75" w:name="lt_pId265"/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3586E" w:rsidRPr="00A3586E" w:rsidRDefault="00A734D0" w:rsidP="00A734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3586E" w:rsidRPr="00A3586E">
        <w:t>Пункт 8:</w:t>
      </w:r>
      <w:bookmarkEnd w:id="75"/>
      <w:r w:rsidR="00A3586E" w:rsidRPr="00A3586E">
        <w:t xml:space="preserve"> </w:t>
      </w:r>
      <w:bookmarkStart w:id="76" w:name="lt_pId266"/>
      <w:r w:rsidR="00A3586E" w:rsidRPr="00A3586E">
        <w:t>Неофициаль</w:t>
      </w:r>
      <w:r>
        <w:t>ный документ INF.10 (Германия) –</w:t>
      </w:r>
      <w:r w:rsidR="00A3586E" w:rsidRPr="00A3586E">
        <w:t xml:space="preserve"> Требования к стационарным специальным сосудам и</w:t>
      </w:r>
      <w:r w:rsidR="001604EF">
        <w:t> </w:t>
      </w:r>
      <w:r w:rsidR="00A3586E" w:rsidRPr="00A3586E">
        <w:t>контейнерам, предназначенным для перемещения тепловой энергии без загрузки или выгрузки теплоаккумулирующего носителя</w:t>
      </w:r>
      <w:bookmarkEnd w:id="76"/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3586E" w:rsidRPr="00A3586E" w:rsidRDefault="00A3586E" w:rsidP="00A3586E">
      <w:pPr>
        <w:pStyle w:val="SingleTxt"/>
      </w:pPr>
      <w:r w:rsidRPr="00A3586E">
        <w:t>22.</w:t>
      </w:r>
      <w:r w:rsidRPr="00A3586E">
        <w:tab/>
        <w:t>Это предложение получило общую поддержку Рабочей группы, однако был высказан целый ряд комментариев и вопросов, требующих дальнейшего ра</w:t>
      </w:r>
      <w:r w:rsidRPr="00A3586E">
        <w:t>с</w:t>
      </w:r>
      <w:r w:rsidRPr="00A3586E">
        <w:t>смотрения. Германии было предложено подготовить к следующей сессии офиц</w:t>
      </w:r>
      <w:r w:rsidRPr="00A3586E">
        <w:t>и</w:t>
      </w:r>
      <w:r w:rsidRPr="00A3586E">
        <w:t>альный документ с учетом следующих замечаний:</w:t>
      </w:r>
    </w:p>
    <w:p w:rsidR="00A3586E" w:rsidRPr="00A3586E" w:rsidRDefault="00A734D0" w:rsidP="00A734D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>Можно было бы включить и другие вещества (например, нитрат кальция и нитрат натрия).</w:t>
      </w:r>
    </w:p>
    <w:p w:rsidR="00A3586E" w:rsidRPr="00A3586E" w:rsidRDefault="00A734D0" w:rsidP="00A734D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>Означает ли ссылка на главу 5.3 размещение информационных табло и ма</w:t>
      </w:r>
      <w:r w:rsidR="00A3586E" w:rsidRPr="00A3586E">
        <w:t>р</w:t>
      </w:r>
      <w:r w:rsidR="00A3586E" w:rsidRPr="00A3586E">
        <w:t>кировочных знаков, как и в случае цистерн?</w:t>
      </w:r>
    </w:p>
    <w:p w:rsidR="00A3586E" w:rsidRPr="00A3586E" w:rsidRDefault="00A734D0" w:rsidP="00A734D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>Пункт 6.8.2.1.28 требований, касающихся конструкции, касается только ДОПОГ, а пункт 6.8.2.1.26 </w:t>
      </w:r>
      <w:r w:rsidR="001604EF">
        <w:t>–</w:t>
      </w:r>
      <w:r w:rsidR="00A3586E" w:rsidRPr="00A3586E">
        <w:t xml:space="preserve"> только веществ с температурой вспышки н</w:t>
      </w:r>
      <w:r w:rsidR="00A3586E" w:rsidRPr="00A3586E">
        <w:t>и</w:t>
      </w:r>
      <w:r w:rsidR="00A3586E" w:rsidRPr="00A3586E">
        <w:t>же</w:t>
      </w:r>
      <w:r w:rsidR="00860AAA">
        <w:rPr>
          <w:lang w:val="en-US"/>
        </w:rPr>
        <w:t> </w:t>
      </w:r>
      <w:r w:rsidR="00A3586E" w:rsidRPr="00A3586E">
        <w:t>60 </w:t>
      </w:r>
      <w:proofErr w:type="spellStart"/>
      <w:r w:rsidR="00A3586E" w:rsidRPr="00A3586E">
        <w:rPr>
          <w:vertAlign w:val="superscript"/>
        </w:rPr>
        <w:t>о</w:t>
      </w:r>
      <w:r w:rsidR="00A3586E" w:rsidRPr="00A3586E">
        <w:t>С</w:t>
      </w:r>
      <w:proofErr w:type="spellEnd"/>
      <w:r w:rsidR="00A3586E" w:rsidRPr="00A3586E">
        <w:t>, которые не являются предметом этого предложения.</w:t>
      </w:r>
    </w:p>
    <w:p w:rsidR="00A3586E" w:rsidRPr="00A3586E" w:rsidRDefault="00A734D0" w:rsidP="00A734D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>Требуется ли разрешение только от страны изготовления или же от каждой страны, участвующей в перевозке?</w:t>
      </w:r>
    </w:p>
    <w:p w:rsidR="00A3586E" w:rsidRPr="00A3586E" w:rsidRDefault="00A734D0" w:rsidP="00A734D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>Почему не упомянут пункт 6.8.2.1.1, содержащий общие требования к в</w:t>
      </w:r>
      <w:r w:rsidR="00A3586E" w:rsidRPr="00A3586E">
        <w:t>ы</w:t>
      </w:r>
      <w:r w:rsidR="00A3586E" w:rsidRPr="00A3586E">
        <w:t>держиванию нагрузок? Уместна ли общая ссылка на пункт 6.8.2.1.23 в том виде, в каком она приведена, так как проверка будет зависеть от типа средств удержания?</w:t>
      </w:r>
    </w:p>
    <w:p w:rsidR="00A3586E" w:rsidRPr="00A3586E" w:rsidRDefault="00A734D0" w:rsidP="00A734D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>В первом пункте предлагаемого СП </w:t>
      </w:r>
      <w:r w:rsidR="00A3586E" w:rsidRPr="00A3586E">
        <w:rPr>
          <w:lang w:val="en-US"/>
        </w:rPr>
        <w:t>XYZ</w:t>
      </w:r>
      <w:r w:rsidR="00A3586E" w:rsidRPr="00A3586E">
        <w:t xml:space="preserve"> следует уточнить, что минимал</w:t>
      </w:r>
      <w:r w:rsidR="00A3586E" w:rsidRPr="00A3586E">
        <w:t>ь</w:t>
      </w:r>
      <w:r w:rsidR="00A3586E" w:rsidRPr="00A3586E">
        <w:t>ным требованиям, которые перечисляются далее в специальном положении, должны также удовлетворять официальные утверждения, выдаваемые Дог</w:t>
      </w:r>
      <w:r w:rsidR="00A3586E" w:rsidRPr="00A3586E">
        <w:t>о</w:t>
      </w:r>
      <w:r w:rsidR="00A3586E" w:rsidRPr="00A3586E">
        <w:t>варивающимися сторонами ДОПОГ/МПОГ.</w:t>
      </w:r>
    </w:p>
    <w:p w:rsidR="00A3586E" w:rsidRPr="00A3586E" w:rsidRDefault="00A734D0" w:rsidP="00A734D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>Некоторые эксперты сочли, что, вероятно, можно было бы использовать б</w:t>
      </w:r>
      <w:r w:rsidR="00A3586E" w:rsidRPr="00A3586E">
        <w:t>о</w:t>
      </w:r>
      <w:r w:rsidR="00A3586E" w:rsidRPr="00A3586E">
        <w:t>лее общий подход (например, подход, используемый для веще</w:t>
      </w:r>
      <w:proofErr w:type="gramStart"/>
      <w:r w:rsidR="00A3586E" w:rsidRPr="00A3586E">
        <w:t>ств пр</w:t>
      </w:r>
      <w:proofErr w:type="gramEnd"/>
      <w:r w:rsidR="00A3586E" w:rsidRPr="00A3586E">
        <w:t>и п</w:t>
      </w:r>
      <w:r w:rsidR="00A3586E" w:rsidRPr="00A3586E">
        <w:t>о</w:t>
      </w:r>
      <w:r w:rsidR="00A3586E" w:rsidRPr="00A3586E">
        <w:t xml:space="preserve">вышенной температуре в </w:t>
      </w:r>
      <w:r w:rsidR="00A3586E" w:rsidRPr="00A3586E">
        <w:rPr>
          <w:lang w:val="en-US"/>
        </w:rPr>
        <w:t>VC</w:t>
      </w:r>
      <w:r w:rsidR="00A3586E" w:rsidRPr="00A3586E">
        <w:t>3), учитывая широкое разнообразие возможных конфигураций этих типов средств сдерживания.</w:t>
      </w:r>
    </w:p>
    <w:p w:rsidR="00A3586E" w:rsidRPr="00A3586E" w:rsidRDefault="00A734D0" w:rsidP="00A734D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>Оправдана ли необходимость проведения параллельного обсуждения на уровне Подкомитета экспертов Организации Объединенных Наций?</w:t>
      </w:r>
    </w:p>
    <w:p w:rsidR="00A3586E" w:rsidRPr="00A3586E" w:rsidRDefault="00A3586E" w:rsidP="00A3586E">
      <w:pPr>
        <w:pStyle w:val="SingleTxt"/>
      </w:pPr>
      <w:r w:rsidRPr="00A3586E">
        <w:lastRenderedPageBreak/>
        <w:t>Участникам пленарной сессии было предложено дать Германии дальнейшие ук</w:t>
      </w:r>
      <w:r w:rsidRPr="00A3586E">
        <w:t>а</w:t>
      </w:r>
      <w:r w:rsidRPr="00A3586E">
        <w:t>зания относительно желательного уровня детализации, учитывая разнообразие возможных систем и конфигураций.</w:t>
      </w:r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  <w:bookmarkStart w:id="77" w:name="lt_pId282"/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3586E" w:rsidRPr="00A3586E" w:rsidRDefault="00A734D0" w:rsidP="00A734D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3586E" w:rsidRPr="00A3586E">
        <w:t>Пункт 9:</w:t>
      </w:r>
      <w:bookmarkEnd w:id="77"/>
      <w:r w:rsidR="00A3586E" w:rsidRPr="00A3586E">
        <w:t xml:space="preserve"> </w:t>
      </w:r>
      <w:bookmarkStart w:id="78" w:name="lt_pId283"/>
      <w:bookmarkStart w:id="79" w:name="lt_pId284"/>
      <w:r w:rsidR="00A3586E" w:rsidRPr="00A3586E">
        <w:t>Неофициальные документы INF.12/Rev.</w:t>
      </w:r>
      <w:bookmarkEnd w:id="78"/>
      <w:r w:rsidR="000534FA">
        <w:t>1 (Польша) + INF.41 (ЕАСНГ) –</w:t>
      </w:r>
      <w:r w:rsidR="00A3586E" w:rsidRPr="00A3586E">
        <w:t xml:space="preserve"> Применение стандартов на </w:t>
      </w:r>
      <w:bookmarkEnd w:id="79"/>
      <w:r w:rsidR="00A3586E" w:rsidRPr="00A3586E">
        <w:t>цистерны для</w:t>
      </w:r>
      <w:r w:rsidR="001604EF">
        <w:t> </w:t>
      </w:r>
      <w:r w:rsidR="00A3586E" w:rsidRPr="00A3586E">
        <w:t>СНГ</w:t>
      </w:r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734D0" w:rsidRPr="00A734D0" w:rsidRDefault="00A734D0" w:rsidP="00A734D0">
      <w:pPr>
        <w:pStyle w:val="SingleTxt"/>
        <w:spacing w:after="0" w:line="120" w:lineRule="exact"/>
        <w:rPr>
          <w:sz w:val="10"/>
        </w:rPr>
      </w:pPr>
    </w:p>
    <w:p w:rsidR="00A3586E" w:rsidRPr="00A3586E" w:rsidRDefault="00A3586E" w:rsidP="00A3586E">
      <w:pPr>
        <w:pStyle w:val="SingleTxt"/>
      </w:pPr>
      <w:r w:rsidRPr="00A3586E">
        <w:t>23.</w:t>
      </w:r>
      <w:r w:rsidRPr="00A3586E">
        <w:tab/>
        <w:t>В рамках Рабочей группы состоялось широкое обсуждение представленных расчетов. Дополнительные материалы были получены путем проведения тел</w:t>
      </w:r>
      <w:r w:rsidRPr="00A3586E">
        <w:t>е</w:t>
      </w:r>
      <w:r w:rsidRPr="00A3586E">
        <w:t>конференции с экспертами ТК 286 ЕКС. В результате Группа пришла к следу</w:t>
      </w:r>
      <w:r w:rsidRPr="00A3586E">
        <w:t>ю</w:t>
      </w:r>
      <w:r w:rsidRPr="00A3586E">
        <w:t>щим выводам:</w:t>
      </w:r>
    </w:p>
    <w:p w:rsidR="00A3586E" w:rsidRPr="00A3586E" w:rsidRDefault="00A3586E" w:rsidP="000534FA">
      <w:pPr>
        <w:pStyle w:val="SingleTxt"/>
        <w:tabs>
          <w:tab w:val="clear" w:pos="1742"/>
        </w:tabs>
        <w:ind w:left="2223" w:hanging="486"/>
      </w:pPr>
      <w:r w:rsidRPr="00A3586E">
        <w:t>1.</w:t>
      </w:r>
      <w:r w:rsidRPr="00A3586E">
        <w:tab/>
        <w:t>В отношении конструкции и изготовления цистерн для СНГ могут и</w:t>
      </w:r>
      <w:r w:rsidRPr="00A3586E">
        <w:t>с</w:t>
      </w:r>
      <w:r w:rsidRPr="00A3586E">
        <w:t>пользоваться оба стандарта </w:t>
      </w:r>
      <w:r w:rsidR="001604EF">
        <w:t>–</w:t>
      </w:r>
      <w:r w:rsidRPr="00A3586E">
        <w:t xml:space="preserve"> </w:t>
      </w:r>
      <w:r w:rsidRPr="00A3586E">
        <w:rPr>
          <w:lang w:val="en-US"/>
        </w:rPr>
        <w:t>EN</w:t>
      </w:r>
      <w:r w:rsidRPr="00A3586E">
        <w:t xml:space="preserve"> 14025 и </w:t>
      </w:r>
      <w:r w:rsidRPr="00A3586E">
        <w:rPr>
          <w:lang w:val="en-US"/>
        </w:rPr>
        <w:t>EN</w:t>
      </w:r>
      <w:r w:rsidRPr="00A3586E">
        <w:t xml:space="preserve"> 12493. В соответствии с изданием ДОПОГ 2013 года стандарт </w:t>
      </w:r>
      <w:r w:rsidRPr="00A3586E">
        <w:rPr>
          <w:lang w:val="en-GB"/>
        </w:rPr>
        <w:t>EN</w:t>
      </w:r>
      <w:r w:rsidRPr="00A3586E">
        <w:t xml:space="preserve"> 12493:2008 применяется до 31 декабря 2013 года в отношении новых официальных утверждений типа; это означает, что в период с 1 января 2014 года по 31 декабря 2014 года может применяться либо стандарт </w:t>
      </w:r>
      <w:r w:rsidRPr="00A3586E">
        <w:rPr>
          <w:lang w:val="en-GB"/>
        </w:rPr>
        <w:t>EN</w:t>
      </w:r>
      <w:r w:rsidRPr="00A3586E">
        <w:t xml:space="preserve"> 14025, либо стандарт </w:t>
      </w:r>
      <w:r w:rsidRPr="00A3586E">
        <w:rPr>
          <w:lang w:val="en-GB"/>
        </w:rPr>
        <w:t>EN</w:t>
      </w:r>
      <w:r w:rsidRPr="00A3586E">
        <w:t> 12493 издания 2013 года при условии национального признания в соответствии с подразделом 6.8.2.7. Для выбора конструктивного стандарта не требуется согласия компетентного органа.</w:t>
      </w:r>
    </w:p>
    <w:p w:rsidR="00A3586E" w:rsidRPr="00A3586E" w:rsidRDefault="00A3586E" w:rsidP="000534FA">
      <w:pPr>
        <w:pStyle w:val="SingleTxt"/>
        <w:tabs>
          <w:tab w:val="clear" w:pos="1742"/>
        </w:tabs>
        <w:ind w:left="2223" w:hanging="486"/>
      </w:pPr>
      <w:r w:rsidRPr="00A3586E">
        <w:t>2.</w:t>
      </w:r>
      <w:r w:rsidRPr="00A3586E">
        <w:tab/>
        <w:t xml:space="preserve">В таблице пункта 6.8.2.6.1 содержатся положения и сроки, касающиеся официальных утверждений типа; таким </w:t>
      </w:r>
      <w:proofErr w:type="gramStart"/>
      <w:r w:rsidRPr="00A3586E">
        <w:t>образом</w:t>
      </w:r>
      <w:proofErr w:type="gramEnd"/>
      <w:r w:rsidRPr="00A3586E">
        <w:t xml:space="preserve"> в случае конструкции, изготовления и официального утверждения цистерн для СНГ можно и далее (до 31 декабря 2016 года) использовать стандарт </w:t>
      </w:r>
      <w:r w:rsidRPr="00A3586E">
        <w:rPr>
          <w:lang w:val="en-GB"/>
        </w:rPr>
        <w:t>EN</w:t>
      </w:r>
      <w:r w:rsidRPr="00A3586E">
        <w:t> 14025:2008.</w:t>
      </w:r>
    </w:p>
    <w:p w:rsidR="00A3586E" w:rsidRPr="00A3586E" w:rsidRDefault="00A3586E" w:rsidP="000534FA">
      <w:pPr>
        <w:pStyle w:val="SingleTxt"/>
        <w:tabs>
          <w:tab w:val="clear" w:pos="1742"/>
        </w:tabs>
        <w:ind w:left="2223" w:hanging="486"/>
      </w:pPr>
      <w:r w:rsidRPr="00A3586E">
        <w:t>3.</w:t>
      </w:r>
      <w:r w:rsidRPr="00A3586E">
        <w:tab/>
        <w:t>Применение этих стандартов наталкивается на проблему, связанную с различным толкованием положения о максимальном рабочем давлении и с тем, как оно определено в подразделе 1.2.1. Этим объясняется то, что результаты обоих представленных расчетов различаются. Макс</w:t>
      </w:r>
      <w:r w:rsidRPr="00A3586E">
        <w:t>и</w:t>
      </w:r>
      <w:r w:rsidRPr="00A3586E">
        <w:t>мальное рабочее давление для СНГ четко не определено, что приводит к различным толкованиям величины, используемой при расчете в с</w:t>
      </w:r>
      <w:r w:rsidRPr="00A3586E">
        <w:t>о</w:t>
      </w:r>
      <w:r w:rsidRPr="00A3586E">
        <w:t>ответствии с условиями эксплуатации, а не с условиями проведения испытаний.</w:t>
      </w:r>
    </w:p>
    <w:p w:rsidR="00A3586E" w:rsidRPr="00A3586E" w:rsidRDefault="00A3586E" w:rsidP="000534FA">
      <w:pPr>
        <w:pStyle w:val="SingleTxt"/>
        <w:tabs>
          <w:tab w:val="clear" w:pos="1742"/>
        </w:tabs>
        <w:ind w:left="2223" w:hanging="486"/>
      </w:pPr>
      <w:r w:rsidRPr="00A3586E">
        <w:t>4.</w:t>
      </w:r>
      <w:r w:rsidRPr="00A3586E">
        <w:tab/>
        <w:t>Независимо от различий в толковании оба стандарта дают минимал</w:t>
      </w:r>
      <w:r w:rsidRPr="00A3586E">
        <w:t>ь</w:t>
      </w:r>
      <w:r w:rsidRPr="00A3586E">
        <w:t>ную толщину стенок, превышающую минимальную толщину стенок, требуемую в МПОГ/ДОПОГ.</w:t>
      </w:r>
    </w:p>
    <w:p w:rsidR="00A3586E" w:rsidRPr="00A3586E" w:rsidRDefault="00A3586E" w:rsidP="000534FA">
      <w:pPr>
        <w:pStyle w:val="SingleTxt"/>
        <w:tabs>
          <w:tab w:val="clear" w:pos="1742"/>
        </w:tabs>
        <w:ind w:left="2223" w:hanging="486"/>
      </w:pPr>
      <w:r w:rsidRPr="00A3586E">
        <w:t>5.</w:t>
      </w:r>
      <w:r w:rsidRPr="00A3586E">
        <w:tab/>
        <w:t>В разделе D.2 версии стандарта EN 12493 2013 года, как представляе</w:t>
      </w:r>
      <w:r w:rsidRPr="00A3586E">
        <w:t>т</w:t>
      </w:r>
      <w:r w:rsidRPr="00A3586E">
        <w:t xml:space="preserve">ся, содержится ошибка, которая касается </w:t>
      </w:r>
      <w:r w:rsidR="00AF385A">
        <w:t>«</w:t>
      </w:r>
      <w:r w:rsidRPr="00A3586E">
        <w:t>множителя</w:t>
      </w:r>
      <w:r w:rsidR="00AF385A">
        <w:t>»</w:t>
      </w:r>
      <w:r w:rsidRPr="00A3586E">
        <w:t>, применяемого в случае полуприцепов и автоцистерн, используемых для буксировки прицепов-цистерн, и которая должна быть исправлена ТК 286 ЕКС. Согласно эксперту ТК 286 ЕКС, пока следует использовать первон</w:t>
      </w:r>
      <w:r w:rsidRPr="00A3586E">
        <w:t>а</w:t>
      </w:r>
      <w:r w:rsidRPr="00A3586E">
        <w:t>чальную формулировку, содержащуюся в разделах D.2.2 и D.2.3 ста</w:t>
      </w:r>
      <w:r w:rsidRPr="00A3586E">
        <w:t>н</w:t>
      </w:r>
      <w:r w:rsidRPr="00A3586E">
        <w:t>дарта EN 12493:2008. Это вызвало у Группы особое удивление, так как стандарт EN 12493 был недавно пересмотрен без каких-либо дополн</w:t>
      </w:r>
      <w:r w:rsidRPr="00A3586E">
        <w:t>и</w:t>
      </w:r>
      <w:r w:rsidRPr="00A3586E">
        <w:t>тельных замечаний в отношении данного раздела.</w:t>
      </w:r>
    </w:p>
    <w:p w:rsidR="00A3586E" w:rsidRPr="00A3586E" w:rsidRDefault="00A3586E" w:rsidP="000534FA">
      <w:pPr>
        <w:pStyle w:val="SingleTxt"/>
        <w:tabs>
          <w:tab w:val="clear" w:pos="1742"/>
        </w:tabs>
        <w:ind w:left="2223" w:hanging="486"/>
      </w:pPr>
      <w:r w:rsidRPr="00A3586E">
        <w:t>6.</w:t>
      </w:r>
      <w:r w:rsidRPr="00A3586E">
        <w:tab/>
        <w:t>Чтобы прояснить ситуацию для всех типов резервуаров, необходимо проделать дополнительную работу, в частности провести общий обзор определения максимального рабочего давления в разделе 1.2.1.</w:t>
      </w:r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  <w:bookmarkStart w:id="80" w:name="lt_pId309"/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A3586E" w:rsidRPr="00A3586E" w:rsidRDefault="000534FA" w:rsidP="000534F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</w:r>
      <w:r w:rsidR="00A3586E" w:rsidRPr="00A3586E">
        <w:t>Пункт 10:</w:t>
      </w:r>
      <w:bookmarkEnd w:id="80"/>
      <w:r w:rsidR="00A3586E" w:rsidRPr="00A3586E">
        <w:t xml:space="preserve"> </w:t>
      </w:r>
      <w:bookmarkStart w:id="81" w:name="lt_pId310"/>
      <w:r w:rsidR="00A3586E" w:rsidRPr="00A3586E">
        <w:t>Неофициаль</w:t>
      </w:r>
      <w:r>
        <w:t>ный документ INF.15 (Германия) –</w:t>
      </w:r>
      <w:r w:rsidR="00A3586E" w:rsidRPr="00A3586E">
        <w:t xml:space="preserve"> </w:t>
      </w:r>
      <w:bookmarkEnd w:id="81"/>
      <w:r w:rsidR="00A3586E" w:rsidRPr="00A3586E">
        <w:t xml:space="preserve">Толкование термина </w:t>
      </w:r>
      <w:r w:rsidR="00AF385A">
        <w:t>«</w:t>
      </w:r>
      <w:r w:rsidR="00A3586E" w:rsidRPr="00A3586E">
        <w:t>попереч</w:t>
      </w:r>
      <w:r w:rsidR="00AF385A">
        <w:t>ное сечение»</w:t>
      </w:r>
      <w:r w:rsidR="00A3586E" w:rsidRPr="00A3586E">
        <w:t xml:space="preserve"> в пункте 6.8.2.1.20 ДОПОГ и в разделе 6 стандарта EN 13094:2008</w:t>
      </w:r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A3586E" w:rsidRPr="00A3586E" w:rsidRDefault="00A3586E" w:rsidP="00A3586E">
      <w:pPr>
        <w:pStyle w:val="SingleTxt"/>
      </w:pPr>
      <w:r w:rsidRPr="00A3586E">
        <w:t>24.</w:t>
      </w:r>
      <w:r w:rsidRPr="00A3586E">
        <w:tab/>
        <w:t xml:space="preserve">Г-н </w:t>
      </w:r>
      <w:proofErr w:type="spellStart"/>
      <w:r w:rsidRPr="00A3586E">
        <w:t>Лутц</w:t>
      </w:r>
      <w:proofErr w:type="spellEnd"/>
      <w:r w:rsidRPr="00A3586E">
        <w:t xml:space="preserve"> </w:t>
      </w:r>
      <w:proofErr w:type="spellStart"/>
      <w:r w:rsidRPr="00A3586E">
        <w:t>Гёслингхоф</w:t>
      </w:r>
      <w:proofErr w:type="spellEnd"/>
      <w:r w:rsidRPr="00A3586E">
        <w:t xml:space="preserve"> представил полуприцеп-цистерну UNITAS 2000 и объяснил, что цистерна, описанная на рис. 1 неофициального документа INF.15, имеет, как было сочтено, круглое поперечное сечение и что вырез был заменен вогнутой пластиной. В пункте 6.1 а) стандарта EN 13094 делается ссылка на стандарт EN 14025 для корпусов с круглым поперечным сечением. В этом ста</w:t>
      </w:r>
      <w:r w:rsidRPr="00A3586E">
        <w:t>н</w:t>
      </w:r>
      <w:r w:rsidRPr="00A3586E">
        <w:t>дарте упоминается, в свою очередь, возможность осуществления расчетов (в с</w:t>
      </w:r>
      <w:r w:rsidRPr="00A3586E">
        <w:t>о</w:t>
      </w:r>
      <w:r w:rsidRPr="00A3586E">
        <w:t xml:space="preserve">ответствии с EN 13445-3) или оценок с помощью методов конечных элементов для круглых поперечных сечений с вырезами. Результаты этих расчетов были представлены, и тип цистерны был утвержден в значительном числе стран. Этот тип цистерны прошел также оценку в рамках программы исследований THESEUS в 1994 году. К настоящему </w:t>
      </w:r>
      <w:proofErr w:type="gramStart"/>
      <w:r w:rsidRPr="00A3586E">
        <w:t>времени</w:t>
      </w:r>
      <w:proofErr w:type="gramEnd"/>
      <w:r w:rsidRPr="00A3586E">
        <w:t xml:space="preserve"> было изготовлено без </w:t>
      </w:r>
      <w:proofErr w:type="gramStart"/>
      <w:r w:rsidRPr="00A3586E">
        <w:t>каких</w:t>
      </w:r>
      <w:proofErr w:type="gramEnd"/>
      <w:r w:rsidRPr="00A3586E">
        <w:t xml:space="preserve"> бы то ни было проблем более 1 500 автоцистерн этого конструкционного типа.</w:t>
      </w:r>
    </w:p>
    <w:p w:rsidR="00A3586E" w:rsidRPr="00A3586E" w:rsidRDefault="00A3586E" w:rsidP="00A3586E">
      <w:pPr>
        <w:pStyle w:val="SingleTxt"/>
      </w:pPr>
      <w:r w:rsidRPr="00A3586E">
        <w:t>25.</w:t>
      </w:r>
      <w:r w:rsidRPr="00A3586E">
        <w:tab/>
        <w:t xml:space="preserve">Другие эксперты сослались на примечание 2 к пункту 6.8.2.1.18, в котором круглое поперечное сечение с вырезом конкретно не упоминается. Если считать, что цистерна не имеет круглого поперечного сечения, то слова </w:t>
      </w:r>
      <w:r w:rsidR="00AF385A">
        <w:t>«</w:t>
      </w:r>
      <w:r w:rsidRPr="00A3586E">
        <w:t>радиус выпукл</w:t>
      </w:r>
      <w:r w:rsidRPr="00A3586E">
        <w:t>о</w:t>
      </w:r>
      <w:r w:rsidRPr="00A3586E">
        <w:t>сти</w:t>
      </w:r>
      <w:r w:rsidR="00AF385A">
        <w:t>»</w:t>
      </w:r>
      <w:r w:rsidRPr="00A3586E">
        <w:t xml:space="preserve">, как представляется, исключают </w:t>
      </w:r>
      <w:r w:rsidR="00AF385A">
        <w:t>«</w:t>
      </w:r>
      <w:r w:rsidRPr="00A3586E">
        <w:t>вогнутость</w:t>
      </w:r>
      <w:r w:rsidR="00AF385A">
        <w:t>»</w:t>
      </w:r>
      <w:r w:rsidRPr="00A3586E">
        <w:t xml:space="preserve"> в конструкции цистерны. В</w:t>
      </w:r>
      <w:r w:rsidR="00860AAA">
        <w:rPr>
          <w:lang w:val="en-US"/>
        </w:rPr>
        <w:t> </w:t>
      </w:r>
      <w:r w:rsidRPr="00A3586E">
        <w:t>настоящее время этот вопрос передан в РГ 2 ТК 296 ЕКС для обсуждения.</w:t>
      </w:r>
    </w:p>
    <w:p w:rsidR="000534FA" w:rsidRDefault="00A3586E" w:rsidP="000534FA">
      <w:pPr>
        <w:pStyle w:val="SingleTxt"/>
      </w:pPr>
      <w:r w:rsidRPr="00A3586E">
        <w:t>26.</w:t>
      </w:r>
      <w:r w:rsidRPr="00A3586E">
        <w:tab/>
        <w:t>Рабочая группа решила, что для дальнейшего обсуждения вопроса о во</w:t>
      </w:r>
      <w:r w:rsidRPr="00A3586E">
        <w:t>з</w:t>
      </w:r>
      <w:r w:rsidRPr="00A3586E">
        <w:t>можном разъяснении следует дождаться результатов обсуждения в ТК 296 ЕКС.</w:t>
      </w:r>
      <w:bookmarkStart w:id="82" w:name="lt_pId325"/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A3586E" w:rsidRPr="00A3586E" w:rsidRDefault="000534FA" w:rsidP="000534F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3586E" w:rsidRPr="00A3586E">
        <w:t>Пункт 11:</w:t>
      </w:r>
      <w:bookmarkEnd w:id="82"/>
      <w:r w:rsidR="00A3586E" w:rsidRPr="00A3586E">
        <w:t xml:space="preserve"> </w:t>
      </w:r>
      <w:bookmarkStart w:id="83" w:name="lt_pId326"/>
      <w:r w:rsidR="00A3586E" w:rsidRPr="00A3586E">
        <w:t>Неофиц</w:t>
      </w:r>
      <w:r w:rsidR="0035188E">
        <w:t>иальный документ INF.17 (МСЖД) –</w:t>
      </w:r>
      <w:r w:rsidR="00A3586E" w:rsidRPr="00A3586E">
        <w:t xml:space="preserve"> </w:t>
      </w:r>
      <w:bookmarkEnd w:id="83"/>
      <w:r w:rsidR="00A3586E" w:rsidRPr="00A3586E">
        <w:t>Подтверждение информации об истечения времени удержания в</w:t>
      </w:r>
      <w:r w:rsidR="0035188E">
        <w:t> </w:t>
      </w:r>
      <w:r w:rsidR="00A3586E" w:rsidRPr="00A3586E">
        <w:t>транспортном документе при перевозке охлажденных сжиженных газов</w:t>
      </w:r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A3586E" w:rsidRPr="00A3586E" w:rsidRDefault="00A3586E" w:rsidP="00A3586E">
      <w:pPr>
        <w:pStyle w:val="SingleTxt"/>
      </w:pPr>
      <w:r w:rsidRPr="00A3586E">
        <w:t>27.</w:t>
      </w:r>
      <w:r w:rsidRPr="00A3586E">
        <w:tab/>
      </w:r>
      <w:bookmarkStart w:id="84" w:name="lt_pId328"/>
      <w:r w:rsidRPr="00A3586E">
        <w:t>Рабочая группа одобрила предложение, внесенное МСЖД.</w:t>
      </w:r>
      <w:bookmarkEnd w:id="84"/>
      <w:r w:rsidRPr="00A3586E">
        <w:t xml:space="preserve"> В случае поро</w:t>
      </w:r>
      <w:r w:rsidRPr="00A3586E">
        <w:t>ж</w:t>
      </w:r>
      <w:r w:rsidRPr="00A3586E">
        <w:t>них неочищенных цистерн необходимо провести дополнительную работу с ц</w:t>
      </w:r>
      <w:r w:rsidRPr="00A3586E">
        <w:t>е</w:t>
      </w:r>
      <w:r w:rsidRPr="00A3586E">
        <w:t>лью увязать нормальные расчеты с прогнозированием времени удержания ввиду малого количества криогенной жидкости в резервуаре. ЕАПГ предложила пров</w:t>
      </w:r>
      <w:r w:rsidRPr="00A3586E">
        <w:t>е</w:t>
      </w:r>
      <w:r w:rsidRPr="00A3586E">
        <w:t>сти эту работу в целях включения ее результатов в издание МПОГ/ДОПОГ 2017 года, когда вступит в силу принятый текст, касающийся времени удержания криогенных сосудов. Первоначальные руководящие указания для операторов уже предусмотрены в методическом документе ЕАПГ.</w:t>
      </w:r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  <w:bookmarkStart w:id="85" w:name="lt_pId334"/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A3586E" w:rsidRPr="00A3586E" w:rsidRDefault="000534FA" w:rsidP="000534F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3586E" w:rsidRPr="00A3586E">
        <w:t>Предложение</w:t>
      </w:r>
      <w:bookmarkEnd w:id="85"/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A3586E" w:rsidRPr="00A3586E" w:rsidRDefault="00A3586E" w:rsidP="00A3586E">
      <w:pPr>
        <w:pStyle w:val="SingleTxt"/>
      </w:pPr>
      <w:r w:rsidRPr="00A3586E">
        <w:t>Принять предложение МСЖД, содержащееся в неофициальном документе INF.17.</w:t>
      </w:r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  <w:bookmarkStart w:id="86" w:name="lt_pId338"/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A3586E" w:rsidRPr="00A3586E" w:rsidRDefault="000534FA" w:rsidP="000534F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3586E" w:rsidRPr="00A3586E">
        <w:t>Пункт 12:</w:t>
      </w:r>
      <w:bookmarkEnd w:id="86"/>
      <w:r w:rsidR="00A3586E" w:rsidRPr="00A3586E">
        <w:t xml:space="preserve"> </w:t>
      </w:r>
      <w:bookmarkStart w:id="87" w:name="lt_pId339"/>
      <w:r w:rsidR="00A3586E" w:rsidRPr="00A3586E">
        <w:t>Неофициал</w:t>
      </w:r>
      <w:r>
        <w:t>ьный документ INF.42 (Бельгия) –</w:t>
      </w:r>
      <w:r w:rsidR="0035188E">
        <w:t xml:space="preserve"> ДОПОГ 2015 –</w:t>
      </w:r>
      <w:r w:rsidR="00A3586E" w:rsidRPr="00A3586E">
        <w:t xml:space="preserve"> Применение специального положения 664:</w:t>
      </w:r>
      <w:bookmarkEnd w:id="87"/>
      <w:r w:rsidR="00A3586E" w:rsidRPr="00A3586E">
        <w:t xml:space="preserve"> Толкование/спецификация в отношении пункта 6.8.2.1.23 ДОПОГ</w:t>
      </w:r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A3586E" w:rsidRPr="00A3586E" w:rsidRDefault="00A3586E" w:rsidP="00A3586E">
      <w:pPr>
        <w:pStyle w:val="SingleTxt"/>
      </w:pPr>
      <w:r w:rsidRPr="00A3586E">
        <w:t>28.</w:t>
      </w:r>
      <w:r w:rsidRPr="00A3586E">
        <w:tab/>
        <w:t>Рабочая группа одобрила предложение Бельгии о том, чтобы разрешить м</w:t>
      </w:r>
      <w:r w:rsidRPr="00A3586E">
        <w:t>е</w:t>
      </w:r>
      <w:r w:rsidRPr="00A3586E">
        <w:t>тоды испытаний, альтернативные методу НРК, предусмотренному в пун</w:t>
      </w:r>
      <w:r w:rsidRPr="00A3586E">
        <w:t>к</w:t>
      </w:r>
      <w:r w:rsidRPr="00A3586E">
        <w:lastRenderedPageBreak/>
        <w:t>те 6.8.2.1.23 (испытания, проводимые с помощью радиографии или ультразвука). В связи с большим разнообразием конструкций устрой</w:t>
      </w:r>
      <w:proofErr w:type="gramStart"/>
      <w:r w:rsidRPr="00A3586E">
        <w:t>ств дл</w:t>
      </w:r>
      <w:proofErr w:type="gramEnd"/>
      <w:r w:rsidRPr="00A3586E">
        <w:t>я добавления прис</w:t>
      </w:r>
      <w:r w:rsidRPr="00A3586E">
        <w:t>а</w:t>
      </w:r>
      <w:r w:rsidRPr="00A3586E">
        <w:t>док  некоторые методы НРК не подходят для оценки качества сварных швов, п</w:t>
      </w:r>
      <w:r w:rsidRPr="00A3586E">
        <w:t>о</w:t>
      </w:r>
      <w:r w:rsidRPr="00A3586E">
        <w:t>этому во многих случаях выполняется визуальный осмотр (в соответствии с тр</w:t>
      </w:r>
      <w:r w:rsidRPr="00A3586E">
        <w:t>е</w:t>
      </w:r>
      <w:r w:rsidRPr="00A3586E">
        <w:t>бованиями испытаний, предусмотренными в СП 664 d)). Кроме того, в ссылке на пункт 6.8.2.1.23 приводится только его первый абзац (квалификация сварщиков и оценка качества сварки).</w:t>
      </w:r>
    </w:p>
    <w:p w:rsidR="00A3586E" w:rsidRPr="00A3586E" w:rsidRDefault="00A3586E" w:rsidP="00A3586E">
      <w:pPr>
        <w:pStyle w:val="SingleTxt"/>
      </w:pPr>
      <w:r w:rsidRPr="00A3586E">
        <w:t>29.</w:t>
      </w:r>
      <w:r w:rsidRPr="00A3586E">
        <w:tab/>
        <w:t>Для прояснения этого вопроса Группа согласовала измененный текст, кот</w:t>
      </w:r>
      <w:r w:rsidRPr="00A3586E">
        <w:t>о</w:t>
      </w:r>
      <w:r w:rsidRPr="00A3586E">
        <w:t>рый следует довести до сведения следующего совещания Рабочей группы WP.15. Следует определить, может ли это уточнение рассматриваться как одно из во</w:t>
      </w:r>
      <w:r w:rsidRPr="00A3586E">
        <w:t>з</w:t>
      </w:r>
      <w:r w:rsidRPr="00A3586E">
        <w:t>можных толкований в промежуточный период до публикации издания ДОПОГ 2017 года или для этого требуется многостороннее соглашение.</w:t>
      </w:r>
    </w:p>
    <w:p w:rsidR="00A3586E" w:rsidRPr="00A3586E" w:rsidRDefault="000534FA" w:rsidP="000534F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3586E" w:rsidRPr="00A3586E">
        <w:t>Предложение для Рабочей группы WP.15</w:t>
      </w:r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A3586E" w:rsidRPr="00A3586E" w:rsidRDefault="00A3586E" w:rsidP="00A3586E">
      <w:pPr>
        <w:pStyle w:val="SingleTxt"/>
      </w:pPr>
      <w:proofErr w:type="gramStart"/>
      <w:r w:rsidRPr="00A3586E">
        <w:t>Изменить последнее предложение СП 664 а) </w:t>
      </w:r>
      <w:proofErr w:type="spellStart"/>
      <w:r w:rsidRPr="00A3586E">
        <w:t>ii</w:t>
      </w:r>
      <w:proofErr w:type="spellEnd"/>
      <w:r w:rsidRPr="00A3586E">
        <w:t>) следующим образом:</w:t>
      </w:r>
      <w:proofErr w:type="gramEnd"/>
    </w:p>
    <w:p w:rsidR="00A3586E" w:rsidRPr="00A3586E" w:rsidRDefault="000534FA" w:rsidP="00A3586E">
      <w:pPr>
        <w:pStyle w:val="SingleTxt"/>
      </w:pPr>
      <w:r>
        <w:t>«</w:t>
      </w:r>
      <w:r w:rsidR="00A3586E" w:rsidRPr="00A3586E">
        <w:rPr>
          <w:i/>
        </w:rPr>
        <w:t xml:space="preserve">Сварные швы должны выполняться в соответствии с пунктом </w:t>
      </w:r>
      <w:r w:rsidR="00A3586E" w:rsidRPr="00A3586E">
        <w:rPr>
          <w:b/>
          <w:i/>
          <w:u w:val="single"/>
        </w:rPr>
        <w:t>первым абз</w:t>
      </w:r>
      <w:r w:rsidR="00A3586E" w:rsidRPr="00A3586E">
        <w:rPr>
          <w:b/>
          <w:i/>
          <w:u w:val="single"/>
        </w:rPr>
        <w:t>а</w:t>
      </w:r>
      <w:r w:rsidR="00A3586E" w:rsidRPr="00A3586E">
        <w:rPr>
          <w:b/>
          <w:i/>
          <w:u w:val="single"/>
        </w:rPr>
        <w:t>цем пункта 6.8.2.1.23, за исключением того, что для подтверждения кач</w:t>
      </w:r>
      <w:r w:rsidR="00A3586E" w:rsidRPr="00A3586E">
        <w:rPr>
          <w:b/>
          <w:i/>
          <w:u w:val="single"/>
        </w:rPr>
        <w:t>е</w:t>
      </w:r>
      <w:r w:rsidR="00A3586E" w:rsidRPr="00A3586E">
        <w:rPr>
          <w:b/>
          <w:i/>
          <w:u w:val="single"/>
        </w:rPr>
        <w:t>ства сварки могут применяться другие подходящие методы</w:t>
      </w:r>
      <w:r>
        <w:t>»</w:t>
      </w:r>
      <w:r w:rsidR="00A3586E" w:rsidRPr="00A3586E">
        <w:t>.</w:t>
      </w:r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  <w:bookmarkStart w:id="88" w:name="lt_pId355"/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A3586E" w:rsidRPr="00A3586E" w:rsidRDefault="000534FA" w:rsidP="000534F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3586E" w:rsidRPr="00A3586E">
        <w:t>Пункт 13:</w:t>
      </w:r>
      <w:bookmarkEnd w:id="88"/>
      <w:r w:rsidR="00A3586E" w:rsidRPr="00A3586E">
        <w:t xml:space="preserve"> </w:t>
      </w:r>
      <w:bookmarkStart w:id="89" w:name="lt_pId356"/>
      <w:r w:rsidR="00A3586E" w:rsidRPr="00A3586E">
        <w:t>ECE/TRANS/WP.15/AC.1/2015/22 (Соединенное Королев</w:t>
      </w:r>
      <w:r>
        <w:t>ство) –</w:t>
      </w:r>
      <w:r w:rsidR="00A3586E" w:rsidRPr="00A3586E">
        <w:t xml:space="preserve"> Накопленный в Соединенном Королевстве опыт, связанный с неправильным изготовлением и ненадлежащей сертификацией автоцистерн + неофициальный документ INF.14 (Соединенное Королевство)</w:t>
      </w:r>
      <w:bookmarkEnd w:id="89"/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A3586E" w:rsidRPr="00A3586E" w:rsidRDefault="00A3586E" w:rsidP="00A3586E">
      <w:pPr>
        <w:pStyle w:val="SingleTxt"/>
      </w:pPr>
      <w:r w:rsidRPr="00A3586E">
        <w:t>30.</w:t>
      </w:r>
      <w:r w:rsidRPr="00A3586E">
        <w:tab/>
        <w:t>Соединенное Королевство выступило с подробным техническим сообщен</w:t>
      </w:r>
      <w:r w:rsidRPr="00A3586E">
        <w:t>и</w:t>
      </w:r>
      <w:r w:rsidRPr="00A3586E">
        <w:t>ем о выявленных проблемах, связанных с неправильно изготовленными и непр</w:t>
      </w:r>
      <w:r w:rsidRPr="00A3586E">
        <w:t>а</w:t>
      </w:r>
      <w:r w:rsidRPr="00A3586E">
        <w:t>вильно сертифицированными автоцистернами, используемыми для транспорт</w:t>
      </w:r>
      <w:r w:rsidRPr="00A3586E">
        <w:t>и</w:t>
      </w:r>
      <w:r w:rsidRPr="00A3586E">
        <w:t>ровки бензина. Эти проблемы вызвали необходимость выполнения обширной и</w:t>
      </w:r>
      <w:r w:rsidRPr="00A3586E">
        <w:t>с</w:t>
      </w:r>
      <w:r w:rsidRPr="00A3586E">
        <w:t xml:space="preserve">следовательской программы стоимостью около 1,5 </w:t>
      </w:r>
      <w:proofErr w:type="gramStart"/>
      <w:r w:rsidRPr="00A3586E">
        <w:t>млн</w:t>
      </w:r>
      <w:proofErr w:type="gramEnd"/>
      <w:r w:rsidRPr="00A3586E">
        <w:t xml:space="preserve"> фунтов, в которой прин</w:t>
      </w:r>
      <w:r w:rsidRPr="00A3586E">
        <w:t>я</w:t>
      </w:r>
      <w:r w:rsidRPr="00A3586E">
        <w:t>ли участие узкоспециализированные технические институты. В этой связи во</w:t>
      </w:r>
      <w:r w:rsidRPr="00A3586E">
        <w:t>з</w:t>
      </w:r>
      <w:r w:rsidRPr="00A3586E">
        <w:t>никли конкретные вопросы относительно назначения проверяющих органов, их экстерриториальной деятельности, процедур контроля и проверки. Как сле</w:t>
      </w:r>
      <w:r w:rsidRPr="00A3586E">
        <w:t>д</w:t>
      </w:r>
      <w:r w:rsidRPr="00A3586E">
        <w:t xml:space="preserve">ствие, Агентством сертификации транспортных средств(VCA) были изданы на национальном уровне дополнительные процедуры. </w:t>
      </w:r>
    </w:p>
    <w:p w:rsidR="00A3586E" w:rsidRPr="00A3586E" w:rsidRDefault="00A3586E" w:rsidP="00A3586E">
      <w:pPr>
        <w:pStyle w:val="SingleTxt"/>
      </w:pPr>
      <w:r w:rsidRPr="00A3586E">
        <w:t>31.</w:t>
      </w:r>
      <w:r w:rsidRPr="00A3586E">
        <w:tab/>
        <w:t>Рабочая группа поддержала предложение Соединенного Королевства о с</w:t>
      </w:r>
      <w:r w:rsidRPr="00A3586E">
        <w:t>о</w:t>
      </w:r>
      <w:r w:rsidRPr="00A3586E">
        <w:t>здании неофициальной рабочей группы для дальнейшего изучения этого вопр</w:t>
      </w:r>
      <w:r w:rsidRPr="00A3586E">
        <w:t>о</w:t>
      </w:r>
      <w:r w:rsidRPr="00A3586E">
        <w:t>са. Вниманию Соединенного Королевства были предложены следующие общие замечания:</w:t>
      </w:r>
    </w:p>
    <w:p w:rsidR="00A3586E" w:rsidRPr="00A3586E" w:rsidRDefault="000534FA" w:rsidP="000534FA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>В настоящее время есть конкретные вопросы, связанные с аккредитацией, которые необходимо принимать во внимание, и различные виды практики в разных странах.</w:t>
      </w:r>
    </w:p>
    <w:p w:rsidR="00A3586E" w:rsidRPr="00A3586E" w:rsidRDefault="000534FA" w:rsidP="000534FA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 xml:space="preserve">Согласование процедур проверки стало трудно выполнимой задачей, в </w:t>
      </w:r>
      <w:proofErr w:type="gramStart"/>
      <w:r w:rsidR="00A3586E" w:rsidRPr="00A3586E">
        <w:t>связи</w:t>
      </w:r>
      <w:proofErr w:type="gramEnd"/>
      <w:r w:rsidR="00A3586E" w:rsidRPr="00A3586E">
        <w:t xml:space="preserve"> с чем желательно возродить интерес к этой проблеме со стороны какой-либо центральной организации проверяющих органов.</w:t>
      </w:r>
    </w:p>
    <w:p w:rsidR="00A3586E" w:rsidRPr="00A3586E" w:rsidRDefault="000534FA" w:rsidP="000534FA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 xml:space="preserve">Многие проверяющие органы проводят международные мероприятия и имеют офисы в нескольких странах, что затрудняет </w:t>
      </w:r>
      <w:proofErr w:type="gramStart"/>
      <w:r w:rsidR="00A3586E" w:rsidRPr="00A3586E">
        <w:t>контроль за</w:t>
      </w:r>
      <w:proofErr w:type="gramEnd"/>
      <w:r w:rsidR="00A3586E" w:rsidRPr="00A3586E">
        <w:t xml:space="preserve"> их деятел</w:t>
      </w:r>
      <w:r w:rsidR="00A3586E" w:rsidRPr="00A3586E">
        <w:t>ь</w:t>
      </w:r>
      <w:r w:rsidR="00A3586E" w:rsidRPr="00A3586E">
        <w:t>ностью.</w:t>
      </w:r>
    </w:p>
    <w:p w:rsidR="00A3586E" w:rsidRPr="00A3586E" w:rsidRDefault="000534FA" w:rsidP="000534FA">
      <w:pPr>
        <w:pStyle w:val="SingleTxt"/>
        <w:tabs>
          <w:tab w:val="right" w:pos="1685"/>
        </w:tabs>
        <w:ind w:left="1742" w:hanging="475"/>
      </w:pPr>
      <w:r>
        <w:lastRenderedPageBreak/>
        <w:tab/>
        <w:t>•</w:t>
      </w:r>
      <w:r>
        <w:tab/>
      </w:r>
      <w:r w:rsidR="00A3586E" w:rsidRPr="00A3586E">
        <w:t>Согласование формата для сертификатов найдет поддержку со стороны предприятий отрасли и облегчит контроль соблюдения.</w:t>
      </w:r>
    </w:p>
    <w:p w:rsidR="00A3586E" w:rsidRPr="00A3586E" w:rsidRDefault="000534FA" w:rsidP="000534FA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 xml:space="preserve">В документе ECE/TRANS/WP.15/AC.1/2015/13 обсуждаются многие из тех же или тесно связанных между собой тем, в </w:t>
      </w:r>
      <w:proofErr w:type="gramStart"/>
      <w:r w:rsidR="00A3586E" w:rsidRPr="00A3586E">
        <w:t>связи</w:t>
      </w:r>
      <w:proofErr w:type="gramEnd"/>
      <w:r w:rsidR="00A3586E" w:rsidRPr="00A3586E">
        <w:t xml:space="preserve"> с чем оба эти процесса необходимо объединить.</w:t>
      </w:r>
    </w:p>
    <w:p w:rsidR="00A3586E" w:rsidRPr="00A3586E" w:rsidRDefault="00A3586E" w:rsidP="00A3586E">
      <w:pPr>
        <w:pStyle w:val="SingleTxt"/>
      </w:pPr>
      <w:r w:rsidRPr="00A3586E">
        <w:t>32.</w:t>
      </w:r>
      <w:r w:rsidRPr="00A3586E">
        <w:tab/>
        <w:t xml:space="preserve">В конечном </w:t>
      </w:r>
      <w:proofErr w:type="gramStart"/>
      <w:r w:rsidRPr="00A3586E">
        <w:t>счете</w:t>
      </w:r>
      <w:proofErr w:type="gramEnd"/>
      <w:r w:rsidRPr="00A3586E">
        <w:t xml:space="preserve"> Рабочая группа согласовала следующие пункты мандата неофициальной рабочей группы, который необходимо будет объединить с раб</w:t>
      </w:r>
      <w:r w:rsidRPr="00A3586E">
        <w:t>о</w:t>
      </w:r>
      <w:r w:rsidRPr="00A3586E">
        <w:t xml:space="preserve">той, упомянутой в первой серии заданий, определенных </w:t>
      </w:r>
      <w:proofErr w:type="spellStart"/>
      <w:r w:rsidRPr="00A3586E">
        <w:t>Вюрцбургской</w:t>
      </w:r>
      <w:proofErr w:type="spellEnd"/>
      <w:r w:rsidRPr="00A3586E">
        <w:t xml:space="preserve"> неофиц</w:t>
      </w:r>
      <w:r w:rsidRPr="00A3586E">
        <w:t>и</w:t>
      </w:r>
      <w:r w:rsidRPr="00A3586E">
        <w:t>альной рабочей группой (см. документ 2015/13 (Германия)):</w:t>
      </w:r>
    </w:p>
    <w:p w:rsidR="00A3586E" w:rsidRPr="00A3586E" w:rsidRDefault="000534FA" w:rsidP="000534FA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>оценка порядка назначения проверяющих органов;</w:t>
      </w:r>
    </w:p>
    <w:p w:rsidR="00A3586E" w:rsidRPr="00A3586E" w:rsidRDefault="000534FA" w:rsidP="000534FA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>оценка механизмов контроля (например, с помощью централизованной базы данных) для проверяющих органов, надзора за экстерриториальной де</w:t>
      </w:r>
      <w:r w:rsidR="00A3586E" w:rsidRPr="00A3586E">
        <w:t>я</w:t>
      </w:r>
      <w:r w:rsidR="00A3586E" w:rsidRPr="00A3586E">
        <w:t>тельностью и подведения итогов деятельности, осуществляемой от имени компетентного органа;</w:t>
      </w:r>
    </w:p>
    <w:p w:rsidR="00A3586E" w:rsidRPr="00A3586E" w:rsidRDefault="000534FA" w:rsidP="000534FA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>обзор процедур проверки;</w:t>
      </w:r>
    </w:p>
    <w:p w:rsidR="00A3586E" w:rsidRPr="00A3586E" w:rsidRDefault="000534FA" w:rsidP="000534FA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>обзор соответствующих положений главы 6.8 и стандартов, на которые д</w:t>
      </w:r>
      <w:r w:rsidR="00A3586E" w:rsidRPr="00A3586E">
        <w:t>е</w:t>
      </w:r>
      <w:r w:rsidR="00A3586E" w:rsidRPr="00A3586E">
        <w:t>лаются ссылки, в частности положений, касающихся первоначальных и внеплановых проверок;</w:t>
      </w:r>
    </w:p>
    <w:p w:rsidR="00A3586E" w:rsidRPr="00A3586E" w:rsidRDefault="000534FA" w:rsidP="000534FA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>оценка возможных улучшений в области хранения файлов цистерн;</w:t>
      </w:r>
    </w:p>
    <w:p w:rsidR="00A3586E" w:rsidRPr="00A3586E" w:rsidRDefault="000534FA" w:rsidP="000534FA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3586E" w:rsidRPr="00A3586E">
        <w:t>составление списка проверяющих органов МПОГ/ДОПОГ.</w:t>
      </w:r>
    </w:p>
    <w:p w:rsidR="00A3586E" w:rsidRPr="00A3586E" w:rsidRDefault="00A3586E" w:rsidP="00A3586E">
      <w:pPr>
        <w:pStyle w:val="SingleTxt"/>
      </w:pPr>
      <w:r w:rsidRPr="00A3586E">
        <w:t>33.</w:t>
      </w:r>
      <w:r w:rsidRPr="00A3586E">
        <w:tab/>
        <w:t>Итоги этой исследовательской программы воспроизведены в неофициал</w:t>
      </w:r>
      <w:r w:rsidRPr="00A3586E">
        <w:t>ь</w:t>
      </w:r>
      <w:r w:rsidRPr="00A3586E">
        <w:t>ном документе INF.51</w:t>
      </w:r>
      <w:r w:rsidRPr="00775389">
        <w:footnoteReference w:customMarkFollows="1" w:id="3"/>
        <w:t>*</w:t>
      </w:r>
      <w:r w:rsidRPr="00A3586E">
        <w:t>.</w:t>
      </w:r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  <w:bookmarkStart w:id="90" w:name="lt_pId382"/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A3586E" w:rsidRPr="00A3586E" w:rsidRDefault="000534FA" w:rsidP="000534F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3586E" w:rsidRPr="00A3586E">
        <w:t>Пункт 14:</w:t>
      </w:r>
      <w:bookmarkEnd w:id="90"/>
      <w:r w:rsidR="00A3586E" w:rsidRPr="00A3586E">
        <w:t xml:space="preserve"> </w:t>
      </w:r>
      <w:bookmarkStart w:id="91" w:name="lt_pId383"/>
      <w:r w:rsidR="00A3586E" w:rsidRPr="00A3586E">
        <w:t xml:space="preserve">Выражение признательности г-ну </w:t>
      </w:r>
      <w:proofErr w:type="spellStart"/>
      <w:r w:rsidR="00A3586E" w:rsidRPr="00A3586E">
        <w:t>Микаэлю</w:t>
      </w:r>
      <w:proofErr w:type="spellEnd"/>
      <w:r w:rsidR="00A3586E" w:rsidRPr="00A3586E">
        <w:t xml:space="preserve"> </w:t>
      </w:r>
      <w:proofErr w:type="spellStart"/>
      <w:r w:rsidR="00A3586E" w:rsidRPr="00A3586E">
        <w:t>Богерту</w:t>
      </w:r>
      <w:proofErr w:type="spellEnd"/>
      <w:r w:rsidR="00A3586E" w:rsidRPr="00A3586E">
        <w:t xml:space="preserve"> (Бельгия)</w:t>
      </w:r>
      <w:bookmarkEnd w:id="91"/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0534FA" w:rsidRPr="000534FA" w:rsidRDefault="000534FA" w:rsidP="000534FA">
      <w:pPr>
        <w:pStyle w:val="SingleTxt"/>
        <w:spacing w:after="0" w:line="120" w:lineRule="exact"/>
        <w:rPr>
          <w:sz w:val="10"/>
        </w:rPr>
      </w:pPr>
    </w:p>
    <w:p w:rsidR="00CA64BB" w:rsidRDefault="00A3586E" w:rsidP="000534FA">
      <w:pPr>
        <w:pStyle w:val="SingleTxt"/>
        <w:spacing w:line="240" w:lineRule="atLeast"/>
      </w:pPr>
      <w:r w:rsidRPr="00A3586E">
        <w:t>34.</w:t>
      </w:r>
      <w:r w:rsidRPr="00A3586E">
        <w:tab/>
        <w:t xml:space="preserve">Председатель тепло поблагодарил г-на </w:t>
      </w:r>
      <w:proofErr w:type="spellStart"/>
      <w:r w:rsidRPr="00A3586E">
        <w:t>Микаэля</w:t>
      </w:r>
      <w:proofErr w:type="spellEnd"/>
      <w:r w:rsidRPr="00A3586E">
        <w:t xml:space="preserve"> </w:t>
      </w:r>
      <w:proofErr w:type="spellStart"/>
      <w:r w:rsidRPr="00A3586E">
        <w:t>Богерта</w:t>
      </w:r>
      <w:proofErr w:type="spellEnd"/>
      <w:r w:rsidRPr="00A3586E">
        <w:t>, который оставит в скором времени свой пост в Федеральной государственной службе Бельгии, за ценный вклад, который он на протяжении многих лет вносил в проводившиеся Рабочей группой обсуждения, особенно в качестве ее секретаря. Рабочая группа пожелала ему успехов в его будущей работе.</w:t>
      </w:r>
    </w:p>
    <w:p w:rsidR="000534FA" w:rsidRPr="000534FA" w:rsidRDefault="000534FA" w:rsidP="000534F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0534FA" w:rsidRPr="000534FA" w:rsidSect="00CA64B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14T09:44:00Z" w:initials="Start">
    <w:p w:rsidR="001604EF" w:rsidRPr="001604EF" w:rsidRDefault="00B670B1">
      <w:pPr>
        <w:pStyle w:val="CommentText"/>
        <w:rPr>
          <w:lang w:val="en-US"/>
        </w:rPr>
      </w:pPr>
      <w:r>
        <w:fldChar w:fldCharType="begin"/>
      </w:r>
      <w:r w:rsidRPr="00A3586E">
        <w:rPr>
          <w:rStyle w:val="CommentReference"/>
          <w:lang w:val="en-US"/>
        </w:rPr>
        <w:instrText xml:space="preserve"> </w:instrText>
      </w:r>
      <w:r w:rsidRPr="00A3586E">
        <w:rPr>
          <w:lang w:val="en-US"/>
        </w:rPr>
        <w:instrText>PAGE \# "'Page: '#'</w:instrText>
      </w:r>
      <w:r w:rsidRPr="00A3586E">
        <w:rPr>
          <w:lang w:val="en-US"/>
        </w:rPr>
        <w:br/>
        <w:instrText>'"</w:instrText>
      </w:r>
      <w:r w:rsidRPr="00A3586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="001604EF" w:rsidRPr="001604EF">
        <w:rPr>
          <w:lang w:val="en-US"/>
        </w:rPr>
        <w:t>&lt;&lt;ODS JOB NO&gt;&gt;N1509238R&lt;&lt;ODS JOB NO&gt;&gt;</w:t>
      </w:r>
    </w:p>
    <w:p w:rsidR="001604EF" w:rsidRDefault="001604EF">
      <w:pPr>
        <w:pStyle w:val="CommentText"/>
      </w:pPr>
      <w:r>
        <w:t>&lt;&lt;ODS DOC SYMBOL1&gt;&gt;ECE/TRANS/WP.15/AC.1/138/Add.1&lt;&lt;ODS DOC SYMBOL1&gt;&gt;</w:t>
      </w:r>
    </w:p>
    <w:p w:rsidR="00B670B1" w:rsidRDefault="001604EF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B1" w:rsidRDefault="00B670B1" w:rsidP="008A1A7A">
      <w:pPr>
        <w:spacing w:line="240" w:lineRule="auto"/>
      </w:pPr>
      <w:r>
        <w:separator/>
      </w:r>
    </w:p>
  </w:endnote>
  <w:endnote w:type="continuationSeparator" w:id="0">
    <w:p w:rsidR="00B670B1" w:rsidRDefault="00B670B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670B1" w:rsidTr="00CA64B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670B1" w:rsidRPr="00CA64BB" w:rsidRDefault="00B670B1" w:rsidP="00CA64B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6763D">
            <w:rPr>
              <w:noProof/>
            </w:rPr>
            <w:t>12</w:t>
          </w:r>
          <w:r>
            <w:fldChar w:fldCharType="end"/>
          </w:r>
          <w:r>
            <w:t>/</w:t>
          </w:r>
          <w:r w:rsidR="0046763D">
            <w:fldChar w:fldCharType="begin"/>
          </w:r>
          <w:r w:rsidR="0046763D">
            <w:instrText xml:space="preserve"> NUMPAGES  \* Arabic  \* MERGEFORMAT </w:instrText>
          </w:r>
          <w:r w:rsidR="0046763D">
            <w:fldChar w:fldCharType="separate"/>
          </w:r>
          <w:r w:rsidR="0046763D">
            <w:rPr>
              <w:noProof/>
            </w:rPr>
            <w:t>12</w:t>
          </w:r>
          <w:r w:rsidR="0046763D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670B1" w:rsidRPr="00CA64BB" w:rsidRDefault="00E542A6" w:rsidP="00CA64B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6763D">
            <w:rPr>
              <w:b w:val="0"/>
              <w:color w:val="000000"/>
              <w:sz w:val="14"/>
            </w:rPr>
            <w:t>GE.15-07232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670B1" w:rsidRPr="00CA64BB" w:rsidRDefault="00B670B1" w:rsidP="00CA6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670B1" w:rsidTr="00CA64B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670B1" w:rsidRPr="00CA64BB" w:rsidRDefault="00E542A6" w:rsidP="00CA64B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6763D">
            <w:rPr>
              <w:b w:val="0"/>
              <w:color w:val="000000"/>
              <w:sz w:val="14"/>
            </w:rPr>
            <w:t>GE.15-07232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670B1" w:rsidRPr="00CA64BB" w:rsidRDefault="00B670B1" w:rsidP="00CA64B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6763D">
            <w:rPr>
              <w:noProof/>
            </w:rPr>
            <w:t>11</w:t>
          </w:r>
          <w:r>
            <w:fldChar w:fldCharType="end"/>
          </w:r>
          <w:r>
            <w:t>/</w:t>
          </w:r>
          <w:r w:rsidR="0046763D">
            <w:fldChar w:fldCharType="begin"/>
          </w:r>
          <w:r w:rsidR="0046763D">
            <w:instrText xml:space="preserve"> NUMPAGES  \* Arabic  \* MERGEFORMAT </w:instrText>
          </w:r>
          <w:r w:rsidR="0046763D">
            <w:fldChar w:fldCharType="separate"/>
          </w:r>
          <w:r w:rsidR="0046763D">
            <w:rPr>
              <w:noProof/>
            </w:rPr>
            <w:t>12</w:t>
          </w:r>
          <w:r w:rsidR="0046763D">
            <w:rPr>
              <w:noProof/>
            </w:rPr>
            <w:fldChar w:fldCharType="end"/>
          </w:r>
        </w:p>
      </w:tc>
    </w:tr>
  </w:tbl>
  <w:p w:rsidR="00B670B1" w:rsidRPr="00CA64BB" w:rsidRDefault="00B670B1" w:rsidP="00CA64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670B1" w:rsidTr="00CA64BB">
      <w:tc>
        <w:tcPr>
          <w:tcW w:w="3873" w:type="dxa"/>
        </w:tcPr>
        <w:p w:rsidR="00E542A6" w:rsidRDefault="00E542A6" w:rsidP="00E542A6">
          <w:pPr>
            <w:pStyle w:val="ReleaseDate"/>
            <w:rPr>
              <w:color w:val="010000"/>
            </w:rPr>
          </w:pPr>
          <w:r>
            <w:rPr>
              <w:rFonts w:ascii="Barcode 3 of 9 by request" w:hAnsi="Barcode 3 of 9 by request"/>
              <w:noProof/>
              <w:spacing w:val="0"/>
              <w:w w:val="100"/>
              <w:sz w:val="24"/>
              <w:szCs w:val="22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-228600</wp:posOffset>
                </wp:positionV>
                <wp:extent cx="694690" cy="694690"/>
                <wp:effectExtent l="0" t="0" r="0" b="0"/>
                <wp:wrapNone/>
                <wp:docPr id="5" name="Picture 5" descr="http://undocs.org/m2/QRCode2.ashx?DS=GE.1507232R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2.ashx?DS=GE.1507232R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fldChar w:fldCharType="begin"/>
          </w:r>
          <w:r>
            <w:rPr>
              <w:noProof/>
              <w:lang w:eastAsia="ru-RU"/>
            </w:rPr>
            <w:instrText xml:space="preserve"> DOCVARIABLE "FooterJN" \* MERGEFORMAT </w:instrText>
          </w:r>
          <w:r>
            <w:rPr>
              <w:noProof/>
              <w:lang w:eastAsia="ru-RU"/>
            </w:rPr>
            <w:fldChar w:fldCharType="separate"/>
          </w:r>
          <w:r w:rsidR="0046763D">
            <w:rPr>
              <w:noProof/>
              <w:lang w:eastAsia="ru-RU"/>
            </w:rPr>
            <w:t>GE.15-07232</w:t>
          </w:r>
          <w:r>
            <w:rPr>
              <w:noProof/>
              <w:lang w:eastAsia="ru-RU"/>
            </w:rPr>
            <w:fldChar w:fldCharType="end"/>
          </w:r>
          <w:r>
            <w:t xml:space="preserve"> (R)</w:t>
          </w:r>
          <w:r>
            <w:rPr>
              <w:color w:val="010000"/>
            </w:rPr>
            <w:t xml:space="preserve">    140715    140715</w:t>
          </w:r>
        </w:p>
        <w:p w:rsidR="00B670B1" w:rsidRPr="00E542A6" w:rsidRDefault="00E542A6" w:rsidP="00E542A6">
          <w:pPr>
            <w:spacing w:before="120" w:line="200" w:lineRule="exact"/>
            <w:rPr>
              <w:rFonts w:ascii="Barcode 3 of 9 by request" w:hAnsi="Barcode 3 of 9 by request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t>*GE.1507232*</w:t>
          </w:r>
        </w:p>
      </w:tc>
      <w:tc>
        <w:tcPr>
          <w:tcW w:w="5127" w:type="dxa"/>
        </w:tcPr>
        <w:p w:rsidR="00B670B1" w:rsidRDefault="00B670B1" w:rsidP="00CA64B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ABC9912" wp14:editId="40491B2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70B1" w:rsidRPr="00CA64BB" w:rsidRDefault="00B670B1" w:rsidP="00CA64B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B1" w:rsidRPr="00B670B1" w:rsidRDefault="00B670B1" w:rsidP="00B670B1">
      <w:pPr>
        <w:pStyle w:val="Footer"/>
        <w:spacing w:after="80"/>
        <w:ind w:left="792"/>
        <w:rPr>
          <w:sz w:val="16"/>
        </w:rPr>
      </w:pPr>
      <w:r w:rsidRPr="00B670B1">
        <w:rPr>
          <w:sz w:val="16"/>
        </w:rPr>
        <w:t>__________________</w:t>
      </w:r>
    </w:p>
  </w:footnote>
  <w:footnote w:type="continuationSeparator" w:id="0">
    <w:p w:rsidR="00B670B1" w:rsidRPr="00B670B1" w:rsidRDefault="00B670B1" w:rsidP="00B670B1">
      <w:pPr>
        <w:pStyle w:val="Footer"/>
        <w:spacing w:after="80"/>
        <w:ind w:left="792"/>
        <w:rPr>
          <w:sz w:val="16"/>
        </w:rPr>
      </w:pPr>
      <w:r w:rsidRPr="00B670B1">
        <w:rPr>
          <w:sz w:val="16"/>
        </w:rPr>
        <w:t>__________________</w:t>
      </w:r>
    </w:p>
  </w:footnote>
  <w:footnote w:id="1">
    <w:p w:rsidR="00B670B1" w:rsidRPr="008062AB" w:rsidRDefault="00B670B1" w:rsidP="00B670B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bookmarkStart w:id="7" w:name="lt_pId411"/>
      <w:r>
        <w:tab/>
      </w:r>
      <w:proofErr w:type="gramStart"/>
      <w:r w:rsidRPr="008062AB">
        <w:t>Распространен</w:t>
      </w:r>
      <w:proofErr w:type="gramEnd"/>
      <w:r w:rsidRPr="008062AB">
        <w:t xml:space="preserve"> Межправительственной организацией по международным железнодорожным перевозкам (ОТИФ) в качестве документа OTIF/RID/RC/2015-A.</w:t>
      </w:r>
      <w:bookmarkEnd w:id="7"/>
      <w:r w:rsidRPr="00473174">
        <w:t xml:space="preserve"> </w:t>
      </w:r>
      <w:bookmarkStart w:id="8" w:name="lt_pId412"/>
      <w:r w:rsidRPr="008062AB">
        <w:t>Если не указано иное, другие документы, упоминаемые в настоящем докладе и имеющие условное обозначение</w:t>
      </w:r>
      <w:r w:rsidR="00860AAA">
        <w:t> </w:t>
      </w:r>
      <w:r w:rsidRPr="008062AB">
        <w:t>ECE/TRANS/WP.15/AC.1/, после которого указаны год и порядковый номер, были распространены ОТИФ под условным обозначением OTIF/RID/RC/, после которого указаны год и тот же порядковый номер.</w:t>
      </w:r>
      <w:bookmarkEnd w:id="8"/>
    </w:p>
  </w:footnote>
  <w:footnote w:id="2">
    <w:p w:rsidR="00B670B1" w:rsidRPr="00C46EAB" w:rsidRDefault="00860AAA" w:rsidP="00B670B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="00B670B1">
        <w:rPr>
          <w:rStyle w:val="FootnoteReference"/>
        </w:rPr>
        <w:footnoteRef/>
      </w:r>
      <w:r w:rsidR="00B670B1" w:rsidRPr="00C46EAB">
        <w:tab/>
      </w:r>
      <w:proofErr w:type="gramStart"/>
      <w:r w:rsidR="00B670B1" w:rsidRPr="008062AB">
        <w:t>Распространен</w:t>
      </w:r>
      <w:proofErr w:type="gramEnd"/>
      <w:r w:rsidR="00B670B1" w:rsidRPr="008062AB">
        <w:t xml:space="preserve"> Межправительственной организацией по международным железнодорожным перевозкам (ОТИФ) в качестве документа OTIF/RID/RC/2015-A/Add.1.</w:t>
      </w:r>
    </w:p>
  </w:footnote>
  <w:footnote w:id="3">
    <w:p w:rsidR="00B670B1" w:rsidRPr="008E6DBD" w:rsidRDefault="00B670B1" w:rsidP="00B670B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775389">
        <w:rPr>
          <w:rStyle w:val="FootnoteReference"/>
          <w:vertAlign w:val="baseline"/>
        </w:rPr>
        <w:t>*</w:t>
      </w:r>
      <w:r w:rsidRPr="00775389">
        <w:tab/>
      </w:r>
      <w:r>
        <w:t>Примечание</w:t>
      </w:r>
      <w:r w:rsidRPr="008E6DBD">
        <w:t xml:space="preserve"> </w:t>
      </w:r>
      <w:r>
        <w:t>с</w:t>
      </w:r>
      <w:r w:rsidRPr="008E6DBD">
        <w:t xml:space="preserve">екретариата: </w:t>
      </w:r>
      <w:r>
        <w:t xml:space="preserve">в соответствии с </w:t>
      </w:r>
      <w:r w:rsidRPr="008E6DBD">
        <w:t>правила</w:t>
      </w:r>
      <w:r>
        <w:t>ми</w:t>
      </w:r>
      <w:r w:rsidRPr="008E6DBD">
        <w:t xml:space="preserve"> Организации Объединенных </w:t>
      </w:r>
      <w:r w:rsidR="001604EF">
        <w:br/>
      </w:r>
      <w:r w:rsidRPr="008E6DBD">
        <w:t>Наций ссылки на опубликованны</w:t>
      </w:r>
      <w:r>
        <w:t>й</w:t>
      </w:r>
      <w:r w:rsidRPr="008E6DBD">
        <w:t xml:space="preserve"> доклад и его резюме </w:t>
      </w:r>
      <w:r>
        <w:t>приведены в документе</w:t>
      </w:r>
      <w:r w:rsidR="001604EF">
        <w:t> </w:t>
      </w:r>
      <w:r w:rsidRPr="008E6DBD">
        <w:t>ECE/TRANS/WP.15/AC.1/2015/22.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670B1" w:rsidRPr="0046763D" w:rsidTr="00CA64B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670B1" w:rsidRPr="00A3586E" w:rsidRDefault="00B670B1" w:rsidP="00CA64BB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A3586E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6763D">
            <w:rPr>
              <w:b/>
              <w:lang w:val="en-US"/>
            </w:rPr>
            <w:t>ECE/TRANS/WP.15/AC.1/138/Add.1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670B1" w:rsidRPr="00A3586E" w:rsidRDefault="00B670B1" w:rsidP="00CA64BB">
          <w:pPr>
            <w:pStyle w:val="Header"/>
            <w:rPr>
              <w:lang w:val="en-US"/>
            </w:rPr>
          </w:pPr>
        </w:p>
      </w:tc>
    </w:tr>
  </w:tbl>
  <w:p w:rsidR="00B670B1" w:rsidRPr="00A3586E" w:rsidRDefault="00B670B1" w:rsidP="00CA64B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670B1" w:rsidRPr="0046763D" w:rsidTr="00CA64B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670B1" w:rsidRDefault="00B670B1" w:rsidP="00CA64B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670B1" w:rsidRPr="00E542A6" w:rsidRDefault="00E542A6" w:rsidP="00CA64BB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  <w:lang w:val="en-US"/>
            </w:rPr>
            <w:fldChar w:fldCharType="begin"/>
          </w:r>
          <w:r>
            <w:rPr>
              <w:b/>
              <w:lang w:val="en-US"/>
            </w:rPr>
            <w:instrText xml:space="preserve"> DOCVARIABLE "symbol1" \* MERGEFORMAT </w:instrText>
          </w:r>
          <w:r>
            <w:rPr>
              <w:b/>
              <w:lang w:val="en-US"/>
            </w:rPr>
            <w:fldChar w:fldCharType="separate"/>
          </w:r>
          <w:r w:rsidR="0046763D">
            <w:rPr>
              <w:b/>
              <w:lang w:val="en-US"/>
            </w:rPr>
            <w:t>ECE/TRANS/WP.15/AC.1/138/Add.1</w:t>
          </w:r>
          <w:r>
            <w:rPr>
              <w:b/>
              <w:lang w:val="en-US"/>
            </w:rPr>
            <w:fldChar w:fldCharType="end"/>
          </w:r>
        </w:p>
      </w:tc>
    </w:tr>
  </w:tbl>
  <w:p w:rsidR="00B670B1" w:rsidRPr="00A3586E" w:rsidRDefault="00B670B1" w:rsidP="00CA64B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670B1" w:rsidRPr="0046763D" w:rsidTr="00CA64B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670B1" w:rsidRPr="00CA64BB" w:rsidRDefault="00B670B1" w:rsidP="00CA64B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670B1" w:rsidRDefault="00B670B1" w:rsidP="00CA64B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670B1" w:rsidRPr="00A3586E" w:rsidRDefault="00B670B1" w:rsidP="00CA64BB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A3586E">
            <w:rPr>
              <w:sz w:val="40"/>
              <w:lang w:val="en-US"/>
            </w:rPr>
            <w:t>ECE</w:t>
          </w:r>
          <w:r w:rsidRPr="00A3586E">
            <w:rPr>
              <w:sz w:val="20"/>
              <w:lang w:val="en-US"/>
            </w:rPr>
            <w:t>/TRANS/WP.15/AC.1/138/Add.1</w:t>
          </w:r>
        </w:p>
      </w:tc>
    </w:tr>
    <w:tr w:rsidR="00B670B1" w:rsidRPr="0046763D" w:rsidTr="00CA64B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70B1" w:rsidRPr="00CA64BB" w:rsidRDefault="00B670B1" w:rsidP="00CA64BB">
          <w:pPr>
            <w:pStyle w:val="Header"/>
            <w:spacing w:before="120"/>
            <w:jc w:val="center"/>
          </w:pPr>
          <w:r w:rsidRPr="00A3586E">
            <w:rPr>
              <w:lang w:val="en-US"/>
            </w:rP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3A5036C" wp14:editId="1C8135F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70B1" w:rsidRPr="00CA64BB" w:rsidRDefault="00B670B1" w:rsidP="00CA64B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70B1" w:rsidRPr="00CA64BB" w:rsidRDefault="00B670B1" w:rsidP="00CA64B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670B1" w:rsidRPr="00A3586E" w:rsidRDefault="00B670B1" w:rsidP="00CA64BB">
          <w:pPr>
            <w:pStyle w:val="Distribution"/>
            <w:rPr>
              <w:color w:val="000000"/>
              <w:lang w:val="en-US"/>
            </w:rPr>
          </w:pPr>
          <w:r w:rsidRPr="00A3586E">
            <w:rPr>
              <w:color w:val="000000"/>
              <w:lang w:val="en-US"/>
            </w:rPr>
            <w:t>Distr.: General</w:t>
          </w:r>
        </w:p>
        <w:p w:rsidR="00B670B1" w:rsidRPr="00A3586E" w:rsidRDefault="00B670B1" w:rsidP="00CA64BB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7</w:t>
          </w:r>
          <w:r w:rsidRPr="00A3586E">
            <w:rPr>
              <w:color w:val="000000"/>
              <w:lang w:val="en-US"/>
            </w:rPr>
            <w:t xml:space="preserve"> </w:t>
          </w:r>
          <w:r>
            <w:rPr>
              <w:color w:val="000000"/>
              <w:lang w:val="en-US"/>
            </w:rPr>
            <w:t>May</w:t>
          </w:r>
          <w:r w:rsidRPr="00A3586E">
            <w:rPr>
              <w:color w:val="000000"/>
              <w:lang w:val="en-US"/>
            </w:rPr>
            <w:t xml:space="preserve"> 2015</w:t>
          </w:r>
        </w:p>
        <w:p w:rsidR="00B670B1" w:rsidRPr="00A3586E" w:rsidRDefault="00B670B1" w:rsidP="00CA64BB">
          <w:pPr>
            <w:rPr>
              <w:color w:val="000000"/>
              <w:lang w:val="en-US"/>
            </w:rPr>
          </w:pPr>
          <w:r w:rsidRPr="00A3586E">
            <w:rPr>
              <w:color w:val="000000"/>
              <w:lang w:val="en-US"/>
            </w:rPr>
            <w:t>Russian</w:t>
          </w:r>
        </w:p>
        <w:p w:rsidR="00B670B1" w:rsidRPr="00A3586E" w:rsidRDefault="00B670B1" w:rsidP="00CA64BB">
          <w:pPr>
            <w:pStyle w:val="Original"/>
            <w:rPr>
              <w:color w:val="000000"/>
              <w:lang w:val="en-US"/>
            </w:rPr>
          </w:pPr>
          <w:r w:rsidRPr="00A3586E">
            <w:rPr>
              <w:color w:val="000000"/>
              <w:lang w:val="en-US"/>
            </w:rPr>
            <w:t>Original: English</w:t>
          </w:r>
        </w:p>
        <w:p w:rsidR="00B670B1" w:rsidRPr="00A3586E" w:rsidRDefault="00B670B1" w:rsidP="00CA64BB">
          <w:pPr>
            <w:rPr>
              <w:lang w:val="en-US"/>
            </w:rPr>
          </w:pPr>
        </w:p>
      </w:tc>
    </w:tr>
  </w:tbl>
  <w:p w:rsidR="00B670B1" w:rsidRPr="00A3586E" w:rsidRDefault="00B670B1" w:rsidP="00CA64B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Heading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CC90597E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9E3E1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28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A8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A4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D494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6F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8C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80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8E2E8D"/>
    <w:multiLevelType w:val="singleLevel"/>
    <w:tmpl w:val="7B68CED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12">
    <w:nsid w:val="03E75AE8"/>
    <w:multiLevelType w:val="singleLevel"/>
    <w:tmpl w:val="7B68CED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A7562F4"/>
    <w:multiLevelType w:val="singleLevel"/>
    <w:tmpl w:val="7B68CED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1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54E3B"/>
    <w:multiLevelType w:val="singleLevel"/>
    <w:tmpl w:val="7B68CED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17">
    <w:nsid w:val="15981087"/>
    <w:multiLevelType w:val="singleLevel"/>
    <w:tmpl w:val="7B68CED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18">
    <w:nsid w:val="15C430A2"/>
    <w:multiLevelType w:val="singleLevel"/>
    <w:tmpl w:val="7B68CED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97D0DBF"/>
    <w:multiLevelType w:val="hybridMultilevel"/>
    <w:tmpl w:val="AC969396"/>
    <w:lvl w:ilvl="0" w:tplc="671AEAAE">
      <w:start w:val="1"/>
      <w:numFmt w:val="decimal"/>
      <w:lvlText w:val="%1."/>
      <w:lvlJc w:val="left"/>
      <w:pPr>
        <w:ind w:left="2271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1E253887"/>
    <w:multiLevelType w:val="hybridMultilevel"/>
    <w:tmpl w:val="497EC7CC"/>
    <w:lvl w:ilvl="0" w:tplc="00B2240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86F4E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8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4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89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DAC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81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44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C8F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5530A9"/>
    <w:multiLevelType w:val="singleLevel"/>
    <w:tmpl w:val="7B68CED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23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4">
    <w:nsid w:val="31A12325"/>
    <w:multiLevelType w:val="hybridMultilevel"/>
    <w:tmpl w:val="FF0E5B48"/>
    <w:lvl w:ilvl="0" w:tplc="8DF2014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5358C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C0C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83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4A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2A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02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40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C09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473A2"/>
    <w:multiLevelType w:val="singleLevel"/>
    <w:tmpl w:val="7B68CED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27">
    <w:nsid w:val="542855A8"/>
    <w:multiLevelType w:val="singleLevel"/>
    <w:tmpl w:val="7B68CED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28">
    <w:nsid w:val="5DDA3B15"/>
    <w:multiLevelType w:val="hybridMultilevel"/>
    <w:tmpl w:val="B8AC4672"/>
    <w:lvl w:ilvl="0" w:tplc="36AE047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C1406C5A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39C7A14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E83C0714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64B858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856E7FA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7BF8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56709EA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B423CD0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E936C77"/>
    <w:multiLevelType w:val="singleLevel"/>
    <w:tmpl w:val="7B68CED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3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E1502"/>
    <w:multiLevelType w:val="hybridMultilevel"/>
    <w:tmpl w:val="3F18E378"/>
    <w:lvl w:ilvl="0" w:tplc="3624778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B36CE0D2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6C94EECA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3A64A02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971231E0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B1CA349C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0C6B7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A83EF1AE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6A4A34A2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88B37C7"/>
    <w:multiLevelType w:val="singleLevel"/>
    <w:tmpl w:val="7B68CED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num w:numId="1">
    <w:abstractNumId w:val="23"/>
  </w:num>
  <w:num w:numId="2">
    <w:abstractNumId w:val="2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3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4"/>
  </w:num>
  <w:num w:numId="16">
    <w:abstractNumId w:val="21"/>
  </w:num>
  <w:num w:numId="17">
    <w:abstractNumId w:val="10"/>
  </w:num>
  <w:num w:numId="18">
    <w:abstractNumId w:val="30"/>
  </w:num>
  <w:num w:numId="19">
    <w:abstractNumId w:val="19"/>
  </w:num>
  <w:num w:numId="20">
    <w:abstractNumId w:val="13"/>
  </w:num>
  <w:num w:numId="21">
    <w:abstractNumId w:val="32"/>
  </w:num>
  <w:num w:numId="22">
    <w:abstractNumId w:val="28"/>
  </w:num>
  <w:num w:numId="23">
    <w:abstractNumId w:val="20"/>
  </w:num>
  <w:num w:numId="24">
    <w:abstractNumId w:val="18"/>
  </w:num>
  <w:num w:numId="25">
    <w:abstractNumId w:val="33"/>
  </w:num>
  <w:num w:numId="26">
    <w:abstractNumId w:val="12"/>
  </w:num>
  <w:num w:numId="27">
    <w:abstractNumId w:val="17"/>
  </w:num>
  <w:num w:numId="28">
    <w:abstractNumId w:val="26"/>
  </w:num>
  <w:num w:numId="29">
    <w:abstractNumId w:val="16"/>
  </w:num>
  <w:num w:numId="30">
    <w:abstractNumId w:val="14"/>
  </w:num>
  <w:num w:numId="31">
    <w:abstractNumId w:val="11"/>
  </w:num>
  <w:num w:numId="32">
    <w:abstractNumId w:val="29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1507232"/>
    <w:docVar w:name="CreationDt" w:val="7/14/2015 8:56: AM"/>
    <w:docVar w:name="DocCategory" w:val="Doc"/>
    <w:docVar w:name="DocType" w:val="Final"/>
    <w:docVar w:name="DutyStation" w:val="Geneva"/>
    <w:docVar w:name="FooterJN" w:val="GE.15-07232"/>
    <w:docVar w:name="jobn" w:val="GE.15-07232(R)"/>
    <w:docVar w:name="jobnDT" w:val="GE.15-07232(R)   140715   "/>
    <w:docVar w:name="jobnDTDT" w:val="GE.15-07232 (R)   140715   140715"/>
    <w:docVar w:name="JobNo" w:val="GE.1507232R"/>
    <w:docVar w:name="JobNo2" w:val="1509238R"/>
    <w:docVar w:name="LocalDrive" w:val="0"/>
    <w:docVar w:name="OandT" w:val=" "/>
    <w:docVar w:name="PaperSize" w:val="A4"/>
    <w:docVar w:name="sss1" w:val="ECE/TRANS/WP.15/AC.1/138/Add.1"/>
    <w:docVar w:name="sss2" w:val="-"/>
    <w:docVar w:name="Symbol1" w:val="ECE/TRANS/WP.15/AC.1/138/Add.1"/>
    <w:docVar w:name="Symbol2" w:val="-"/>
  </w:docVars>
  <w:rsids>
    <w:rsidRoot w:val="00070D8D"/>
    <w:rsid w:val="00004615"/>
    <w:rsid w:val="00004756"/>
    <w:rsid w:val="00015201"/>
    <w:rsid w:val="00024A67"/>
    <w:rsid w:val="00025CF3"/>
    <w:rsid w:val="00033C1F"/>
    <w:rsid w:val="000513EF"/>
    <w:rsid w:val="000534FA"/>
    <w:rsid w:val="0005420D"/>
    <w:rsid w:val="00055EA2"/>
    <w:rsid w:val="00067A90"/>
    <w:rsid w:val="00070C37"/>
    <w:rsid w:val="00070D8D"/>
    <w:rsid w:val="00076F88"/>
    <w:rsid w:val="0008067C"/>
    <w:rsid w:val="00092464"/>
    <w:rsid w:val="000A111E"/>
    <w:rsid w:val="000A4A11"/>
    <w:rsid w:val="000C069D"/>
    <w:rsid w:val="000C67BC"/>
    <w:rsid w:val="000D6565"/>
    <w:rsid w:val="000E0F08"/>
    <w:rsid w:val="000E1D84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4EF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188E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6763D"/>
    <w:rsid w:val="0047660A"/>
    <w:rsid w:val="00487893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1E98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A7D4D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50FFA"/>
    <w:rsid w:val="0077374B"/>
    <w:rsid w:val="007746A3"/>
    <w:rsid w:val="00775389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60AAA"/>
    <w:rsid w:val="008739EB"/>
    <w:rsid w:val="008776BB"/>
    <w:rsid w:val="00880540"/>
    <w:rsid w:val="0088396E"/>
    <w:rsid w:val="008A1A7A"/>
    <w:rsid w:val="008A45EE"/>
    <w:rsid w:val="008A6853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C683D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3586E"/>
    <w:rsid w:val="00A46574"/>
    <w:rsid w:val="00A47B1B"/>
    <w:rsid w:val="00A63339"/>
    <w:rsid w:val="00A734D0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85A"/>
    <w:rsid w:val="00AF3B70"/>
    <w:rsid w:val="00B02B14"/>
    <w:rsid w:val="00B03D42"/>
    <w:rsid w:val="00B17940"/>
    <w:rsid w:val="00B17A11"/>
    <w:rsid w:val="00B2296A"/>
    <w:rsid w:val="00B2472B"/>
    <w:rsid w:val="00B2753B"/>
    <w:rsid w:val="00B30822"/>
    <w:rsid w:val="00B33139"/>
    <w:rsid w:val="00B47187"/>
    <w:rsid w:val="00B5129B"/>
    <w:rsid w:val="00B56376"/>
    <w:rsid w:val="00B606B7"/>
    <w:rsid w:val="00B62C69"/>
    <w:rsid w:val="00B666EC"/>
    <w:rsid w:val="00B670B1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A64BB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2A6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index heading" w:uiPriority="99"/>
    <w:lsdException w:name="caption" w:uiPriority="35" w:qFormat="1"/>
    <w:lsdException w:name="table of figures" w:uiPriority="99"/>
    <w:lsdException w:name="line number" w:semiHidden="0" w:unhideWhenUsed="0"/>
    <w:lsdException w:name="table of authorities" w:uiPriority="99"/>
    <w:lsdException w:name="macro" w:uiPriority="99"/>
    <w:lsdException w:name="toa heading" w:uiPriority="99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nhideWhenUsed="0" w:qFormat="1"/>
    <w:lsdException w:name="Note Heading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tabs>
        <w:tab w:val="num" w:pos="926"/>
      </w:tabs>
      <w:spacing w:before="240" w:after="60"/>
      <w:ind w:left="926" w:hanging="3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numPr>
        <w:ilvl w:val="1"/>
        <w:numId w:val="12"/>
      </w:numPr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numPr>
        <w:ilvl w:val="2"/>
        <w:numId w:val="12"/>
      </w:numPr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A3586E"/>
    <w:pPr>
      <w:numPr>
        <w:ilvl w:val="3"/>
        <w:numId w:val="12"/>
      </w:numPr>
      <w:suppressAutoHyphens/>
      <w:spacing w:line="240" w:lineRule="auto"/>
      <w:ind w:left="864" w:hanging="144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3586E"/>
    <w:pPr>
      <w:numPr>
        <w:ilvl w:val="4"/>
        <w:numId w:val="12"/>
      </w:numPr>
      <w:suppressAutoHyphens/>
      <w:spacing w:line="240" w:lineRule="auto"/>
      <w:ind w:left="1008" w:hanging="432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3586E"/>
    <w:pPr>
      <w:numPr>
        <w:ilvl w:val="5"/>
        <w:numId w:val="12"/>
      </w:numPr>
      <w:suppressAutoHyphens/>
      <w:spacing w:line="240" w:lineRule="auto"/>
      <w:ind w:left="1152" w:hanging="432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A3586E"/>
    <w:pPr>
      <w:numPr>
        <w:ilvl w:val="6"/>
        <w:numId w:val="12"/>
      </w:numPr>
      <w:suppressAutoHyphens/>
      <w:spacing w:line="240" w:lineRule="auto"/>
      <w:ind w:left="1296" w:hanging="288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A3586E"/>
    <w:pPr>
      <w:numPr>
        <w:ilvl w:val="7"/>
        <w:numId w:val="12"/>
      </w:numPr>
      <w:suppressAutoHyphens/>
      <w:spacing w:line="240" w:lineRule="auto"/>
      <w:ind w:left="1440" w:hanging="432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A3586E"/>
    <w:pPr>
      <w:numPr>
        <w:ilvl w:val="8"/>
        <w:numId w:val="12"/>
      </w:numPr>
      <w:suppressAutoHyphens/>
      <w:spacing w:line="240" w:lineRule="auto"/>
      <w:ind w:left="1584" w:hanging="144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,Footnote Reference/"/>
    <w:basedOn w:val="DefaultParagraphFont"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aliases w:val="2_G"/>
    <w:basedOn w:val="Normal"/>
    <w:link w:val="EndnoteTextChar"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semiHidden/>
    <w:unhideWhenUsed/>
    <w:rsid w:val="00CA64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A64B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64B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4B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A3586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A3586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ParaNoG">
    <w:name w:val="_ParaNo._G"/>
    <w:basedOn w:val="SingleTxtG"/>
    <w:rsid w:val="00A3586E"/>
    <w:pPr>
      <w:numPr>
        <w:numId w:val="17"/>
      </w:numPr>
      <w:tabs>
        <w:tab w:val="clear" w:pos="1494"/>
        <w:tab w:val="num" w:pos="1209"/>
      </w:tabs>
      <w:ind w:left="1209" w:hanging="360"/>
    </w:pPr>
  </w:style>
  <w:style w:type="paragraph" w:customStyle="1" w:styleId="SingleTxtG">
    <w:name w:val="_ Single Txt_G"/>
    <w:basedOn w:val="Normal"/>
    <w:link w:val="SingleTxtGChar"/>
    <w:rsid w:val="00A3586E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PageNumber">
    <w:name w:val="page number"/>
    <w:aliases w:val="7_G"/>
    <w:rsid w:val="00A3586E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A3586E"/>
    <w:pPr>
      <w:suppressAutoHyphens/>
      <w:spacing w:line="240" w:lineRule="atLeast"/>
    </w:pPr>
    <w:rPr>
      <w:rFonts w:eastAsia="Times New Roman" w:cs="Courier New"/>
      <w:spacing w:val="0"/>
      <w:w w:val="100"/>
      <w:kern w:val="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A3586E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A3586E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A3586E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A3586E"/>
    <w:pPr>
      <w:suppressAutoHyphens/>
      <w:spacing w:line="240" w:lineRule="atLeast"/>
      <w:ind w:left="1440" w:right="1440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SMG">
    <w:name w:val="__S_M_G"/>
    <w:basedOn w:val="Normal"/>
    <w:next w:val="Normal"/>
    <w:rsid w:val="00A3586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A3586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A3586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character" w:styleId="EndnoteReference">
    <w:name w:val="endnote reference"/>
    <w:aliases w:val="1_G"/>
    <w:rsid w:val="00A3586E"/>
    <w:rPr>
      <w:rFonts w:ascii="Times New Roman" w:hAnsi="Times New Roman"/>
      <w:sz w:val="18"/>
      <w:vertAlign w:val="superscript"/>
    </w:rPr>
  </w:style>
  <w:style w:type="paragraph" w:customStyle="1" w:styleId="XLargeG">
    <w:name w:val="__XLarge_G"/>
    <w:basedOn w:val="Normal"/>
    <w:next w:val="Normal"/>
    <w:rsid w:val="00A3586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A3586E"/>
    <w:pPr>
      <w:numPr>
        <w:numId w:val="15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LineNumber">
    <w:name w:val="line number"/>
    <w:rsid w:val="00A3586E"/>
    <w:rPr>
      <w:sz w:val="14"/>
    </w:rPr>
  </w:style>
  <w:style w:type="paragraph" w:customStyle="1" w:styleId="Bullet2G">
    <w:name w:val="_Bullet 2_G"/>
    <w:basedOn w:val="Normal"/>
    <w:rsid w:val="00A3586E"/>
    <w:pPr>
      <w:numPr>
        <w:numId w:val="16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A3586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A3586E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rsid w:val="00A3586E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A3586E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/>
    </w:rPr>
  </w:style>
  <w:style w:type="numbering" w:styleId="111111">
    <w:name w:val="Outline List 2"/>
    <w:basedOn w:val="NoList"/>
    <w:semiHidden/>
    <w:rsid w:val="00A3586E"/>
    <w:pPr>
      <w:numPr>
        <w:numId w:val="18"/>
      </w:numPr>
    </w:pPr>
  </w:style>
  <w:style w:type="numbering" w:styleId="1ai">
    <w:name w:val="Outline List 1"/>
    <w:basedOn w:val="NoList"/>
    <w:semiHidden/>
    <w:rsid w:val="00A3586E"/>
    <w:pPr>
      <w:numPr>
        <w:numId w:val="19"/>
      </w:numPr>
    </w:pPr>
  </w:style>
  <w:style w:type="numbering" w:styleId="ArticleSection">
    <w:name w:val="Outline List 3"/>
    <w:basedOn w:val="NoList"/>
    <w:semiHidden/>
    <w:rsid w:val="00A3586E"/>
    <w:pPr>
      <w:numPr>
        <w:numId w:val="20"/>
      </w:numPr>
    </w:pPr>
  </w:style>
  <w:style w:type="paragraph" w:styleId="BodyText2">
    <w:name w:val="Body Text 2"/>
    <w:basedOn w:val="Normal"/>
    <w:link w:val="BodyText2Char"/>
    <w:semiHidden/>
    <w:rsid w:val="00A3586E"/>
    <w:pPr>
      <w:suppressAutoHyphens/>
      <w:spacing w:after="120" w:line="480" w:lineRule="auto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A3586E"/>
    <w:pPr>
      <w:suppressAutoHyphens/>
      <w:spacing w:after="120" w:line="240" w:lineRule="atLeast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A3586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A3586E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A3586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A3586E"/>
    <w:pPr>
      <w:suppressAutoHyphens/>
      <w:spacing w:after="120" w:line="480" w:lineRule="auto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A3586E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3586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A3586E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A3586E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A3586E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A3586E"/>
    <w:rPr>
      <w:i/>
      <w:iCs/>
    </w:rPr>
  </w:style>
  <w:style w:type="paragraph" w:styleId="EnvelopeReturn">
    <w:name w:val="envelope return"/>
    <w:basedOn w:val="Normal"/>
    <w:semiHidden/>
    <w:rsid w:val="00A3586E"/>
    <w:pPr>
      <w:suppressAutoHyphens/>
      <w:spacing w:line="240" w:lineRule="atLeast"/>
    </w:pPr>
    <w:rPr>
      <w:rFonts w:ascii="Arial" w:eastAsia="Times New Roman" w:hAnsi="Arial" w:cs="Arial"/>
      <w:spacing w:val="0"/>
      <w:w w:val="100"/>
      <w:kern w:val="0"/>
      <w:szCs w:val="20"/>
      <w:lang w:val="en-GB"/>
    </w:rPr>
  </w:style>
  <w:style w:type="character" w:styleId="FollowedHyperlink">
    <w:name w:val="FollowedHyperlink"/>
    <w:semiHidden/>
    <w:rsid w:val="00A3586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A3586E"/>
  </w:style>
  <w:style w:type="paragraph" w:styleId="HTMLAddress">
    <w:name w:val="HTML Address"/>
    <w:basedOn w:val="Normal"/>
    <w:link w:val="HTMLAddressChar"/>
    <w:semiHidden/>
    <w:rsid w:val="00A3586E"/>
    <w:pPr>
      <w:suppressAutoHyphens/>
      <w:spacing w:line="240" w:lineRule="atLeast"/>
    </w:pPr>
    <w:rPr>
      <w:rFonts w:eastAsia="Times New Roman"/>
      <w:i/>
      <w:iCs/>
      <w:spacing w:val="0"/>
      <w:w w:val="100"/>
      <w:kern w:val="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A3586E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A3586E"/>
    <w:rPr>
      <w:i/>
      <w:iCs/>
    </w:rPr>
  </w:style>
  <w:style w:type="character" w:styleId="HTMLCode">
    <w:name w:val="HTML Code"/>
    <w:semiHidden/>
    <w:rsid w:val="00A3586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86E"/>
    <w:rPr>
      <w:i/>
      <w:iCs/>
    </w:rPr>
  </w:style>
  <w:style w:type="character" w:styleId="HTMLKeyboard">
    <w:name w:val="HTML Keyboard"/>
    <w:semiHidden/>
    <w:rsid w:val="00A3586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3586E"/>
    <w:pPr>
      <w:suppressAutoHyphens/>
      <w:spacing w:line="240" w:lineRule="atLeast"/>
    </w:pPr>
    <w:rPr>
      <w:rFonts w:ascii="Courier New" w:eastAsia="Times New Roman" w:hAnsi="Courier New" w:cs="Courier New"/>
      <w:spacing w:val="0"/>
      <w:w w:val="100"/>
      <w:kern w:val="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3586E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A3586E"/>
    <w:rPr>
      <w:rFonts w:ascii="Courier New" w:hAnsi="Courier New" w:cs="Courier New"/>
    </w:rPr>
  </w:style>
  <w:style w:type="character" w:styleId="HTMLTypewriter">
    <w:name w:val="HTML Typewriter"/>
    <w:semiHidden/>
    <w:rsid w:val="00A3586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86E"/>
    <w:rPr>
      <w:i/>
      <w:iCs/>
    </w:rPr>
  </w:style>
  <w:style w:type="character" w:styleId="Hyperlink">
    <w:name w:val="Hyperlink"/>
    <w:semiHidden/>
    <w:rsid w:val="00A3586E"/>
    <w:rPr>
      <w:color w:val="0000FF"/>
      <w:u w:val="single"/>
    </w:rPr>
  </w:style>
  <w:style w:type="paragraph" w:styleId="List">
    <w:name w:val="List"/>
    <w:basedOn w:val="Normal"/>
    <w:semiHidden/>
    <w:rsid w:val="00A3586E"/>
    <w:pPr>
      <w:suppressAutoHyphens/>
      <w:spacing w:line="240" w:lineRule="atLeast"/>
      <w:ind w:left="283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2">
    <w:name w:val="List 2"/>
    <w:basedOn w:val="Normal"/>
    <w:semiHidden/>
    <w:rsid w:val="00A3586E"/>
    <w:pPr>
      <w:suppressAutoHyphens/>
      <w:spacing w:line="240" w:lineRule="atLeast"/>
      <w:ind w:left="566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3">
    <w:name w:val="List 3"/>
    <w:basedOn w:val="Normal"/>
    <w:semiHidden/>
    <w:rsid w:val="00A3586E"/>
    <w:pPr>
      <w:suppressAutoHyphens/>
      <w:spacing w:line="240" w:lineRule="atLeast"/>
      <w:ind w:left="849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4">
    <w:name w:val="List 4"/>
    <w:basedOn w:val="Normal"/>
    <w:semiHidden/>
    <w:rsid w:val="00A3586E"/>
    <w:pPr>
      <w:suppressAutoHyphens/>
      <w:spacing w:line="240" w:lineRule="atLeast"/>
      <w:ind w:left="1132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5">
    <w:name w:val="List 5"/>
    <w:basedOn w:val="Normal"/>
    <w:semiHidden/>
    <w:rsid w:val="00A3586E"/>
    <w:pPr>
      <w:suppressAutoHyphens/>
      <w:spacing w:line="240" w:lineRule="atLeast"/>
      <w:ind w:left="1415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">
    <w:name w:val="List Bullet"/>
    <w:basedOn w:val="Normal"/>
    <w:semiHidden/>
    <w:rsid w:val="00A3586E"/>
    <w:pPr>
      <w:numPr>
        <w:numId w:val="10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2">
    <w:name w:val="List Bullet 2"/>
    <w:basedOn w:val="Normal"/>
    <w:semiHidden/>
    <w:rsid w:val="00A3586E"/>
    <w:pPr>
      <w:numPr>
        <w:numId w:val="11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3">
    <w:name w:val="List Bullet 3"/>
    <w:basedOn w:val="Normal"/>
    <w:semiHidden/>
    <w:rsid w:val="00A3586E"/>
    <w:pPr>
      <w:tabs>
        <w:tab w:val="num" w:pos="926"/>
      </w:tabs>
      <w:suppressAutoHyphens/>
      <w:spacing w:line="240" w:lineRule="atLeast"/>
      <w:ind w:left="926" w:hanging="360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4">
    <w:name w:val="List Bullet 4"/>
    <w:basedOn w:val="Normal"/>
    <w:semiHidden/>
    <w:rsid w:val="00A3586E"/>
    <w:pPr>
      <w:numPr>
        <w:numId w:val="13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5">
    <w:name w:val="List Bullet 5"/>
    <w:basedOn w:val="Normal"/>
    <w:semiHidden/>
    <w:rsid w:val="00A3586E"/>
    <w:pPr>
      <w:numPr>
        <w:numId w:val="14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3">
    <w:name w:val="List Continue 3"/>
    <w:basedOn w:val="Normal"/>
    <w:semiHidden/>
    <w:rsid w:val="00A3586E"/>
    <w:pPr>
      <w:suppressAutoHyphens/>
      <w:spacing w:after="120" w:line="240" w:lineRule="atLeast"/>
      <w:ind w:left="849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4">
    <w:name w:val="List Continue 4"/>
    <w:basedOn w:val="Normal"/>
    <w:semiHidden/>
    <w:rsid w:val="00A3586E"/>
    <w:pPr>
      <w:suppressAutoHyphens/>
      <w:spacing w:after="120" w:line="240" w:lineRule="atLeast"/>
      <w:ind w:left="1132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5">
    <w:name w:val="List Continue 5"/>
    <w:basedOn w:val="Normal"/>
    <w:semiHidden/>
    <w:rsid w:val="00A3586E"/>
    <w:pPr>
      <w:suppressAutoHyphens/>
      <w:spacing w:after="120" w:line="240" w:lineRule="atLeast"/>
      <w:ind w:left="141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A358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A3586E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A3586E"/>
    <w:pPr>
      <w:suppressAutoHyphens/>
      <w:spacing w:line="240" w:lineRule="atLeast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A3586E"/>
    <w:pPr>
      <w:suppressAutoHyphens/>
      <w:spacing w:line="240" w:lineRule="atLeast"/>
      <w:ind w:left="567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Titredenote1">
    <w:name w:val="Titre de note1"/>
    <w:basedOn w:val="Normal"/>
    <w:next w:val="Normal"/>
    <w:semiHidden/>
    <w:rsid w:val="00A3586E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A3586E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A3586E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A3586E"/>
    <w:rPr>
      <w:b/>
      <w:bCs/>
    </w:rPr>
  </w:style>
  <w:style w:type="paragraph" w:styleId="Subtitle">
    <w:name w:val="Subtitle"/>
    <w:basedOn w:val="Normal"/>
    <w:link w:val="SubtitleChar"/>
    <w:qFormat/>
    <w:rsid w:val="00A3586E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A3586E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fr-FR" w:eastAsia="fr-FR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">
    <w:name w:val="Table Grid"/>
    <w:basedOn w:val="TableNormal"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link w:val="TitleChar"/>
    <w:qFormat/>
    <w:rsid w:val="00A3586E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A3586E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A3586E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rsid w:val="00A3586E"/>
    <w:pPr>
      <w:shd w:val="clear" w:color="auto" w:fill="000080"/>
      <w:suppressAutoHyphens/>
      <w:spacing w:line="240" w:lineRule="atLeast"/>
    </w:pPr>
    <w:rPr>
      <w:rFonts w:ascii="Tahoma" w:eastAsia="Times New Roman" w:hAnsi="Tahoma" w:cs="Tahoma"/>
      <w:spacing w:val="0"/>
      <w:w w:val="100"/>
      <w:kern w:val="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A3586E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SingleTxtGChar">
    <w:name w:val="_ Single Txt_G Char"/>
    <w:link w:val="SingleTxtG"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1GChar">
    <w:name w:val="_ H_1_G Char"/>
    <w:link w:val="H1G"/>
    <w:rsid w:val="00A3586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Rom2">
    <w:name w:val="Rom2"/>
    <w:basedOn w:val="SingleTxtG"/>
    <w:semiHidden/>
    <w:rsid w:val="00A3586E"/>
    <w:pPr>
      <w:ind w:left="2835" w:hanging="397"/>
    </w:pPr>
    <w:rPr>
      <w:lang w:val="fr-CH"/>
    </w:rPr>
  </w:style>
  <w:style w:type="table" w:customStyle="1" w:styleId="TableGrid10">
    <w:name w:val="Table Grid1"/>
    <w:basedOn w:val="TableNormal"/>
    <w:next w:val="TableGrid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textSpalte">
    <w:name w:val="Normaltext Spalte"/>
    <w:basedOn w:val="Normal"/>
    <w:rsid w:val="00A3586E"/>
    <w:pPr>
      <w:tabs>
        <w:tab w:val="left" w:pos="425"/>
        <w:tab w:val="left" w:pos="851"/>
        <w:tab w:val="left" w:pos="1276"/>
      </w:tabs>
      <w:spacing w:before="180" w:line="240" w:lineRule="auto"/>
      <w:jc w:val="both"/>
    </w:pPr>
    <w:rPr>
      <w:rFonts w:ascii="Arial" w:eastAsia="Times New Roman" w:hAnsi="Arial"/>
      <w:color w:val="000000"/>
      <w:spacing w:val="0"/>
      <w:w w:val="100"/>
      <w:kern w:val="0"/>
      <w:sz w:val="18"/>
      <w:szCs w:val="20"/>
      <w:lang w:val="de-DE" w:eastAsia="de-DE"/>
    </w:rPr>
  </w:style>
  <w:style w:type="paragraph" w:styleId="BalloonText">
    <w:name w:val="Balloon Text"/>
    <w:basedOn w:val="Normal"/>
    <w:link w:val="BalloonTextChar"/>
    <w:semiHidden/>
    <w:rsid w:val="00A3586E"/>
    <w:pPr>
      <w:suppressAutoHyphens/>
      <w:spacing w:line="240" w:lineRule="atLeast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A3586E"/>
    <w:rPr>
      <w:rFonts w:ascii="Tahoma" w:eastAsia="Times New Roman" w:hAnsi="Tahoma" w:cs="Tahoma"/>
      <w:sz w:val="16"/>
      <w:szCs w:val="16"/>
      <w:lang w:val="en-GB"/>
    </w:rPr>
  </w:style>
  <w:style w:type="character" w:customStyle="1" w:styleId="SingleTxtGCar">
    <w:name w:val="_ Single Txt_G Car"/>
    <w:rsid w:val="00A3586E"/>
    <w:rPr>
      <w:lang w:val="fr-CH" w:eastAsia="en-US" w:bidi="ar-SA"/>
    </w:rPr>
  </w:style>
  <w:style w:type="character" w:customStyle="1" w:styleId="HChGChar">
    <w:name w:val="_ H _Ch_G Char"/>
    <w:link w:val="HChG"/>
    <w:rsid w:val="00A3586E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index heading" w:uiPriority="99"/>
    <w:lsdException w:name="caption" w:uiPriority="35" w:qFormat="1"/>
    <w:lsdException w:name="table of figures" w:uiPriority="99"/>
    <w:lsdException w:name="line number" w:semiHidden="0" w:unhideWhenUsed="0"/>
    <w:lsdException w:name="table of authorities" w:uiPriority="99"/>
    <w:lsdException w:name="macro" w:uiPriority="99"/>
    <w:lsdException w:name="toa heading" w:uiPriority="99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nhideWhenUsed="0" w:qFormat="1"/>
    <w:lsdException w:name="Note Heading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tabs>
        <w:tab w:val="num" w:pos="926"/>
      </w:tabs>
      <w:spacing w:before="240" w:after="60"/>
      <w:ind w:left="926" w:hanging="3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numPr>
        <w:ilvl w:val="1"/>
        <w:numId w:val="12"/>
      </w:numPr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numPr>
        <w:ilvl w:val="2"/>
        <w:numId w:val="12"/>
      </w:numPr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A3586E"/>
    <w:pPr>
      <w:numPr>
        <w:ilvl w:val="3"/>
        <w:numId w:val="12"/>
      </w:numPr>
      <w:suppressAutoHyphens/>
      <w:spacing w:line="240" w:lineRule="auto"/>
      <w:ind w:left="864" w:hanging="144"/>
      <w:outlineLvl w:val="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3586E"/>
    <w:pPr>
      <w:numPr>
        <w:ilvl w:val="4"/>
        <w:numId w:val="12"/>
      </w:numPr>
      <w:suppressAutoHyphens/>
      <w:spacing w:line="240" w:lineRule="auto"/>
      <w:ind w:left="1008" w:hanging="432"/>
      <w:outlineLvl w:val="4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3586E"/>
    <w:pPr>
      <w:numPr>
        <w:ilvl w:val="5"/>
        <w:numId w:val="12"/>
      </w:numPr>
      <w:suppressAutoHyphens/>
      <w:spacing w:line="240" w:lineRule="auto"/>
      <w:ind w:left="1152" w:hanging="432"/>
      <w:outlineLvl w:val="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A3586E"/>
    <w:pPr>
      <w:numPr>
        <w:ilvl w:val="6"/>
        <w:numId w:val="12"/>
      </w:numPr>
      <w:suppressAutoHyphens/>
      <w:spacing w:line="240" w:lineRule="auto"/>
      <w:ind w:left="1296" w:hanging="288"/>
      <w:outlineLvl w:val="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A3586E"/>
    <w:pPr>
      <w:numPr>
        <w:ilvl w:val="7"/>
        <w:numId w:val="12"/>
      </w:numPr>
      <w:suppressAutoHyphens/>
      <w:spacing w:line="240" w:lineRule="auto"/>
      <w:ind w:left="1440" w:hanging="432"/>
      <w:outlineLvl w:val="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A3586E"/>
    <w:pPr>
      <w:numPr>
        <w:ilvl w:val="8"/>
        <w:numId w:val="12"/>
      </w:numPr>
      <w:suppressAutoHyphens/>
      <w:spacing w:line="240" w:lineRule="auto"/>
      <w:ind w:left="1584" w:hanging="144"/>
      <w:outlineLvl w:val="8"/>
    </w:pPr>
    <w:rPr>
      <w:rFonts w:eastAsia="Times New Roma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,Footnote Reference/"/>
    <w:basedOn w:val="DefaultParagraphFont"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aliases w:val="2_G"/>
    <w:basedOn w:val="Normal"/>
    <w:link w:val="EndnoteTextChar"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semiHidden/>
    <w:unhideWhenUsed/>
    <w:rsid w:val="00CA64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A64B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64B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4B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A3586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A3586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ParaNoG">
    <w:name w:val="_ParaNo._G"/>
    <w:basedOn w:val="SingleTxtG"/>
    <w:rsid w:val="00A3586E"/>
    <w:pPr>
      <w:numPr>
        <w:numId w:val="17"/>
      </w:numPr>
      <w:tabs>
        <w:tab w:val="clear" w:pos="1494"/>
        <w:tab w:val="num" w:pos="1209"/>
      </w:tabs>
      <w:ind w:left="1209" w:hanging="360"/>
    </w:pPr>
  </w:style>
  <w:style w:type="paragraph" w:customStyle="1" w:styleId="SingleTxtG">
    <w:name w:val="_ Single Txt_G"/>
    <w:basedOn w:val="Normal"/>
    <w:link w:val="SingleTxtGChar"/>
    <w:rsid w:val="00A3586E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PageNumber">
    <w:name w:val="page number"/>
    <w:aliases w:val="7_G"/>
    <w:rsid w:val="00A3586E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A3586E"/>
    <w:pPr>
      <w:suppressAutoHyphens/>
      <w:spacing w:line="240" w:lineRule="atLeast"/>
    </w:pPr>
    <w:rPr>
      <w:rFonts w:eastAsia="Times New Roman" w:cs="Courier New"/>
      <w:spacing w:val="0"/>
      <w:w w:val="100"/>
      <w:kern w:val="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A3586E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A3586E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A3586E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A3586E"/>
    <w:pPr>
      <w:suppressAutoHyphens/>
      <w:spacing w:line="240" w:lineRule="atLeast"/>
      <w:ind w:left="1440" w:right="1440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SMG">
    <w:name w:val="__S_M_G"/>
    <w:basedOn w:val="Normal"/>
    <w:next w:val="Normal"/>
    <w:rsid w:val="00A3586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A3586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A3586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character" w:styleId="EndnoteReference">
    <w:name w:val="endnote reference"/>
    <w:aliases w:val="1_G"/>
    <w:rsid w:val="00A3586E"/>
    <w:rPr>
      <w:rFonts w:ascii="Times New Roman" w:hAnsi="Times New Roman"/>
      <w:sz w:val="18"/>
      <w:vertAlign w:val="superscript"/>
    </w:rPr>
  </w:style>
  <w:style w:type="paragraph" w:customStyle="1" w:styleId="XLargeG">
    <w:name w:val="__XLarge_G"/>
    <w:basedOn w:val="Normal"/>
    <w:next w:val="Normal"/>
    <w:rsid w:val="00A3586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A3586E"/>
    <w:pPr>
      <w:numPr>
        <w:numId w:val="15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character" w:styleId="LineNumber">
    <w:name w:val="line number"/>
    <w:rsid w:val="00A3586E"/>
    <w:rPr>
      <w:sz w:val="14"/>
    </w:rPr>
  </w:style>
  <w:style w:type="paragraph" w:customStyle="1" w:styleId="Bullet2G">
    <w:name w:val="_Bullet 2_G"/>
    <w:basedOn w:val="Normal"/>
    <w:rsid w:val="00A3586E"/>
    <w:pPr>
      <w:numPr>
        <w:numId w:val="16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A3586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A3586E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rsid w:val="00A3586E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A3586E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/>
    </w:rPr>
  </w:style>
  <w:style w:type="numbering" w:styleId="111111">
    <w:name w:val="Outline List 2"/>
    <w:basedOn w:val="NoList"/>
    <w:semiHidden/>
    <w:rsid w:val="00A3586E"/>
    <w:pPr>
      <w:numPr>
        <w:numId w:val="18"/>
      </w:numPr>
    </w:pPr>
  </w:style>
  <w:style w:type="numbering" w:styleId="1ai">
    <w:name w:val="Outline List 1"/>
    <w:basedOn w:val="NoList"/>
    <w:semiHidden/>
    <w:rsid w:val="00A3586E"/>
    <w:pPr>
      <w:numPr>
        <w:numId w:val="19"/>
      </w:numPr>
    </w:pPr>
  </w:style>
  <w:style w:type="numbering" w:styleId="ArticleSection">
    <w:name w:val="Outline List 3"/>
    <w:basedOn w:val="NoList"/>
    <w:semiHidden/>
    <w:rsid w:val="00A3586E"/>
    <w:pPr>
      <w:numPr>
        <w:numId w:val="20"/>
      </w:numPr>
    </w:pPr>
  </w:style>
  <w:style w:type="paragraph" w:styleId="BodyText2">
    <w:name w:val="Body Text 2"/>
    <w:basedOn w:val="Normal"/>
    <w:link w:val="BodyText2Char"/>
    <w:semiHidden/>
    <w:rsid w:val="00A3586E"/>
    <w:pPr>
      <w:suppressAutoHyphens/>
      <w:spacing w:after="120" w:line="480" w:lineRule="auto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A3586E"/>
    <w:pPr>
      <w:suppressAutoHyphens/>
      <w:spacing w:after="120" w:line="240" w:lineRule="atLeast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A3586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A3586E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A3586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A3586E"/>
    <w:pPr>
      <w:suppressAutoHyphens/>
      <w:spacing w:after="120" w:line="480" w:lineRule="auto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A3586E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3586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A3586E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A3586E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A3586E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A3586E"/>
    <w:rPr>
      <w:i/>
      <w:iCs/>
    </w:rPr>
  </w:style>
  <w:style w:type="paragraph" w:styleId="EnvelopeReturn">
    <w:name w:val="envelope return"/>
    <w:basedOn w:val="Normal"/>
    <w:semiHidden/>
    <w:rsid w:val="00A3586E"/>
    <w:pPr>
      <w:suppressAutoHyphens/>
      <w:spacing w:line="240" w:lineRule="atLeast"/>
    </w:pPr>
    <w:rPr>
      <w:rFonts w:ascii="Arial" w:eastAsia="Times New Roman" w:hAnsi="Arial" w:cs="Arial"/>
      <w:spacing w:val="0"/>
      <w:w w:val="100"/>
      <w:kern w:val="0"/>
      <w:szCs w:val="20"/>
      <w:lang w:val="en-GB"/>
    </w:rPr>
  </w:style>
  <w:style w:type="character" w:styleId="FollowedHyperlink">
    <w:name w:val="FollowedHyperlink"/>
    <w:semiHidden/>
    <w:rsid w:val="00A3586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A3586E"/>
  </w:style>
  <w:style w:type="paragraph" w:styleId="HTMLAddress">
    <w:name w:val="HTML Address"/>
    <w:basedOn w:val="Normal"/>
    <w:link w:val="HTMLAddressChar"/>
    <w:semiHidden/>
    <w:rsid w:val="00A3586E"/>
    <w:pPr>
      <w:suppressAutoHyphens/>
      <w:spacing w:line="240" w:lineRule="atLeast"/>
    </w:pPr>
    <w:rPr>
      <w:rFonts w:eastAsia="Times New Roman"/>
      <w:i/>
      <w:iCs/>
      <w:spacing w:val="0"/>
      <w:w w:val="100"/>
      <w:kern w:val="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A3586E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A3586E"/>
    <w:rPr>
      <w:i/>
      <w:iCs/>
    </w:rPr>
  </w:style>
  <w:style w:type="character" w:styleId="HTMLCode">
    <w:name w:val="HTML Code"/>
    <w:semiHidden/>
    <w:rsid w:val="00A3586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86E"/>
    <w:rPr>
      <w:i/>
      <w:iCs/>
    </w:rPr>
  </w:style>
  <w:style w:type="character" w:styleId="HTMLKeyboard">
    <w:name w:val="HTML Keyboard"/>
    <w:semiHidden/>
    <w:rsid w:val="00A3586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3586E"/>
    <w:pPr>
      <w:suppressAutoHyphens/>
      <w:spacing w:line="240" w:lineRule="atLeast"/>
    </w:pPr>
    <w:rPr>
      <w:rFonts w:ascii="Courier New" w:eastAsia="Times New Roman" w:hAnsi="Courier New" w:cs="Courier New"/>
      <w:spacing w:val="0"/>
      <w:w w:val="100"/>
      <w:kern w:val="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3586E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A3586E"/>
    <w:rPr>
      <w:rFonts w:ascii="Courier New" w:hAnsi="Courier New" w:cs="Courier New"/>
    </w:rPr>
  </w:style>
  <w:style w:type="character" w:styleId="HTMLTypewriter">
    <w:name w:val="HTML Typewriter"/>
    <w:semiHidden/>
    <w:rsid w:val="00A3586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86E"/>
    <w:rPr>
      <w:i/>
      <w:iCs/>
    </w:rPr>
  </w:style>
  <w:style w:type="character" w:styleId="Hyperlink">
    <w:name w:val="Hyperlink"/>
    <w:semiHidden/>
    <w:rsid w:val="00A3586E"/>
    <w:rPr>
      <w:color w:val="0000FF"/>
      <w:u w:val="single"/>
    </w:rPr>
  </w:style>
  <w:style w:type="paragraph" w:styleId="List">
    <w:name w:val="List"/>
    <w:basedOn w:val="Normal"/>
    <w:semiHidden/>
    <w:rsid w:val="00A3586E"/>
    <w:pPr>
      <w:suppressAutoHyphens/>
      <w:spacing w:line="240" w:lineRule="atLeast"/>
      <w:ind w:left="283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2">
    <w:name w:val="List 2"/>
    <w:basedOn w:val="Normal"/>
    <w:semiHidden/>
    <w:rsid w:val="00A3586E"/>
    <w:pPr>
      <w:suppressAutoHyphens/>
      <w:spacing w:line="240" w:lineRule="atLeast"/>
      <w:ind w:left="566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3">
    <w:name w:val="List 3"/>
    <w:basedOn w:val="Normal"/>
    <w:semiHidden/>
    <w:rsid w:val="00A3586E"/>
    <w:pPr>
      <w:suppressAutoHyphens/>
      <w:spacing w:line="240" w:lineRule="atLeast"/>
      <w:ind w:left="849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4">
    <w:name w:val="List 4"/>
    <w:basedOn w:val="Normal"/>
    <w:semiHidden/>
    <w:rsid w:val="00A3586E"/>
    <w:pPr>
      <w:suppressAutoHyphens/>
      <w:spacing w:line="240" w:lineRule="atLeast"/>
      <w:ind w:left="1132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5">
    <w:name w:val="List 5"/>
    <w:basedOn w:val="Normal"/>
    <w:semiHidden/>
    <w:rsid w:val="00A3586E"/>
    <w:pPr>
      <w:suppressAutoHyphens/>
      <w:spacing w:line="240" w:lineRule="atLeast"/>
      <w:ind w:left="1415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">
    <w:name w:val="List Bullet"/>
    <w:basedOn w:val="Normal"/>
    <w:semiHidden/>
    <w:rsid w:val="00A3586E"/>
    <w:pPr>
      <w:numPr>
        <w:numId w:val="10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2">
    <w:name w:val="List Bullet 2"/>
    <w:basedOn w:val="Normal"/>
    <w:semiHidden/>
    <w:rsid w:val="00A3586E"/>
    <w:pPr>
      <w:numPr>
        <w:numId w:val="11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3">
    <w:name w:val="List Bullet 3"/>
    <w:basedOn w:val="Normal"/>
    <w:semiHidden/>
    <w:rsid w:val="00A3586E"/>
    <w:pPr>
      <w:tabs>
        <w:tab w:val="num" w:pos="926"/>
      </w:tabs>
      <w:suppressAutoHyphens/>
      <w:spacing w:line="240" w:lineRule="atLeast"/>
      <w:ind w:left="926" w:hanging="360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4">
    <w:name w:val="List Bullet 4"/>
    <w:basedOn w:val="Normal"/>
    <w:semiHidden/>
    <w:rsid w:val="00A3586E"/>
    <w:pPr>
      <w:numPr>
        <w:numId w:val="13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5">
    <w:name w:val="List Bullet 5"/>
    <w:basedOn w:val="Normal"/>
    <w:semiHidden/>
    <w:rsid w:val="00A3586E"/>
    <w:pPr>
      <w:numPr>
        <w:numId w:val="14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3">
    <w:name w:val="List Continue 3"/>
    <w:basedOn w:val="Normal"/>
    <w:semiHidden/>
    <w:rsid w:val="00A3586E"/>
    <w:pPr>
      <w:suppressAutoHyphens/>
      <w:spacing w:after="120" w:line="240" w:lineRule="atLeast"/>
      <w:ind w:left="849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4">
    <w:name w:val="List Continue 4"/>
    <w:basedOn w:val="Normal"/>
    <w:semiHidden/>
    <w:rsid w:val="00A3586E"/>
    <w:pPr>
      <w:suppressAutoHyphens/>
      <w:spacing w:after="120" w:line="240" w:lineRule="atLeast"/>
      <w:ind w:left="1132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5">
    <w:name w:val="List Continue 5"/>
    <w:basedOn w:val="Normal"/>
    <w:semiHidden/>
    <w:rsid w:val="00A3586E"/>
    <w:pPr>
      <w:suppressAutoHyphens/>
      <w:spacing w:after="120" w:line="240" w:lineRule="atLeast"/>
      <w:ind w:left="141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A358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A3586E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A3586E"/>
    <w:pPr>
      <w:suppressAutoHyphens/>
      <w:spacing w:line="240" w:lineRule="atLeast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A3586E"/>
    <w:pPr>
      <w:suppressAutoHyphens/>
      <w:spacing w:line="240" w:lineRule="atLeast"/>
      <w:ind w:left="567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Titredenote1">
    <w:name w:val="Titre de note1"/>
    <w:basedOn w:val="Normal"/>
    <w:next w:val="Normal"/>
    <w:semiHidden/>
    <w:rsid w:val="00A3586E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A3586E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A3586E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A3586E"/>
    <w:rPr>
      <w:b/>
      <w:bCs/>
    </w:rPr>
  </w:style>
  <w:style w:type="paragraph" w:styleId="Subtitle">
    <w:name w:val="Subtitle"/>
    <w:basedOn w:val="Normal"/>
    <w:link w:val="SubtitleChar"/>
    <w:qFormat/>
    <w:rsid w:val="00A3586E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A3586E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fr-FR" w:eastAsia="fr-FR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">
    <w:name w:val="Table Grid"/>
    <w:basedOn w:val="TableNormal"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link w:val="TitleChar"/>
    <w:qFormat/>
    <w:rsid w:val="00A3586E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A3586E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A3586E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rsid w:val="00A3586E"/>
    <w:pPr>
      <w:shd w:val="clear" w:color="auto" w:fill="000080"/>
      <w:suppressAutoHyphens/>
      <w:spacing w:line="240" w:lineRule="atLeast"/>
    </w:pPr>
    <w:rPr>
      <w:rFonts w:ascii="Tahoma" w:eastAsia="Times New Roman" w:hAnsi="Tahoma" w:cs="Tahoma"/>
      <w:spacing w:val="0"/>
      <w:w w:val="100"/>
      <w:kern w:val="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A3586E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SingleTxtGChar">
    <w:name w:val="_ Single Txt_G Char"/>
    <w:link w:val="SingleTxtG"/>
    <w:rsid w:val="00A358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1GChar">
    <w:name w:val="_ H_1_G Char"/>
    <w:link w:val="H1G"/>
    <w:rsid w:val="00A3586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Rom2">
    <w:name w:val="Rom2"/>
    <w:basedOn w:val="SingleTxtG"/>
    <w:semiHidden/>
    <w:rsid w:val="00A3586E"/>
    <w:pPr>
      <w:ind w:left="2835" w:hanging="397"/>
    </w:pPr>
    <w:rPr>
      <w:lang w:val="fr-CH"/>
    </w:rPr>
  </w:style>
  <w:style w:type="table" w:customStyle="1" w:styleId="TableGrid10">
    <w:name w:val="Table Grid1"/>
    <w:basedOn w:val="TableNormal"/>
    <w:next w:val="TableGrid"/>
    <w:semiHidden/>
    <w:rsid w:val="00A3586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textSpalte">
    <w:name w:val="Normaltext Spalte"/>
    <w:basedOn w:val="Normal"/>
    <w:rsid w:val="00A3586E"/>
    <w:pPr>
      <w:tabs>
        <w:tab w:val="left" w:pos="425"/>
        <w:tab w:val="left" w:pos="851"/>
        <w:tab w:val="left" w:pos="1276"/>
      </w:tabs>
      <w:spacing w:before="180" w:line="240" w:lineRule="auto"/>
      <w:jc w:val="both"/>
    </w:pPr>
    <w:rPr>
      <w:rFonts w:ascii="Arial" w:eastAsia="Times New Roman" w:hAnsi="Arial"/>
      <w:color w:val="000000"/>
      <w:spacing w:val="0"/>
      <w:w w:val="100"/>
      <w:kern w:val="0"/>
      <w:sz w:val="18"/>
      <w:szCs w:val="20"/>
      <w:lang w:val="de-DE" w:eastAsia="de-DE"/>
    </w:rPr>
  </w:style>
  <w:style w:type="paragraph" w:styleId="BalloonText">
    <w:name w:val="Balloon Text"/>
    <w:basedOn w:val="Normal"/>
    <w:link w:val="BalloonTextChar"/>
    <w:semiHidden/>
    <w:rsid w:val="00A3586E"/>
    <w:pPr>
      <w:suppressAutoHyphens/>
      <w:spacing w:line="240" w:lineRule="atLeast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A3586E"/>
    <w:rPr>
      <w:rFonts w:ascii="Tahoma" w:eastAsia="Times New Roman" w:hAnsi="Tahoma" w:cs="Tahoma"/>
      <w:sz w:val="16"/>
      <w:szCs w:val="16"/>
      <w:lang w:val="en-GB"/>
    </w:rPr>
  </w:style>
  <w:style w:type="character" w:customStyle="1" w:styleId="SingleTxtGCar">
    <w:name w:val="_ Single Txt_G Car"/>
    <w:rsid w:val="00A3586E"/>
    <w:rPr>
      <w:lang w:val="fr-CH" w:eastAsia="en-US" w:bidi="ar-SA"/>
    </w:rPr>
  </w:style>
  <w:style w:type="character" w:customStyle="1" w:styleId="HChGChar">
    <w:name w:val="_ H _Ch_G Char"/>
    <w:link w:val="HChG"/>
    <w:rsid w:val="00A3586E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DFBD-BA78-4041-A4D3-FA190F2E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barrio-champeau</cp:lastModifiedBy>
  <cp:revision>3</cp:revision>
  <cp:lastPrinted>2015-07-15T06:23:00Z</cp:lastPrinted>
  <dcterms:created xsi:type="dcterms:W3CDTF">2015-07-15T06:23:00Z</dcterms:created>
  <dcterms:modified xsi:type="dcterms:W3CDTF">2015-07-15T06:24:00Z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1509238R</vt:lpwstr>
  </property>
  <property fmtid="{D5CDD505-2E9C-101B-9397-08002B2CF9AE}" pid="3" name="Symbol1">
    <vt:lpwstr>ECE/TRANS/WP.15/AC.1/138/Add.1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/>
  </property>
  <property fmtid="{D5CDD505-2E9C-101B-9397-08002B2CF9AE}" pid="7" name="DraftPages">
    <vt:lpwstr> </vt:lpwstr>
  </property>
  <property fmtid="{D5CDD505-2E9C-101B-9397-08002B2CF9AE}" pid="8" name="Comment">
    <vt:lpwstr/>
  </property>
  <property fmtid="{D5CDD505-2E9C-101B-9397-08002B2CF9AE}" pid="9" name="Distribution">
    <vt:lpwstr>General</vt:lpwstr>
  </property>
  <property fmtid="{D5CDD505-2E9C-101B-9397-08002B2CF9AE}" pid="10" name="Publication Date">
    <vt:lpwstr>14 July 2015</vt:lpwstr>
  </property>
  <property fmtid="{D5CDD505-2E9C-101B-9397-08002B2CF9AE}" pid="11" name="Original">
    <vt:lpwstr>English</vt:lpwstr>
  </property>
  <property fmtid="{D5CDD505-2E9C-101B-9397-08002B2CF9AE}" pid="12" name="Release Date">
    <vt:lpwstr>140715</vt:lpwstr>
  </property>
  <property fmtid="{D5CDD505-2E9C-101B-9397-08002B2CF9AE}" pid="13" name="JobNo">
    <vt:lpwstr>GE.1507232R</vt:lpwstr>
  </property>
</Properties>
</file>