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90" w:rsidRDefault="00BB5F90" w:rsidP="00BB5F90">
      <w:pPr>
        <w:spacing w:line="240" w:lineRule="auto"/>
        <w:rPr>
          <w:sz w:val="2"/>
        </w:rPr>
        <w:sectPr w:rsidR="00BB5F90" w:rsidSect="00BB5F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BB5F90" w:rsidRDefault="00BB5F90" w:rsidP="00BB5F90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BB5F90" w:rsidRDefault="00BB5F90" w:rsidP="00BB5F90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CD441E" w:rsidRDefault="00CD441E" w:rsidP="00CD441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CD441E">
        <w:rPr>
          <w:lang w:val="fr-CH"/>
        </w:rPr>
        <w:t>Groupe de travail des transports</w:t>
      </w:r>
      <w:r>
        <w:rPr>
          <w:lang w:val="fr-CH"/>
        </w:rPr>
        <w:t xml:space="preserve"> </w:t>
      </w:r>
      <w:r w:rsidRPr="00CD441E">
        <w:rPr>
          <w:lang w:val="fr-CH"/>
        </w:rPr>
        <w:br/>
        <w:t>de marchandises dangereuses</w:t>
      </w:r>
    </w:p>
    <w:p w:rsidR="00CD441E" w:rsidRPr="00CD441E" w:rsidRDefault="00CD441E" w:rsidP="00CD441E">
      <w:pPr>
        <w:spacing w:line="120" w:lineRule="exact"/>
        <w:rPr>
          <w:sz w:val="10"/>
          <w:lang w:val="fr-CH"/>
        </w:rPr>
      </w:pPr>
    </w:p>
    <w:p w:rsidR="00CD441E" w:rsidRDefault="00CD441E" w:rsidP="00CD441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CD441E">
        <w:rPr>
          <w:lang w:val="fr-CH"/>
        </w:rPr>
        <w:t>Réunion commune de la Commission d’experts</w:t>
      </w:r>
      <w:r>
        <w:rPr>
          <w:lang w:val="fr-CH"/>
        </w:rPr>
        <w:t xml:space="preserve"> </w:t>
      </w:r>
      <w:r w:rsidRPr="00CD441E">
        <w:rPr>
          <w:lang w:val="fr-CH"/>
        </w:rPr>
        <w:t xml:space="preserve">du RID </w:t>
      </w:r>
      <w:r w:rsidR="000E667D">
        <w:rPr>
          <w:lang w:val="fr-CH"/>
        </w:rPr>
        <w:br/>
      </w:r>
      <w:r w:rsidRPr="00CD441E">
        <w:rPr>
          <w:lang w:val="fr-CH"/>
        </w:rPr>
        <w:t>et du Groupe de travail des transports</w:t>
      </w:r>
      <w:r>
        <w:rPr>
          <w:lang w:val="fr-CH"/>
        </w:rPr>
        <w:t xml:space="preserve"> </w:t>
      </w:r>
      <w:r w:rsidR="00F93C07">
        <w:rPr>
          <w:lang w:val="fr-CH"/>
        </w:rPr>
        <w:br/>
      </w:r>
      <w:r w:rsidRPr="00CD441E">
        <w:rPr>
          <w:lang w:val="fr-CH"/>
        </w:rPr>
        <w:t>de marchandises dangereuses</w:t>
      </w:r>
    </w:p>
    <w:p w:rsidR="000E667D" w:rsidRPr="000E667D" w:rsidRDefault="000E667D" w:rsidP="000E667D">
      <w:pPr>
        <w:spacing w:line="120" w:lineRule="exact"/>
        <w:rPr>
          <w:sz w:val="10"/>
          <w:lang w:val="fr-CH"/>
        </w:rPr>
      </w:pPr>
    </w:p>
    <w:p w:rsidR="00CD441E" w:rsidRPr="00CD441E" w:rsidRDefault="00CD441E" w:rsidP="00CD441E">
      <w:pPr>
        <w:rPr>
          <w:lang w:val="fr-CH"/>
        </w:rPr>
      </w:pPr>
      <w:r w:rsidRPr="00CD441E">
        <w:rPr>
          <w:lang w:val="fr-CH"/>
        </w:rPr>
        <w:t>Genève, 15–25 septembre 2015</w:t>
      </w:r>
    </w:p>
    <w:p w:rsidR="00CD441E" w:rsidRPr="00CD441E" w:rsidRDefault="00CD441E" w:rsidP="00CD441E">
      <w:pPr>
        <w:rPr>
          <w:lang w:val="fr-CH"/>
        </w:rPr>
      </w:pPr>
      <w:r w:rsidRPr="00CD441E">
        <w:rPr>
          <w:lang w:val="fr-CH"/>
        </w:rPr>
        <w:t>Point 6 de l’ordre du jour provisoire</w:t>
      </w:r>
    </w:p>
    <w:p w:rsidR="00CD441E" w:rsidRDefault="00CD441E" w:rsidP="00CD441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CD441E">
        <w:rPr>
          <w:lang w:val="fr-CH"/>
        </w:rPr>
        <w:t>Citernes</w:t>
      </w:r>
    </w:p>
    <w:p w:rsidR="00CD441E" w:rsidRPr="00CD441E" w:rsidRDefault="00CD441E" w:rsidP="00CD441E">
      <w:pPr>
        <w:spacing w:line="120" w:lineRule="exact"/>
        <w:rPr>
          <w:sz w:val="10"/>
          <w:lang w:val="fr-CH"/>
        </w:rPr>
      </w:pPr>
    </w:p>
    <w:p w:rsidR="00CD441E" w:rsidRPr="00CD441E" w:rsidRDefault="00CD441E" w:rsidP="00CD441E">
      <w:pPr>
        <w:spacing w:line="120" w:lineRule="exact"/>
        <w:rPr>
          <w:sz w:val="10"/>
          <w:lang w:val="fr-CH"/>
        </w:rPr>
      </w:pPr>
    </w:p>
    <w:p w:rsidR="00CD441E" w:rsidRPr="00CD441E" w:rsidRDefault="00CD441E" w:rsidP="00CD441E">
      <w:pPr>
        <w:spacing w:line="120" w:lineRule="exact"/>
        <w:rPr>
          <w:sz w:val="10"/>
          <w:lang w:val="fr-CH"/>
        </w:rPr>
      </w:pPr>
    </w:p>
    <w:p w:rsidR="00CD441E" w:rsidRDefault="00CD441E" w:rsidP="00CD441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CD441E">
        <w:rPr>
          <w:lang w:val="fr-CH"/>
        </w:rPr>
        <w:t xml:space="preserve">Proposition d’amendements à la disposition </w:t>
      </w:r>
      <w:r>
        <w:rPr>
          <w:lang w:val="fr-CH"/>
        </w:rPr>
        <w:br/>
      </w:r>
      <w:r w:rsidRPr="00CD441E">
        <w:rPr>
          <w:lang w:val="fr-CH"/>
        </w:rPr>
        <w:t>spéciale TU21 du chapitre 4.3 du RID/ADR</w:t>
      </w:r>
    </w:p>
    <w:p w:rsidR="00CD441E" w:rsidRPr="00CD441E" w:rsidRDefault="00CD441E" w:rsidP="00CD441E">
      <w:pPr>
        <w:pStyle w:val="SingleTxt"/>
        <w:spacing w:after="0" w:line="120" w:lineRule="exact"/>
        <w:rPr>
          <w:sz w:val="10"/>
          <w:lang w:val="fr-CH"/>
        </w:rPr>
      </w:pPr>
    </w:p>
    <w:p w:rsidR="00CD441E" w:rsidRPr="00CD441E" w:rsidRDefault="00CD441E" w:rsidP="00CD441E">
      <w:pPr>
        <w:pStyle w:val="SingleTxt"/>
        <w:spacing w:after="0" w:line="120" w:lineRule="exact"/>
        <w:rPr>
          <w:sz w:val="10"/>
          <w:lang w:val="fr-CH"/>
        </w:rPr>
      </w:pPr>
    </w:p>
    <w:p w:rsidR="00CD441E" w:rsidRDefault="00CD441E" w:rsidP="00CD441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CD441E">
        <w:rPr>
          <w:lang w:val="fr-CH"/>
        </w:rPr>
        <w:tab/>
      </w:r>
      <w:r w:rsidRPr="00CD441E">
        <w:rPr>
          <w:lang w:val="fr-CH"/>
        </w:rPr>
        <w:tab/>
        <w:t>Communication du Gouvernement letton</w:t>
      </w:r>
      <w:r w:rsidR="00B75522" w:rsidRPr="00B13FD5">
        <w:rPr>
          <w:rStyle w:val="Appelnotedebasdep"/>
          <w:b w:val="0"/>
          <w:color w:val="auto"/>
          <w:sz w:val="20"/>
          <w:szCs w:val="20"/>
          <w:lang w:val="fr-CH"/>
        </w:rPr>
        <w:footnoteReference w:id="1"/>
      </w:r>
      <w:r w:rsidR="00B75522" w:rsidRPr="00434C06">
        <w:rPr>
          <w:b w:val="0"/>
          <w:sz w:val="20"/>
          <w:szCs w:val="20"/>
          <w:vertAlign w:val="superscript"/>
          <w:lang w:val="fr-CH"/>
        </w:rPr>
        <w:t>,</w:t>
      </w:r>
      <w:r w:rsidR="00B75522" w:rsidRPr="00434C06">
        <w:rPr>
          <w:b w:val="0"/>
          <w:sz w:val="20"/>
          <w:szCs w:val="20"/>
          <w:lang w:val="fr-CH"/>
        </w:rPr>
        <w:t xml:space="preserve"> </w:t>
      </w:r>
      <w:r w:rsidR="00B75522" w:rsidRPr="00B13FD5">
        <w:rPr>
          <w:rStyle w:val="Appelnotedebasdep"/>
          <w:b w:val="0"/>
          <w:color w:val="auto"/>
          <w:sz w:val="20"/>
          <w:szCs w:val="20"/>
          <w:lang w:val="fr-CH"/>
        </w:rPr>
        <w:footnoteReference w:id="2"/>
      </w:r>
    </w:p>
    <w:p w:rsidR="00CD441E" w:rsidRPr="00CD441E" w:rsidRDefault="00CD441E" w:rsidP="00CD441E">
      <w:pPr>
        <w:pStyle w:val="SingleTxt"/>
        <w:spacing w:after="0" w:line="120" w:lineRule="exact"/>
        <w:rPr>
          <w:sz w:val="10"/>
          <w:lang w:val="fr-CH"/>
        </w:rPr>
      </w:pPr>
    </w:p>
    <w:p w:rsidR="00CD441E" w:rsidRPr="00CD441E" w:rsidRDefault="00CD441E" w:rsidP="00CD441E">
      <w:pPr>
        <w:pStyle w:val="SingleTxt"/>
        <w:spacing w:after="0" w:line="120" w:lineRule="exact"/>
        <w:rPr>
          <w:sz w:val="10"/>
          <w:lang w:val="fr-CH"/>
        </w:rPr>
      </w:pPr>
    </w:p>
    <w:p w:rsidR="00CD441E" w:rsidRDefault="00CD441E" w:rsidP="00CD441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CD441E">
        <w:rPr>
          <w:lang w:val="fr-CH"/>
        </w:rPr>
        <w:t>Introduction</w:t>
      </w:r>
    </w:p>
    <w:p w:rsidR="00CD441E" w:rsidRPr="00CD441E" w:rsidRDefault="00CD441E" w:rsidP="00CD441E">
      <w:pPr>
        <w:pStyle w:val="SingleTxt"/>
        <w:spacing w:after="0" w:line="120" w:lineRule="exact"/>
        <w:rPr>
          <w:sz w:val="10"/>
          <w:lang w:val="fr-CH"/>
        </w:rPr>
      </w:pPr>
    </w:p>
    <w:p w:rsidR="00CD441E" w:rsidRPr="00CD441E" w:rsidRDefault="00CD441E" w:rsidP="00CD441E">
      <w:pPr>
        <w:pStyle w:val="SingleTxt"/>
        <w:spacing w:after="0" w:line="120" w:lineRule="exact"/>
        <w:rPr>
          <w:sz w:val="10"/>
          <w:lang w:val="fr-CH"/>
        </w:rPr>
      </w:pPr>
    </w:p>
    <w:p w:rsidR="00CD441E" w:rsidRPr="00CD441E" w:rsidRDefault="00CD441E" w:rsidP="000E667D">
      <w:pPr>
        <w:pStyle w:val="SingleTxt"/>
        <w:numPr>
          <w:ilvl w:val="0"/>
          <w:numId w:val="7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CD441E">
        <w:rPr>
          <w:lang w:val="fr-CH"/>
        </w:rPr>
        <w:t>Conformément à la décision adoptée par le Groupe de travail des citernes à sa session de printemps et reproduite dans son rapport pour l’année 2015 (ECE/TRANS/WP.15/AC.1/138/Add.1), il a été conclu que trois options offraient un niveau de sécurité satisfaisant pour le trans</w:t>
      </w:r>
      <w:r w:rsidR="00B230CA">
        <w:rPr>
          <w:lang w:val="fr-CH"/>
        </w:rPr>
        <w:t>port en citerne des numéros ONU </w:t>
      </w:r>
      <w:r w:rsidRPr="00CD441E">
        <w:rPr>
          <w:lang w:val="fr-CH"/>
        </w:rPr>
        <w:t>1381 (Phosphore blanc ou jaune, recouvert d’eau ou en solution) et 2447 (Phosphore blanc fondu)</w:t>
      </w:r>
      <w:r>
        <w:rPr>
          <w:lang w:val="fr-CH"/>
        </w:rPr>
        <w:t> </w:t>
      </w:r>
      <w:r w:rsidRPr="00CD441E">
        <w:rPr>
          <w:lang w:val="fr-CH"/>
        </w:rPr>
        <w:t>:</w:t>
      </w:r>
    </w:p>
    <w:p w:rsidR="00CD441E" w:rsidRPr="00CD441E" w:rsidRDefault="00CD441E" w:rsidP="00CD441E">
      <w:pPr>
        <w:pStyle w:val="SingleTxt"/>
        <w:rPr>
          <w:lang w:val="fr-CH"/>
        </w:rPr>
      </w:pPr>
      <w:r>
        <w:rPr>
          <w:lang w:val="fr-CH"/>
        </w:rPr>
        <w:tab/>
      </w:r>
      <w:r w:rsidRPr="00CD441E">
        <w:rPr>
          <w:lang w:val="fr-CH"/>
        </w:rPr>
        <w:t>a)</w:t>
      </w:r>
      <w:r w:rsidRPr="00CD441E">
        <w:rPr>
          <w:lang w:val="fr-CH"/>
        </w:rPr>
        <w:tab/>
        <w:t>L’utilisation d’une couche d’eau de 12 cm au minimum;</w:t>
      </w:r>
    </w:p>
    <w:p w:rsidR="00CD441E" w:rsidRPr="00CD441E" w:rsidRDefault="00CD441E" w:rsidP="00CD441E">
      <w:pPr>
        <w:pStyle w:val="SingleTxt"/>
        <w:rPr>
          <w:lang w:val="fr-CH"/>
        </w:rPr>
      </w:pPr>
      <w:r>
        <w:rPr>
          <w:lang w:val="fr-CH"/>
        </w:rPr>
        <w:tab/>
      </w:r>
      <w:r w:rsidRPr="00CD441E">
        <w:rPr>
          <w:lang w:val="fr-CH"/>
        </w:rPr>
        <w:t>b)</w:t>
      </w:r>
      <w:r w:rsidRPr="00CD441E">
        <w:rPr>
          <w:lang w:val="fr-CH"/>
        </w:rPr>
        <w:tab/>
        <w:t>L’utilisation d’une couverture d’azote uniquement;</w:t>
      </w:r>
    </w:p>
    <w:p w:rsidR="00CD441E" w:rsidRPr="00CD441E" w:rsidRDefault="00CD441E" w:rsidP="00CD441E">
      <w:pPr>
        <w:pStyle w:val="SingleTxt"/>
        <w:rPr>
          <w:lang w:val="fr-CH"/>
        </w:rPr>
      </w:pPr>
      <w:r>
        <w:rPr>
          <w:lang w:val="fr-CH"/>
        </w:rPr>
        <w:tab/>
      </w:r>
      <w:r w:rsidRPr="00CD441E">
        <w:rPr>
          <w:lang w:val="fr-CH"/>
        </w:rPr>
        <w:t>c)</w:t>
      </w:r>
      <w:r w:rsidRPr="00CD441E">
        <w:rPr>
          <w:lang w:val="fr-CH"/>
        </w:rPr>
        <w:tab/>
        <w:t>L’utilisation à la fois d’eau et d’azote.</w:t>
      </w:r>
    </w:p>
    <w:p w:rsidR="00CD441E" w:rsidRPr="00CD441E" w:rsidRDefault="00CD441E" w:rsidP="000E667D">
      <w:pPr>
        <w:pStyle w:val="SingleTxt"/>
        <w:numPr>
          <w:ilvl w:val="0"/>
          <w:numId w:val="7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CD441E">
        <w:rPr>
          <w:lang w:val="fr-CH"/>
        </w:rPr>
        <w:t>Le Groupe de travail des citernes était d’avis que la formulation actuelle de la disposition TU21 semblait compatible avec ces trois options, mais on a estimé que le texte pouvait être clarifié</w:t>
      </w:r>
      <w:r>
        <w:rPr>
          <w:lang w:val="fr-CH"/>
        </w:rPr>
        <w:t>.</w:t>
      </w:r>
    </w:p>
    <w:p w:rsidR="00FE0C92" w:rsidRPr="00FE0C92" w:rsidRDefault="00CD441E" w:rsidP="00FE0C92">
      <w:pPr>
        <w:pStyle w:val="SingleTxt"/>
        <w:numPr>
          <w:ilvl w:val="0"/>
          <w:numId w:val="7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CD441E">
        <w:rPr>
          <w:lang w:val="fr-CH"/>
        </w:rPr>
        <w:lastRenderedPageBreak/>
        <w:t>Conformément aux décisions susmentionnées du Groupe de travail, la Lettonie a établi la présente proposition afin de clarifier les prescriptions énoncées dans la disposition spéciale TU21.</w:t>
      </w:r>
    </w:p>
    <w:p w:rsidR="00FE0C92" w:rsidRPr="00FE0C92" w:rsidRDefault="00FE0C92" w:rsidP="00FE0C92">
      <w:pPr>
        <w:pStyle w:val="SingleTxt"/>
        <w:spacing w:after="0" w:line="120" w:lineRule="exact"/>
        <w:rPr>
          <w:sz w:val="10"/>
          <w:lang w:val="fr-CH"/>
        </w:rPr>
      </w:pPr>
    </w:p>
    <w:p w:rsidR="00FE0C92" w:rsidRPr="00FE0C92" w:rsidRDefault="00FE0C92" w:rsidP="00FE0C92">
      <w:pPr>
        <w:pStyle w:val="SingleTxt"/>
        <w:spacing w:after="0" w:line="120" w:lineRule="exact"/>
        <w:rPr>
          <w:sz w:val="10"/>
          <w:lang w:val="fr-CH"/>
        </w:rPr>
      </w:pPr>
    </w:p>
    <w:p w:rsidR="00CD441E" w:rsidRDefault="00CD441E" w:rsidP="00CD441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CD441E">
        <w:rPr>
          <w:lang w:val="fr-CH"/>
        </w:rPr>
        <w:tab/>
      </w:r>
      <w:r w:rsidRPr="00CD441E">
        <w:rPr>
          <w:lang w:val="fr-CH"/>
        </w:rPr>
        <w:tab/>
        <w:t>Proposition</w:t>
      </w:r>
    </w:p>
    <w:p w:rsidR="00CD441E" w:rsidRPr="00CD441E" w:rsidRDefault="00CD441E" w:rsidP="00CD441E">
      <w:pPr>
        <w:pStyle w:val="SingleTxt"/>
        <w:spacing w:after="0" w:line="120" w:lineRule="exact"/>
        <w:rPr>
          <w:sz w:val="10"/>
          <w:lang w:val="fr-CH"/>
        </w:rPr>
      </w:pPr>
    </w:p>
    <w:p w:rsidR="00CD441E" w:rsidRPr="00CD441E" w:rsidRDefault="00CD441E" w:rsidP="00CD441E">
      <w:pPr>
        <w:pStyle w:val="SingleTxt"/>
        <w:spacing w:after="0" w:line="120" w:lineRule="exact"/>
        <w:rPr>
          <w:sz w:val="10"/>
          <w:lang w:val="fr-CH"/>
        </w:rPr>
      </w:pPr>
    </w:p>
    <w:p w:rsidR="00CD441E" w:rsidRPr="00627214" w:rsidRDefault="00CD441E" w:rsidP="000E667D">
      <w:pPr>
        <w:pStyle w:val="SingleTxt"/>
        <w:numPr>
          <w:ilvl w:val="0"/>
          <w:numId w:val="7"/>
        </w:numPr>
        <w:tabs>
          <w:tab w:val="clear" w:pos="475"/>
          <w:tab w:val="num" w:pos="1742"/>
        </w:tabs>
        <w:ind w:left="1267"/>
        <w:rPr>
          <w:spacing w:val="2"/>
          <w:lang w:val="fr-CH"/>
        </w:rPr>
      </w:pPr>
      <w:r w:rsidRPr="00627214">
        <w:rPr>
          <w:spacing w:val="2"/>
          <w:lang w:val="fr-CH"/>
        </w:rPr>
        <w:t>Modifier la disposition spéciale TU21 du 4.3.5 de sorte qu’elle se lise comme suit :</w:t>
      </w:r>
    </w:p>
    <w:p w:rsidR="00686207" w:rsidRPr="00686207" w:rsidRDefault="00686207" w:rsidP="00686207">
      <w:pPr>
        <w:pStyle w:val="SingleTxt"/>
        <w:spacing w:after="0" w:line="120" w:lineRule="exact"/>
        <w:rPr>
          <w:sz w:val="10"/>
          <w:lang w:val="fr-CH"/>
        </w:rPr>
      </w:pPr>
    </w:p>
    <w:p w:rsidR="00CD441E" w:rsidRDefault="00686207" w:rsidP="0068620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  <w:lang w:val="fr-CH"/>
        </w:rPr>
      </w:pPr>
      <w:r w:rsidRPr="00686207">
        <w:rPr>
          <w:b/>
          <w:lang w:val="fr-CH"/>
        </w:rPr>
        <w:tab/>
      </w:r>
      <w:r w:rsidRPr="00686207">
        <w:rPr>
          <w:b/>
          <w:lang w:val="fr-CH"/>
        </w:rPr>
        <w:tab/>
      </w:r>
      <w:r w:rsidR="00CD441E" w:rsidRPr="00686207">
        <w:rPr>
          <w:b/>
          <w:lang w:val="fr-CH"/>
        </w:rPr>
        <w:t>Option 1</w:t>
      </w:r>
    </w:p>
    <w:p w:rsidR="00686207" w:rsidRPr="00686207" w:rsidRDefault="00686207" w:rsidP="00686207">
      <w:pPr>
        <w:pStyle w:val="SingleTxt"/>
        <w:spacing w:after="0" w:line="120" w:lineRule="exact"/>
        <w:rPr>
          <w:sz w:val="10"/>
          <w:lang w:val="fr-CH"/>
        </w:rPr>
      </w:pPr>
    </w:p>
    <w:p w:rsidR="00CD441E" w:rsidRPr="00CD441E" w:rsidRDefault="00CD441E" w:rsidP="00686207">
      <w:pPr>
        <w:pStyle w:val="SingleTxt"/>
        <w:ind w:left="2218" w:hanging="951"/>
        <w:rPr>
          <w:lang w:val="fr-CH"/>
        </w:rPr>
      </w:pPr>
      <w:r>
        <w:rPr>
          <w:lang w:val="fr-CH"/>
        </w:rPr>
        <w:t>« </w:t>
      </w:r>
      <w:r w:rsidRPr="00CD441E">
        <w:rPr>
          <w:b/>
          <w:lang w:val="fr-CH"/>
        </w:rPr>
        <w:t>TU21</w:t>
      </w:r>
      <w:r w:rsidRPr="00CD441E">
        <w:rPr>
          <w:lang w:val="fr-CH"/>
        </w:rPr>
        <w:tab/>
        <w:t>La matière doit être recouverte par un agent de protection selon l’une des méthodes suivantes</w:t>
      </w:r>
      <w:r>
        <w:rPr>
          <w:lang w:val="fr-CH"/>
        </w:rPr>
        <w:t> </w:t>
      </w:r>
      <w:r w:rsidRPr="00CD441E">
        <w:rPr>
          <w:lang w:val="fr-CH"/>
        </w:rPr>
        <w:t>:</w:t>
      </w:r>
    </w:p>
    <w:p w:rsidR="00CD441E" w:rsidRPr="00CD441E" w:rsidRDefault="00610809" w:rsidP="00610809">
      <w:pPr>
        <w:pStyle w:val="SingleTxt"/>
        <w:ind w:left="2693" w:hanging="1426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CD441E" w:rsidRPr="00CD441E">
        <w:rPr>
          <w:lang w:val="fr-CH"/>
        </w:rPr>
        <w:t>а)</w:t>
      </w:r>
      <w:r w:rsidR="00CD441E" w:rsidRPr="00CD441E">
        <w:rPr>
          <w:lang w:val="fr-CH"/>
        </w:rPr>
        <w:tab/>
        <w:t>Si l’on emploie uniquement de l’eau comme agent de protection, la matière doit être recouverte d’une couche d’eau d’au moins 12 cm au moment du remplissage. Du 1</w:t>
      </w:r>
      <w:r w:rsidR="00CD441E" w:rsidRPr="00CD441E">
        <w:rPr>
          <w:vertAlign w:val="superscript"/>
          <w:lang w:val="fr-CH"/>
        </w:rPr>
        <w:t>er</w:t>
      </w:r>
      <w:r w:rsidR="00CD441E">
        <w:rPr>
          <w:lang w:val="fr-CH"/>
        </w:rPr>
        <w:t> </w:t>
      </w:r>
      <w:r w:rsidR="00CD441E" w:rsidRPr="00CD441E">
        <w:rPr>
          <w:lang w:val="fr-CH"/>
        </w:rPr>
        <w:t xml:space="preserve">octobre au </w:t>
      </w:r>
      <w:r w:rsidR="00CD441E">
        <w:rPr>
          <w:lang w:val="fr-CH"/>
        </w:rPr>
        <w:t>31 </w:t>
      </w:r>
      <w:r w:rsidR="00CD441E" w:rsidRPr="00CD441E">
        <w:rPr>
          <w:lang w:val="fr-CH"/>
        </w:rPr>
        <w:t xml:space="preserve">mars, cette eau doit renfermer suffisamment d’agent antigel pour rendre impossible le gel de l’eau au cours du transport; l’agent antigel ne doit pas exercer d’action corrosive ni être susceptible de réagir avec le phosphore. </w:t>
      </w:r>
      <w:r>
        <w:rPr>
          <w:lang w:val="fr-CH"/>
        </w:rPr>
        <w:t xml:space="preserve">Le </w:t>
      </w:r>
      <w:r w:rsidR="00CD441E" w:rsidRPr="00CD441E">
        <w:rPr>
          <w:lang w:val="fr-CH"/>
        </w:rPr>
        <w:t>taux de remplissage à une température de 60 °C ne doit pas dépasser 98 </w:t>
      </w:r>
      <w:r w:rsidR="00CD441E">
        <w:rPr>
          <w:lang w:val="fr-CH"/>
        </w:rPr>
        <w:t>%;</w:t>
      </w:r>
    </w:p>
    <w:p w:rsidR="00CD441E" w:rsidRPr="00CD441E" w:rsidRDefault="00610809" w:rsidP="00610809">
      <w:pPr>
        <w:pStyle w:val="SingleTxt"/>
        <w:ind w:left="2693" w:hanging="1426"/>
        <w:rPr>
          <w:lang w:val="fr-CH"/>
        </w:rPr>
      </w:pPr>
      <w:r>
        <w:rPr>
          <w:lang w:val="fr-CH"/>
        </w:rPr>
        <w:tab/>
      </w:r>
      <w:r w:rsidR="00CD441E">
        <w:rPr>
          <w:lang w:val="fr-CH"/>
        </w:rPr>
        <w:tab/>
      </w:r>
      <w:r w:rsidR="00CD441E" w:rsidRPr="00CD441E">
        <w:rPr>
          <w:lang w:val="fr-CH"/>
        </w:rPr>
        <w:t>b)</w:t>
      </w:r>
      <w:r w:rsidR="00CD441E" w:rsidRPr="00CD441E">
        <w:rPr>
          <w:lang w:val="fr-CH"/>
        </w:rPr>
        <w:tab/>
        <w:t>Si l’on emploie uniquement de l’azote comme agent de protection, le taux de remplissage à une température de 60 °C ne doit pas dépasser 96%. L’espace restant doit être rempli d’azote de manière que la pression ne tombe jamais au-dessous de la pression atmosphérique, même après refroidissement. La citerne doit être fermée de façon qu’il ne se produise aucune fuite de gaz</w:t>
      </w:r>
      <w:r w:rsidR="00CD441E">
        <w:rPr>
          <w:lang w:val="fr-CH"/>
        </w:rPr>
        <w:t>;</w:t>
      </w:r>
    </w:p>
    <w:p w:rsidR="00CD441E" w:rsidRDefault="00610809" w:rsidP="00610809">
      <w:pPr>
        <w:pStyle w:val="SingleTxt"/>
        <w:ind w:left="2693" w:hanging="1426"/>
        <w:rPr>
          <w:lang w:val="fr-CH"/>
        </w:rPr>
      </w:pPr>
      <w:r>
        <w:rPr>
          <w:lang w:val="fr-CH"/>
        </w:rPr>
        <w:tab/>
      </w:r>
      <w:r w:rsidR="00CD441E">
        <w:rPr>
          <w:lang w:val="fr-CH"/>
        </w:rPr>
        <w:tab/>
      </w:r>
      <w:r w:rsidR="00CD441E" w:rsidRPr="00CD441E">
        <w:rPr>
          <w:lang w:val="fr-CH"/>
        </w:rPr>
        <w:t>c)</w:t>
      </w:r>
      <w:r w:rsidR="00CD441E" w:rsidRPr="00CD441E">
        <w:rPr>
          <w:lang w:val="fr-CH"/>
        </w:rPr>
        <w:tab/>
        <w:t>Si l’on emploie à la fois une couche d’eau et une couverture d’azote, la matière doit être recouverte d’une couche d’eau. Du 1</w:t>
      </w:r>
      <w:r w:rsidR="00CD441E" w:rsidRPr="00CD441E">
        <w:rPr>
          <w:vertAlign w:val="superscript"/>
          <w:lang w:val="fr-CH"/>
        </w:rPr>
        <w:t>er</w:t>
      </w:r>
      <w:r w:rsidR="00CD441E">
        <w:rPr>
          <w:lang w:val="fr-CH"/>
        </w:rPr>
        <w:t> octobre au 31 </w:t>
      </w:r>
      <w:r w:rsidR="00CD441E" w:rsidRPr="00CD441E">
        <w:rPr>
          <w:lang w:val="fr-CH"/>
        </w:rPr>
        <w:t>mars, cette eau doit renfermer suffisamment d’agent antigel pour rendre impossible le gel de l’eau au cours du transport; l’agent antigel ne doit pas exercer d’action corrosive ni être susceptible de réagir avec le phosphore. Le taux de remplissage à une température de 60 °C ne doit pas dépasser 98</w:t>
      </w:r>
      <w:r w:rsidR="00CD441E">
        <w:rPr>
          <w:lang w:val="fr-CH"/>
        </w:rPr>
        <w:t> </w:t>
      </w:r>
      <w:r w:rsidR="00CD441E" w:rsidRPr="00CD441E">
        <w:rPr>
          <w:lang w:val="fr-CH"/>
        </w:rPr>
        <w:t>%. L’espace restant doit être rempli d’azote de manière que la pression ne tombe jamais au-dessous de la pression atmosphérique, même après refroidissement. La citerne doit être fermée de façon qu’il ne se produise aucune fuite de gaz. ».</w:t>
      </w:r>
    </w:p>
    <w:p w:rsidR="00686207" w:rsidRPr="00686207" w:rsidRDefault="00686207" w:rsidP="00686207">
      <w:pPr>
        <w:pStyle w:val="SingleTxt"/>
        <w:spacing w:after="0" w:line="120" w:lineRule="exact"/>
        <w:ind w:left="2693" w:hanging="1426"/>
        <w:rPr>
          <w:sz w:val="10"/>
          <w:lang w:val="fr-CH"/>
        </w:rPr>
      </w:pPr>
    </w:p>
    <w:p w:rsidR="00CD441E" w:rsidRPr="00686207" w:rsidRDefault="00686207" w:rsidP="0068620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  <w:lang w:val="fr-CH"/>
        </w:rPr>
      </w:pPr>
      <w:r w:rsidRPr="00686207">
        <w:rPr>
          <w:b/>
          <w:lang w:val="fr-CH"/>
        </w:rPr>
        <w:tab/>
      </w:r>
      <w:r w:rsidRPr="00686207">
        <w:rPr>
          <w:b/>
          <w:lang w:val="fr-CH"/>
        </w:rPr>
        <w:tab/>
      </w:r>
      <w:r w:rsidR="00CD441E" w:rsidRPr="00686207">
        <w:rPr>
          <w:b/>
          <w:lang w:val="fr-CH"/>
        </w:rPr>
        <w:t>Option 2</w:t>
      </w:r>
    </w:p>
    <w:p w:rsidR="00686207" w:rsidRPr="00686207" w:rsidRDefault="00686207" w:rsidP="00686207">
      <w:pPr>
        <w:pStyle w:val="SingleTxt"/>
        <w:spacing w:after="0" w:line="120" w:lineRule="exact"/>
        <w:rPr>
          <w:b/>
          <w:i/>
          <w:sz w:val="10"/>
          <w:lang w:val="fr-CH"/>
        </w:rPr>
      </w:pPr>
    </w:p>
    <w:p w:rsidR="00CD441E" w:rsidRPr="00CD441E" w:rsidRDefault="00CD441E" w:rsidP="00686207">
      <w:pPr>
        <w:pStyle w:val="SingleTxt"/>
        <w:ind w:left="2218" w:hanging="951"/>
        <w:rPr>
          <w:lang w:val="fr-CH"/>
        </w:rPr>
      </w:pPr>
      <w:r>
        <w:rPr>
          <w:lang w:val="fr-CH"/>
        </w:rPr>
        <w:t>« </w:t>
      </w:r>
      <w:r w:rsidRPr="00CD441E">
        <w:rPr>
          <w:b/>
          <w:lang w:val="fr-CH"/>
        </w:rPr>
        <w:t>TU21</w:t>
      </w:r>
      <w:r>
        <w:rPr>
          <w:lang w:val="fr-CH"/>
        </w:rPr>
        <w:tab/>
      </w:r>
      <w:r w:rsidRPr="00CD441E">
        <w:rPr>
          <w:lang w:val="fr-CH"/>
        </w:rPr>
        <w:t>La matière doit être recouverte par un agent de protection selon l’une des méthodes suivantes</w:t>
      </w:r>
      <w:r>
        <w:rPr>
          <w:lang w:val="fr-CH"/>
        </w:rPr>
        <w:t> </w:t>
      </w:r>
      <w:r w:rsidRPr="00CD441E">
        <w:rPr>
          <w:lang w:val="fr-CH"/>
        </w:rPr>
        <w:t>:</w:t>
      </w:r>
    </w:p>
    <w:p w:rsidR="00CD441E" w:rsidRPr="00CD441E" w:rsidRDefault="00610809" w:rsidP="00610809">
      <w:pPr>
        <w:pStyle w:val="SingleTxt"/>
        <w:ind w:left="2693" w:hanging="1426"/>
        <w:rPr>
          <w:lang w:val="fr-CH"/>
        </w:rPr>
      </w:pPr>
      <w:r>
        <w:rPr>
          <w:lang w:val="fr-CH"/>
        </w:rPr>
        <w:tab/>
      </w:r>
      <w:r w:rsidR="00CD441E">
        <w:rPr>
          <w:lang w:val="fr-CH"/>
        </w:rPr>
        <w:tab/>
      </w:r>
      <w:r w:rsidR="00CD441E" w:rsidRPr="00CD441E">
        <w:rPr>
          <w:lang w:val="fr-CH"/>
        </w:rPr>
        <w:t>а)</w:t>
      </w:r>
      <w:r w:rsidR="00CD441E" w:rsidRPr="00CD441E">
        <w:rPr>
          <w:lang w:val="fr-CH"/>
        </w:rPr>
        <w:tab/>
        <w:t>Si l’on emploie uniquement de l’eau comme agent de protection, la matière doit être recouverte d’une couche d’eau d’au moins 12 cm au moment du remplissage. Le taux de remplissage à une température de 60 °C ne doit pas dépasser 98</w:t>
      </w:r>
      <w:r w:rsidR="00CD441E">
        <w:rPr>
          <w:lang w:val="fr-CH"/>
        </w:rPr>
        <w:t> %;</w:t>
      </w:r>
    </w:p>
    <w:p w:rsidR="00CD441E" w:rsidRPr="00CD441E" w:rsidRDefault="00610809" w:rsidP="00610809">
      <w:pPr>
        <w:pStyle w:val="SingleTxt"/>
        <w:ind w:left="2693" w:hanging="1426"/>
        <w:rPr>
          <w:lang w:val="fr-CH"/>
        </w:rPr>
      </w:pPr>
      <w:r>
        <w:rPr>
          <w:lang w:val="fr-CH"/>
        </w:rPr>
        <w:tab/>
      </w:r>
      <w:r w:rsidR="00CD441E">
        <w:rPr>
          <w:lang w:val="fr-CH"/>
        </w:rPr>
        <w:tab/>
      </w:r>
      <w:r w:rsidR="00CD441E" w:rsidRPr="00CD441E">
        <w:rPr>
          <w:lang w:val="fr-CH"/>
        </w:rPr>
        <w:t>b)</w:t>
      </w:r>
      <w:r w:rsidR="00CD441E" w:rsidRPr="00CD441E">
        <w:rPr>
          <w:lang w:val="fr-CH"/>
        </w:rPr>
        <w:tab/>
        <w:t>Si l’on emploie uniquement de l’azote comme agent de protection, le taux de remplissage à une température de 60 °C ne doit pas dépasser 96</w:t>
      </w:r>
      <w:r w:rsidR="00CD441E">
        <w:rPr>
          <w:lang w:val="fr-CH"/>
        </w:rPr>
        <w:t> %;</w:t>
      </w:r>
    </w:p>
    <w:p w:rsidR="00CD441E" w:rsidRPr="00CD441E" w:rsidRDefault="00610809" w:rsidP="00610809">
      <w:pPr>
        <w:pStyle w:val="SingleTxt"/>
        <w:ind w:left="2693" w:hanging="1426"/>
        <w:rPr>
          <w:lang w:val="fr-CH"/>
        </w:rPr>
      </w:pPr>
      <w:r>
        <w:rPr>
          <w:lang w:val="fr-CH"/>
        </w:rPr>
        <w:tab/>
      </w:r>
      <w:r w:rsidR="00CD441E">
        <w:rPr>
          <w:lang w:val="fr-CH"/>
        </w:rPr>
        <w:tab/>
      </w:r>
      <w:r w:rsidR="00CD441E" w:rsidRPr="00CD441E">
        <w:rPr>
          <w:lang w:val="fr-CH"/>
        </w:rPr>
        <w:t>c)</w:t>
      </w:r>
      <w:r w:rsidR="00CD441E" w:rsidRPr="00CD441E">
        <w:rPr>
          <w:lang w:val="fr-CH"/>
        </w:rPr>
        <w:tab/>
        <w:t>Si l’on emploie à la fois une couche d’eau et une couverture d’azote, la matière doit être recouverte d’une couche d’eau. Le taux de remplissage à une température de 60 °C ne doit pas dépasser 98</w:t>
      </w:r>
      <w:r w:rsidR="00CD441E">
        <w:rPr>
          <w:lang w:val="fr-CH"/>
        </w:rPr>
        <w:t> </w:t>
      </w:r>
      <w:r w:rsidR="00CD441E" w:rsidRPr="00CD441E">
        <w:rPr>
          <w:lang w:val="fr-CH"/>
        </w:rPr>
        <w:t>%. L’espace restant doit être rempli d’azote.</w:t>
      </w:r>
    </w:p>
    <w:p w:rsidR="00CD441E" w:rsidRPr="00CD441E" w:rsidRDefault="00BC24BD" w:rsidP="00BC24BD">
      <w:pPr>
        <w:pStyle w:val="SingleTxt"/>
        <w:ind w:left="2218" w:hanging="951"/>
        <w:rPr>
          <w:lang w:val="fr-CH"/>
        </w:rPr>
      </w:pPr>
      <w:r>
        <w:rPr>
          <w:lang w:val="fr-CH"/>
        </w:rPr>
        <w:lastRenderedPageBreak/>
        <w:tab/>
      </w:r>
      <w:r>
        <w:rPr>
          <w:lang w:val="fr-CH"/>
        </w:rPr>
        <w:tab/>
      </w:r>
      <w:r w:rsidR="00CD441E" w:rsidRPr="00CD441E">
        <w:rPr>
          <w:lang w:val="fr-CH"/>
        </w:rPr>
        <w:t>Si l’on emploie de l’eau comme agent de protection, du 1</w:t>
      </w:r>
      <w:r w:rsidR="00CD441E" w:rsidRPr="00CD441E">
        <w:rPr>
          <w:vertAlign w:val="superscript"/>
          <w:lang w:val="fr-CH"/>
        </w:rPr>
        <w:t>er</w:t>
      </w:r>
      <w:r w:rsidR="00CD441E">
        <w:rPr>
          <w:lang w:val="fr-CH"/>
        </w:rPr>
        <w:t> octobre au 31 </w:t>
      </w:r>
      <w:r w:rsidR="00CD441E" w:rsidRPr="00CD441E">
        <w:rPr>
          <w:lang w:val="fr-CH"/>
        </w:rPr>
        <w:t>mars, cette eau doit renfermer suffisamment d’agent antigel pour rendre impossible le gel de l’eau au cours du transport; l’agent antigel ne doit pas exercer d’action corrosive ni être susceptible de réagir avec le phosphore</w:t>
      </w:r>
      <w:r w:rsidR="00CD441E">
        <w:rPr>
          <w:lang w:val="fr-CH"/>
        </w:rPr>
        <w:t>.</w:t>
      </w:r>
    </w:p>
    <w:p w:rsidR="00CD441E" w:rsidRPr="00CD441E" w:rsidRDefault="00BC24BD" w:rsidP="00BC24BD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CD441E" w:rsidRPr="00CD441E">
        <w:rPr>
          <w:lang w:val="fr-CH"/>
        </w:rPr>
        <w:t>Si l’on emploie de l’azote comme agent de protection, l’espace restant dans la citerne doit être rempli d’azote de manière que la pression ne tombe jamais au-dessous de la pression atmosphérique, même après refroidissement. La citerne doit être fermée de façon qu’il ne se produise aucune fuite de gaz. ».</w:t>
      </w:r>
    </w:p>
    <w:p w:rsidR="00CD441E" w:rsidRDefault="00CD441E" w:rsidP="000E667D">
      <w:pPr>
        <w:pStyle w:val="SingleTxt"/>
        <w:numPr>
          <w:ilvl w:val="0"/>
          <w:numId w:val="7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CD441E">
        <w:rPr>
          <w:lang w:val="fr-CH"/>
        </w:rPr>
        <w:t>La Lettonie est favorable à la deuxième option.</w:t>
      </w:r>
    </w:p>
    <w:p w:rsidR="00CD441E" w:rsidRPr="00CD441E" w:rsidRDefault="00CD441E" w:rsidP="00CD441E">
      <w:pPr>
        <w:pStyle w:val="SingleTxt"/>
        <w:spacing w:after="0" w:line="120" w:lineRule="exact"/>
        <w:rPr>
          <w:sz w:val="10"/>
          <w:lang w:val="fr-CH"/>
        </w:rPr>
      </w:pPr>
    </w:p>
    <w:p w:rsidR="00CD441E" w:rsidRPr="00CD441E" w:rsidRDefault="00CD441E" w:rsidP="00CD441E">
      <w:pPr>
        <w:pStyle w:val="SingleTxt"/>
        <w:spacing w:after="0" w:line="120" w:lineRule="exact"/>
        <w:rPr>
          <w:sz w:val="10"/>
          <w:lang w:val="fr-CH"/>
        </w:rPr>
      </w:pPr>
    </w:p>
    <w:p w:rsidR="00CD441E" w:rsidRDefault="00CD441E" w:rsidP="00CD441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CD441E">
        <w:rPr>
          <w:lang w:val="fr-CH"/>
        </w:rPr>
        <w:tab/>
      </w:r>
      <w:r w:rsidRPr="00CD441E">
        <w:rPr>
          <w:lang w:val="fr-CH"/>
        </w:rPr>
        <w:tab/>
        <w:t>Justification</w:t>
      </w:r>
    </w:p>
    <w:p w:rsidR="00CD441E" w:rsidRPr="00CD441E" w:rsidRDefault="00CD441E" w:rsidP="00CD441E">
      <w:pPr>
        <w:pStyle w:val="SingleTxt"/>
        <w:spacing w:after="0" w:line="120" w:lineRule="exact"/>
        <w:rPr>
          <w:sz w:val="10"/>
          <w:lang w:val="fr-CH"/>
        </w:rPr>
      </w:pPr>
    </w:p>
    <w:p w:rsidR="00CD441E" w:rsidRPr="00CD441E" w:rsidRDefault="00CD441E" w:rsidP="00CD441E">
      <w:pPr>
        <w:pStyle w:val="SingleTxt"/>
        <w:spacing w:after="0" w:line="120" w:lineRule="exact"/>
        <w:rPr>
          <w:sz w:val="10"/>
          <w:lang w:val="fr-CH"/>
        </w:rPr>
      </w:pPr>
    </w:p>
    <w:p w:rsidR="00CD441E" w:rsidRDefault="00CD441E" w:rsidP="000E667D">
      <w:pPr>
        <w:pStyle w:val="SingleTxt"/>
        <w:numPr>
          <w:ilvl w:val="0"/>
          <w:numId w:val="7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CD441E">
        <w:rPr>
          <w:lang w:val="fr-CH"/>
        </w:rPr>
        <w:t>L’amendement proposé élimine le risque de mauvaise compréhension de la disposition spéciale TU21 du 4.3.5.</w:t>
      </w:r>
    </w:p>
    <w:p w:rsidR="00CD441E" w:rsidRPr="00CD441E" w:rsidRDefault="00CD441E" w:rsidP="00CD441E">
      <w:pPr>
        <w:pStyle w:val="SingleTxt"/>
        <w:spacing w:after="0" w:line="120" w:lineRule="exact"/>
        <w:rPr>
          <w:sz w:val="10"/>
          <w:lang w:val="fr-CH"/>
        </w:rPr>
      </w:pPr>
    </w:p>
    <w:p w:rsidR="00CD441E" w:rsidRPr="00CD441E" w:rsidRDefault="00CD441E" w:rsidP="00CD441E">
      <w:pPr>
        <w:pStyle w:val="SingleTxt"/>
        <w:spacing w:after="0" w:line="120" w:lineRule="exact"/>
        <w:rPr>
          <w:sz w:val="10"/>
          <w:lang w:val="fr-CH"/>
        </w:rPr>
      </w:pPr>
    </w:p>
    <w:p w:rsidR="00CD441E" w:rsidRDefault="00CD441E" w:rsidP="00CD441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 w:rsidRPr="00CD441E">
        <w:rPr>
          <w:lang w:val="fr-CH"/>
        </w:rPr>
        <w:tab/>
        <w:t>Applicabilité</w:t>
      </w:r>
    </w:p>
    <w:p w:rsidR="00CD441E" w:rsidRPr="00CD441E" w:rsidRDefault="00CD441E" w:rsidP="00CD441E">
      <w:pPr>
        <w:pStyle w:val="SingleTxt"/>
        <w:spacing w:after="0" w:line="120" w:lineRule="exact"/>
        <w:rPr>
          <w:sz w:val="10"/>
          <w:lang w:val="fr-CH"/>
        </w:rPr>
      </w:pPr>
    </w:p>
    <w:p w:rsidR="00CD441E" w:rsidRPr="00CD441E" w:rsidRDefault="00CD441E" w:rsidP="00CD441E">
      <w:pPr>
        <w:pStyle w:val="SingleTxt"/>
        <w:spacing w:after="0" w:line="120" w:lineRule="exact"/>
        <w:rPr>
          <w:sz w:val="10"/>
          <w:lang w:val="fr-CH"/>
        </w:rPr>
      </w:pPr>
    </w:p>
    <w:p w:rsidR="00BB5F90" w:rsidRDefault="00CD441E" w:rsidP="000E667D">
      <w:pPr>
        <w:pStyle w:val="SingleTxt"/>
        <w:numPr>
          <w:ilvl w:val="0"/>
          <w:numId w:val="7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CD441E">
        <w:rPr>
          <w:lang w:val="fr-CH"/>
        </w:rPr>
        <w:t>Aucune difficulté n’est prévue.</w:t>
      </w:r>
    </w:p>
    <w:p w:rsidR="00CD441E" w:rsidRPr="00CD441E" w:rsidRDefault="00240DB9" w:rsidP="00CD441E">
      <w:pPr>
        <w:pStyle w:val="SingleTxt"/>
        <w:spacing w:after="0" w:line="240" w:lineRule="auto"/>
      </w:pPr>
      <w:r w:rsidRPr="00240DB9">
        <w:rPr>
          <w:noProof/>
          <w:w w:val="100"/>
          <w:lang w:val="en-GB" w:eastAsia="en-GB"/>
        </w:rPr>
        <w:pict>
          <v:line id="Straight Connector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<w10:wrap anchorx="page"/>
          </v:line>
        </w:pict>
      </w:r>
    </w:p>
    <w:sectPr w:rsidR="00CD441E" w:rsidRPr="00CD441E" w:rsidSect="00BB5F90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AF" w:rsidRDefault="00313BAF" w:rsidP="00F3330B">
      <w:pPr>
        <w:spacing w:line="240" w:lineRule="auto"/>
      </w:pPr>
      <w:r>
        <w:separator/>
      </w:r>
    </w:p>
  </w:endnote>
  <w:endnote w:type="continuationSeparator" w:id="0">
    <w:p w:rsidR="00313BAF" w:rsidRDefault="00313BAF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Layout w:type="fixed"/>
      <w:tblLook w:val="0000"/>
    </w:tblPr>
    <w:tblGrid>
      <w:gridCol w:w="5126"/>
      <w:gridCol w:w="5127"/>
    </w:tblGrid>
    <w:tr w:rsidR="00BB5F90" w:rsidTr="00BB5F90">
      <w:trPr>
        <w:jc w:val="center"/>
      </w:trPr>
      <w:tc>
        <w:tcPr>
          <w:tcW w:w="5126" w:type="dxa"/>
          <w:shd w:val="clear" w:color="auto" w:fill="auto"/>
        </w:tcPr>
        <w:p w:rsidR="00BB5F90" w:rsidRPr="00BB5F90" w:rsidRDefault="00240DB9" w:rsidP="00BB5F90">
          <w:pPr>
            <w:pStyle w:val="Pieddepage"/>
            <w:jc w:val="right"/>
            <w:rPr>
              <w:b w:val="0"/>
              <w:w w:val="103"/>
              <w:sz w:val="14"/>
            </w:rPr>
          </w:pPr>
          <w:fldSimple w:instr=" DOCVARIABLE &quot;FooterJN&quot; \* MERGEFORMAT ">
            <w:r w:rsidR="00E02E71">
              <w:rPr>
                <w:b w:val="0"/>
                <w:w w:val="103"/>
                <w:sz w:val="14"/>
              </w:rPr>
              <w:t>GE.15-10220</w:t>
            </w:r>
          </w:fldSimple>
        </w:p>
      </w:tc>
      <w:tc>
        <w:tcPr>
          <w:tcW w:w="5127" w:type="dxa"/>
          <w:shd w:val="clear" w:color="auto" w:fill="auto"/>
        </w:tcPr>
        <w:p w:rsidR="00BB5F90" w:rsidRPr="00BB5F90" w:rsidRDefault="00240DB9" w:rsidP="00BB5F90">
          <w:pPr>
            <w:pStyle w:val="Pieddepage"/>
            <w:rPr>
              <w:w w:val="103"/>
            </w:rPr>
          </w:pPr>
          <w:r>
            <w:rPr>
              <w:w w:val="103"/>
            </w:rPr>
            <w:fldChar w:fldCharType="begin"/>
          </w:r>
          <w:r w:rsidR="00BB5F90"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2122A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 w:rsidR="00BB5F90">
            <w:rPr>
              <w:w w:val="103"/>
            </w:rPr>
            <w:t>/</w:t>
          </w:r>
          <w:fldSimple w:instr=" NUMPAGES  \* Arabic  \* MERGEFORMAT ">
            <w:r w:rsidR="00F2122A">
              <w:rPr>
                <w:noProof/>
                <w:w w:val="103"/>
              </w:rPr>
              <w:t>3</w:t>
            </w:r>
          </w:fldSimple>
        </w:p>
      </w:tc>
    </w:tr>
  </w:tbl>
  <w:p w:rsidR="00BB5F90" w:rsidRPr="00BB5F90" w:rsidRDefault="00BB5F90" w:rsidP="00BB5F9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Layout w:type="fixed"/>
      <w:tblLook w:val="0000"/>
    </w:tblPr>
    <w:tblGrid>
      <w:gridCol w:w="5126"/>
      <w:gridCol w:w="5127"/>
    </w:tblGrid>
    <w:tr w:rsidR="00BB5F90" w:rsidTr="00BB5F90">
      <w:trPr>
        <w:jc w:val="center"/>
      </w:trPr>
      <w:tc>
        <w:tcPr>
          <w:tcW w:w="5126" w:type="dxa"/>
          <w:shd w:val="clear" w:color="auto" w:fill="auto"/>
        </w:tcPr>
        <w:p w:rsidR="00BB5F90" w:rsidRPr="00BB5F90" w:rsidRDefault="00240DB9" w:rsidP="00BB5F90">
          <w:pPr>
            <w:pStyle w:val="Pieddepage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 w:rsidR="00BB5F90"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2122A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 w:rsidR="00BB5F90">
            <w:rPr>
              <w:w w:val="103"/>
            </w:rPr>
            <w:t>/</w:t>
          </w:r>
          <w:fldSimple w:instr=" NUMPAGES  \* Arabic  \* MERGEFORMAT ">
            <w:r w:rsidR="00F2122A">
              <w:rPr>
                <w:noProof/>
                <w:w w:val="103"/>
              </w:rPr>
              <w:t>3</w:t>
            </w:r>
          </w:fldSimple>
        </w:p>
      </w:tc>
      <w:tc>
        <w:tcPr>
          <w:tcW w:w="5127" w:type="dxa"/>
          <w:shd w:val="clear" w:color="auto" w:fill="auto"/>
        </w:tcPr>
        <w:p w:rsidR="00BB5F90" w:rsidRPr="00BB5F90" w:rsidRDefault="00240DB9" w:rsidP="00BB5F90">
          <w:pPr>
            <w:pStyle w:val="Pieddepage"/>
            <w:rPr>
              <w:b w:val="0"/>
              <w:w w:val="103"/>
              <w:sz w:val="14"/>
            </w:rPr>
          </w:pPr>
          <w:fldSimple w:instr=" DOCVARIABLE &quot;FooterJN&quot; \* MERGEFORMAT ">
            <w:r w:rsidR="00E02E71">
              <w:rPr>
                <w:b w:val="0"/>
                <w:w w:val="103"/>
                <w:sz w:val="14"/>
              </w:rPr>
              <w:t>GE.15-10220</w:t>
            </w:r>
          </w:fldSimple>
        </w:p>
      </w:tc>
    </w:tr>
  </w:tbl>
  <w:p w:rsidR="00BB5F90" w:rsidRPr="00BB5F90" w:rsidRDefault="00BB5F90" w:rsidP="00BB5F9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F90" w:rsidRDefault="00BB5F90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15/AC.1/2015/3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15/AC.1/2015/3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  <w:tbl>
    <w:tblPr>
      <w:tblW w:w="0" w:type="auto"/>
      <w:tblLayout w:type="fixed"/>
      <w:tblLook w:val="0000"/>
    </w:tblPr>
    <w:tblGrid>
      <w:gridCol w:w="3859"/>
      <w:gridCol w:w="5127"/>
    </w:tblGrid>
    <w:tr w:rsidR="00BB5F90" w:rsidTr="00BB5F90">
      <w:tc>
        <w:tcPr>
          <w:tcW w:w="3859" w:type="dxa"/>
        </w:tcPr>
        <w:p w:rsidR="00BB5F90" w:rsidRDefault="00240DB9" w:rsidP="00BB5F90">
          <w:pPr>
            <w:pStyle w:val="Pieddepage"/>
            <w:rPr>
              <w:b w:val="0"/>
              <w:sz w:val="20"/>
            </w:rPr>
          </w:pPr>
          <w:fldSimple w:instr=" DOCVARIABLE &quot;jobn&quot; \* MERGEFORMAT ">
            <w:r w:rsidR="00E02E71">
              <w:rPr>
                <w:b w:val="0"/>
                <w:sz w:val="20"/>
              </w:rPr>
              <w:t>GE.15-10220 (F)</w:t>
            </w:r>
          </w:fldSimple>
          <w:r w:rsidR="00BB5F90">
            <w:rPr>
              <w:b w:val="0"/>
              <w:sz w:val="20"/>
            </w:rPr>
            <w:t xml:space="preserve">    300715    </w:t>
          </w:r>
          <w:r w:rsidR="00134F4C">
            <w:rPr>
              <w:b w:val="0"/>
              <w:sz w:val="20"/>
            </w:rPr>
            <w:t>0308</w:t>
          </w:r>
          <w:r w:rsidR="00BB5F90">
            <w:rPr>
              <w:b w:val="0"/>
              <w:sz w:val="20"/>
            </w:rPr>
            <w:t>15</w:t>
          </w:r>
        </w:p>
        <w:p w:rsidR="00BB5F90" w:rsidRPr="00BB5F90" w:rsidRDefault="00240DB9" w:rsidP="00BB5F90">
          <w:pPr>
            <w:pStyle w:val="Pieddepage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fldSimple w:instr=" DOCVARIABLE &quot;Barcode&quot; \* MERGEFORMAT ">
            <w:r w:rsidR="00E02E71">
              <w:rPr>
                <w:rFonts w:ascii="Barcode 3 of 9 by request" w:hAnsi="Barcode 3 of 9 by request"/>
                <w:b w:val="0"/>
                <w:spacing w:val="0"/>
                <w:w w:val="100"/>
                <w:sz w:val="24"/>
              </w:rPr>
              <w:t>*1510220*</w:t>
            </w:r>
          </w:fldSimple>
        </w:p>
      </w:tc>
      <w:tc>
        <w:tcPr>
          <w:tcW w:w="5127" w:type="dxa"/>
        </w:tcPr>
        <w:p w:rsidR="00BB5F90" w:rsidRDefault="00BB5F90" w:rsidP="00BB5F90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B5F90" w:rsidRPr="00BB5F90" w:rsidRDefault="00BB5F90" w:rsidP="00BB5F90">
    <w:pPr>
      <w:pStyle w:val="Pieddepage"/>
      <w:spacing w:line="56" w:lineRule="exact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AF" w:rsidRPr="00B13FD5" w:rsidRDefault="00B13FD5" w:rsidP="00B13FD5">
      <w:pPr>
        <w:pStyle w:val="Pieddepage"/>
        <w:spacing w:after="80"/>
        <w:ind w:left="792"/>
        <w:rPr>
          <w:sz w:val="16"/>
        </w:rPr>
      </w:pPr>
      <w:r w:rsidRPr="00B13FD5">
        <w:rPr>
          <w:sz w:val="16"/>
        </w:rPr>
        <w:t>__________________</w:t>
      </w:r>
    </w:p>
  </w:footnote>
  <w:footnote w:type="continuationSeparator" w:id="0">
    <w:p w:rsidR="00313BAF" w:rsidRPr="00B13FD5" w:rsidRDefault="00B13FD5" w:rsidP="00B13FD5">
      <w:pPr>
        <w:pStyle w:val="Pieddepage"/>
        <w:spacing w:after="80"/>
        <w:ind w:left="792"/>
        <w:rPr>
          <w:sz w:val="16"/>
        </w:rPr>
      </w:pPr>
      <w:r w:rsidRPr="00B13FD5">
        <w:rPr>
          <w:sz w:val="16"/>
        </w:rPr>
        <w:t>__________________</w:t>
      </w:r>
    </w:p>
  </w:footnote>
  <w:footnote w:id="1">
    <w:p w:rsidR="00B75522" w:rsidRPr="00B75522" w:rsidRDefault="00B75522" w:rsidP="00B13FD5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5"/>
          <w:w w:val="104"/>
          <w:lang w:val="fr-CH"/>
        </w:rPr>
      </w:pPr>
      <w:r>
        <w:tab/>
      </w:r>
      <w:r w:rsidRPr="00B75522">
        <w:rPr>
          <w:rStyle w:val="Appelnotedebasdep"/>
          <w:color w:val="auto"/>
        </w:rPr>
        <w:footnoteRef/>
      </w:r>
      <w:r w:rsidRPr="00B75522">
        <w:t xml:space="preserve"> </w:t>
      </w:r>
      <w:r w:rsidRPr="00B75522">
        <w:tab/>
        <w:t>Conformément au programme de travail du Comité des transports intérieurs pour la période 2014-2015 (ECE/TRANS/240, par. 100, ECE/TRANS/2014/23, module 9, par. 9.2).</w:t>
      </w:r>
    </w:p>
  </w:footnote>
  <w:footnote w:id="2">
    <w:p w:rsidR="00B75522" w:rsidRPr="00B75522" w:rsidRDefault="00B75522" w:rsidP="00B13FD5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5"/>
          <w:w w:val="104"/>
          <w:lang w:val="fr-CH"/>
        </w:rPr>
      </w:pPr>
      <w:r w:rsidRPr="00B75522">
        <w:tab/>
      </w:r>
      <w:r w:rsidRPr="00B75522">
        <w:rPr>
          <w:rStyle w:val="Appelnotedebasdep"/>
          <w:color w:val="auto"/>
        </w:rPr>
        <w:footnoteRef/>
      </w:r>
      <w:r w:rsidRPr="00B75522">
        <w:t xml:space="preserve"> </w:t>
      </w:r>
      <w:r>
        <w:tab/>
        <w:t xml:space="preserve">Diffusée par l’Organisation intergouvernementale pour les transports internationaux ferroviaires (OTIF) sous la cote </w:t>
      </w:r>
      <w:r w:rsidRPr="00562198">
        <w:t>OTIF/RID/RC/2015/31.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BB5F90" w:rsidTr="00BB5F9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B5F90" w:rsidRPr="00BB5F90" w:rsidRDefault="00240DB9" w:rsidP="00BB5F90">
          <w:pPr>
            <w:pStyle w:val="En-tte"/>
            <w:spacing w:after="80"/>
            <w:rPr>
              <w:b/>
              <w:color w:val="000000"/>
            </w:rPr>
          </w:pPr>
          <w:fldSimple w:instr=" DOCVARIABLE &quot;sss1&quot; \* MERGEFORMAT ">
            <w:r w:rsidR="00E02E71">
              <w:rPr>
                <w:b/>
                <w:color w:val="000000"/>
              </w:rPr>
              <w:t>ECE/TRANS/WP.15/AC.1/2015/31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BB5F90" w:rsidRDefault="00BB5F90" w:rsidP="00BB5F90">
          <w:pPr>
            <w:pStyle w:val="En-tte"/>
          </w:pPr>
        </w:p>
      </w:tc>
    </w:tr>
  </w:tbl>
  <w:p w:rsidR="00BB5F90" w:rsidRPr="00BB5F90" w:rsidRDefault="00BB5F90" w:rsidP="00BB5F90">
    <w:pPr>
      <w:pStyle w:val="En-tte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BB5F90" w:rsidTr="00BB5F9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B5F90" w:rsidRDefault="00BB5F90" w:rsidP="00BB5F90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BB5F90" w:rsidRPr="00BB5F90" w:rsidRDefault="00240DB9" w:rsidP="00BB5F90">
          <w:pPr>
            <w:pStyle w:val="En-tte"/>
            <w:spacing w:after="80"/>
            <w:jc w:val="right"/>
            <w:rPr>
              <w:b/>
              <w:color w:val="000000"/>
            </w:rPr>
          </w:pPr>
          <w:fldSimple w:instr=" DOCVARIABLE &quot;sss1&quot; \* MERGEFORMAT ">
            <w:r w:rsidR="00E02E71">
              <w:rPr>
                <w:b/>
                <w:color w:val="000000"/>
              </w:rPr>
              <w:t>ECE/TRANS/WP.15/AC.1/2015/31</w:t>
            </w:r>
          </w:fldSimple>
        </w:p>
      </w:tc>
    </w:tr>
  </w:tbl>
  <w:p w:rsidR="00BB5F90" w:rsidRPr="00BB5F90" w:rsidRDefault="00BB5F90" w:rsidP="00BB5F90">
    <w:pPr>
      <w:pStyle w:val="En-tte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7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2059"/>
      <w:gridCol w:w="58"/>
      <w:gridCol w:w="3110"/>
      <w:gridCol w:w="245"/>
      <w:gridCol w:w="3280"/>
      <w:gridCol w:w="18"/>
    </w:tblGrid>
    <w:tr w:rsidR="00BB5F90" w:rsidTr="00BB5F90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B5F90" w:rsidRDefault="00BB5F90" w:rsidP="00BB5F90">
          <w:pPr>
            <w:pStyle w:val="En-tte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B5F90" w:rsidRPr="00BB5F90" w:rsidRDefault="00BB5F90" w:rsidP="00BB5F90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B5F90" w:rsidRDefault="00BB5F90" w:rsidP="00BB5F90">
          <w:pPr>
            <w:pStyle w:val="En-tte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BB5F90" w:rsidRPr="00BB5F90" w:rsidRDefault="00BB5F90" w:rsidP="00BB5F9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/TRANS/WP.15/AC.1/2015/31</w:t>
          </w:r>
        </w:p>
      </w:tc>
    </w:tr>
    <w:tr w:rsidR="00BB5F90" w:rsidRPr="00BB5F90" w:rsidTr="00BB5F90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B5F90" w:rsidRPr="00BB5F90" w:rsidRDefault="00BB5F90" w:rsidP="00BB5F90">
          <w:pPr>
            <w:pStyle w:val="En-tte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B5F90" w:rsidRPr="00BB5F90" w:rsidRDefault="00BB5F90" w:rsidP="00BB5F90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B5F90" w:rsidRPr="00BB5F90" w:rsidRDefault="00BB5F90" w:rsidP="00BB5F90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B5F90" w:rsidRPr="00E02E71" w:rsidRDefault="00BB5F90" w:rsidP="00BB5F90">
          <w:pPr>
            <w:pStyle w:val="Distribution"/>
            <w:rPr>
              <w:color w:val="000000"/>
              <w:lang w:val="fr-CH"/>
            </w:rPr>
          </w:pPr>
          <w:proofErr w:type="spellStart"/>
          <w:r w:rsidRPr="00E02E71">
            <w:rPr>
              <w:color w:val="000000"/>
              <w:lang w:val="fr-CH"/>
            </w:rPr>
            <w:t>Distr</w:t>
          </w:r>
          <w:proofErr w:type="spellEnd"/>
          <w:r w:rsidRPr="00E02E71">
            <w:rPr>
              <w:color w:val="000000"/>
              <w:lang w:val="fr-CH"/>
            </w:rPr>
            <w:t>. générale</w:t>
          </w:r>
        </w:p>
        <w:p w:rsidR="00BB5F90" w:rsidRPr="00E02E71" w:rsidRDefault="00BB5F90" w:rsidP="00BB5F90">
          <w:pPr>
            <w:pStyle w:val="Publication"/>
            <w:rPr>
              <w:color w:val="000000"/>
              <w:lang w:val="fr-CH"/>
            </w:rPr>
          </w:pPr>
          <w:r w:rsidRPr="00E02E71">
            <w:rPr>
              <w:color w:val="000000"/>
              <w:lang w:val="fr-CH"/>
            </w:rPr>
            <w:t>22 juin 2015</w:t>
          </w:r>
        </w:p>
        <w:p w:rsidR="00BB5F90" w:rsidRPr="00E02E71" w:rsidRDefault="00BB5F90" w:rsidP="00BB5F90">
          <w:pPr>
            <w:rPr>
              <w:lang w:val="fr-CH"/>
            </w:rPr>
          </w:pPr>
          <w:r w:rsidRPr="00E02E71">
            <w:rPr>
              <w:lang w:val="fr-CH"/>
            </w:rPr>
            <w:t>Français</w:t>
          </w:r>
        </w:p>
        <w:p w:rsidR="00BB5F90" w:rsidRPr="00E02E71" w:rsidRDefault="00BB5F90" w:rsidP="00BB5F90">
          <w:pPr>
            <w:pStyle w:val="Original"/>
            <w:rPr>
              <w:color w:val="000000"/>
              <w:lang w:val="fr-CH"/>
            </w:rPr>
          </w:pPr>
          <w:r w:rsidRPr="00E02E71">
            <w:rPr>
              <w:color w:val="000000"/>
              <w:lang w:val="fr-CH"/>
            </w:rPr>
            <w:t>Original : anglais</w:t>
          </w:r>
        </w:p>
      </w:tc>
    </w:tr>
  </w:tbl>
  <w:p w:rsidR="00BB5F90" w:rsidRPr="00E02E71" w:rsidRDefault="00BB5F90" w:rsidP="00BB5F90">
    <w:pPr>
      <w:pStyle w:val="En-tte"/>
      <w:spacing w:line="240" w:lineRule="auto"/>
      <w:rPr>
        <w:sz w:val="2"/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235"/>
    <w:multiLevelType w:val="singleLevel"/>
    <w:tmpl w:val="AA1469E6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Titre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43DAB"/>
    <w:multiLevelType w:val="singleLevel"/>
    <w:tmpl w:val="39888818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5">
    <w:nsid w:val="31084F48"/>
    <w:multiLevelType w:val="singleLevel"/>
    <w:tmpl w:val="39888818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6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D4BB9"/>
    <w:multiLevelType w:val="hybridMultilevel"/>
    <w:tmpl w:val="06203A0C"/>
    <w:lvl w:ilvl="0" w:tplc="7B92F56E">
      <w:start w:val="1"/>
      <w:numFmt w:val="decimal"/>
      <w:lvlText w:val="%1."/>
      <w:lvlJc w:val="left"/>
      <w:pPr>
        <w:ind w:left="17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</w:compat>
  <w:docVars>
    <w:docVar w:name="Barcode" w:val="*1510220*"/>
    <w:docVar w:name="CreationDt" w:val="7/30/2015 5:08: PM"/>
    <w:docVar w:name="DocCategory" w:val="Doc"/>
    <w:docVar w:name="DocType" w:val="Final"/>
    <w:docVar w:name="DutyStation" w:val="Geneva"/>
    <w:docVar w:name="FooterJN" w:val="GE.15-10220"/>
    <w:docVar w:name="jobn" w:val="GE.15-10220 (F)"/>
    <w:docVar w:name="jobnDT" w:val="GE.15-10220 (F)   300715"/>
    <w:docVar w:name="jobnDTDT" w:val="GE.15-10220 (F)   300715   300715"/>
    <w:docVar w:name="JobNo" w:val="GE.1510220F"/>
    <w:docVar w:name="JobNo2" w:val="GE.1513114F"/>
    <w:docVar w:name="LocalDrive" w:val="0"/>
    <w:docVar w:name="OandT" w:val="M. Deschamps"/>
    <w:docVar w:name="PaperSize" w:val="A4"/>
    <w:docVar w:name="sss1" w:val="ECE/TRANS/WP.15/AC.1/2015/31"/>
    <w:docVar w:name="sss2" w:val="-"/>
    <w:docVar w:name="Symbol1" w:val="ECE/TRANS/WP.15/AC.1/2015/31"/>
    <w:docVar w:name="Symbol2" w:val="-"/>
  </w:docVars>
  <w:rsids>
    <w:rsidRoot w:val="00313BAF"/>
    <w:rsid w:val="000015B8"/>
    <w:rsid w:val="000046A5"/>
    <w:rsid w:val="000055FB"/>
    <w:rsid w:val="00012EBB"/>
    <w:rsid w:val="00016483"/>
    <w:rsid w:val="00022173"/>
    <w:rsid w:val="0002226F"/>
    <w:rsid w:val="00022B4A"/>
    <w:rsid w:val="000249FF"/>
    <w:rsid w:val="00025DE5"/>
    <w:rsid w:val="000274C2"/>
    <w:rsid w:val="00033DC9"/>
    <w:rsid w:val="000378DE"/>
    <w:rsid w:val="00040497"/>
    <w:rsid w:val="00046145"/>
    <w:rsid w:val="00050D9C"/>
    <w:rsid w:val="00054482"/>
    <w:rsid w:val="0005669A"/>
    <w:rsid w:val="00057151"/>
    <w:rsid w:val="000571B5"/>
    <w:rsid w:val="000616D7"/>
    <w:rsid w:val="000636D2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E667D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FB2"/>
    <w:rsid w:val="0013186C"/>
    <w:rsid w:val="00132A45"/>
    <w:rsid w:val="00134F4C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95B46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6598"/>
    <w:rsid w:val="00207CAA"/>
    <w:rsid w:val="0021168F"/>
    <w:rsid w:val="002178A7"/>
    <w:rsid w:val="002220FF"/>
    <w:rsid w:val="00232B53"/>
    <w:rsid w:val="00232E80"/>
    <w:rsid w:val="00237D01"/>
    <w:rsid w:val="00240DB9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7E5"/>
    <w:rsid w:val="002A69DB"/>
    <w:rsid w:val="002B037D"/>
    <w:rsid w:val="002B1D15"/>
    <w:rsid w:val="002B4A7F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3BAF"/>
    <w:rsid w:val="00316628"/>
    <w:rsid w:val="00316B58"/>
    <w:rsid w:val="003235C7"/>
    <w:rsid w:val="00326270"/>
    <w:rsid w:val="00332A87"/>
    <w:rsid w:val="003342DF"/>
    <w:rsid w:val="00334FEB"/>
    <w:rsid w:val="00337015"/>
    <w:rsid w:val="003406CA"/>
    <w:rsid w:val="00340736"/>
    <w:rsid w:val="00343F8A"/>
    <w:rsid w:val="003441A5"/>
    <w:rsid w:val="003506F1"/>
    <w:rsid w:val="003555DE"/>
    <w:rsid w:val="00355810"/>
    <w:rsid w:val="003559A7"/>
    <w:rsid w:val="00355A75"/>
    <w:rsid w:val="00356B67"/>
    <w:rsid w:val="00362737"/>
    <w:rsid w:val="00362F57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27A0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42B2"/>
    <w:rsid w:val="00434C06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08BA"/>
    <w:rsid w:val="004814BB"/>
    <w:rsid w:val="00481634"/>
    <w:rsid w:val="00487428"/>
    <w:rsid w:val="00491CD5"/>
    <w:rsid w:val="00492DC3"/>
    <w:rsid w:val="004973EC"/>
    <w:rsid w:val="004A0AA6"/>
    <w:rsid w:val="004A186E"/>
    <w:rsid w:val="004A2319"/>
    <w:rsid w:val="004A2455"/>
    <w:rsid w:val="004A698E"/>
    <w:rsid w:val="004A7606"/>
    <w:rsid w:val="004B7E99"/>
    <w:rsid w:val="004C1A6A"/>
    <w:rsid w:val="004C304C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657"/>
    <w:rsid w:val="00523069"/>
    <w:rsid w:val="00523378"/>
    <w:rsid w:val="0052413A"/>
    <w:rsid w:val="00525A3D"/>
    <w:rsid w:val="00527615"/>
    <w:rsid w:val="00527DD0"/>
    <w:rsid w:val="00530DD2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D7CA9"/>
    <w:rsid w:val="005E6F02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0809"/>
    <w:rsid w:val="00611860"/>
    <w:rsid w:val="00611DA0"/>
    <w:rsid w:val="00612407"/>
    <w:rsid w:val="006125AC"/>
    <w:rsid w:val="00617EBE"/>
    <w:rsid w:val="0062117B"/>
    <w:rsid w:val="00622055"/>
    <w:rsid w:val="00627214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2026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207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21866"/>
    <w:rsid w:val="0072436A"/>
    <w:rsid w:val="00735F3A"/>
    <w:rsid w:val="00735FB1"/>
    <w:rsid w:val="007367E1"/>
    <w:rsid w:val="007379A0"/>
    <w:rsid w:val="00743131"/>
    <w:rsid w:val="0074339E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33A79"/>
    <w:rsid w:val="00833BFF"/>
    <w:rsid w:val="0083677A"/>
    <w:rsid w:val="00837284"/>
    <w:rsid w:val="0083731D"/>
    <w:rsid w:val="008415FE"/>
    <w:rsid w:val="00842319"/>
    <w:rsid w:val="008435C2"/>
    <w:rsid w:val="00844B5C"/>
    <w:rsid w:val="00846431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249E"/>
    <w:rsid w:val="009133F5"/>
    <w:rsid w:val="00914786"/>
    <w:rsid w:val="00915680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8670F"/>
    <w:rsid w:val="00986E56"/>
    <w:rsid w:val="00990AFB"/>
    <w:rsid w:val="00991387"/>
    <w:rsid w:val="00993B88"/>
    <w:rsid w:val="00993D02"/>
    <w:rsid w:val="009943AB"/>
    <w:rsid w:val="00994740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70D0"/>
    <w:rsid w:val="009C7F1B"/>
    <w:rsid w:val="009D5A2E"/>
    <w:rsid w:val="009E0573"/>
    <w:rsid w:val="009E06DE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5D9"/>
    <w:rsid w:val="00A4236C"/>
    <w:rsid w:val="00A43CAC"/>
    <w:rsid w:val="00A45E20"/>
    <w:rsid w:val="00A46DB8"/>
    <w:rsid w:val="00A52DF2"/>
    <w:rsid w:val="00A55810"/>
    <w:rsid w:val="00A56E3B"/>
    <w:rsid w:val="00A57C5A"/>
    <w:rsid w:val="00A64AD2"/>
    <w:rsid w:val="00A72C1F"/>
    <w:rsid w:val="00A75482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F4648"/>
    <w:rsid w:val="00AF4DD3"/>
    <w:rsid w:val="00AF6B78"/>
    <w:rsid w:val="00AF73BC"/>
    <w:rsid w:val="00B01631"/>
    <w:rsid w:val="00B01D80"/>
    <w:rsid w:val="00B05198"/>
    <w:rsid w:val="00B06C4C"/>
    <w:rsid w:val="00B10BF5"/>
    <w:rsid w:val="00B13FD5"/>
    <w:rsid w:val="00B145B5"/>
    <w:rsid w:val="00B152AC"/>
    <w:rsid w:val="00B16C8B"/>
    <w:rsid w:val="00B20969"/>
    <w:rsid w:val="00B22BE8"/>
    <w:rsid w:val="00B230CA"/>
    <w:rsid w:val="00B2356B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426B8"/>
    <w:rsid w:val="00B503F3"/>
    <w:rsid w:val="00B504C9"/>
    <w:rsid w:val="00B52A47"/>
    <w:rsid w:val="00B53FB4"/>
    <w:rsid w:val="00B541C6"/>
    <w:rsid w:val="00B556DD"/>
    <w:rsid w:val="00B5798F"/>
    <w:rsid w:val="00B61CB4"/>
    <w:rsid w:val="00B65DB9"/>
    <w:rsid w:val="00B66644"/>
    <w:rsid w:val="00B67756"/>
    <w:rsid w:val="00B70DA9"/>
    <w:rsid w:val="00B712B0"/>
    <w:rsid w:val="00B71802"/>
    <w:rsid w:val="00B7200B"/>
    <w:rsid w:val="00B75522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B5F90"/>
    <w:rsid w:val="00BC0F9A"/>
    <w:rsid w:val="00BC24BD"/>
    <w:rsid w:val="00BC43E2"/>
    <w:rsid w:val="00BD0917"/>
    <w:rsid w:val="00BD1607"/>
    <w:rsid w:val="00BD45A0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41E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F48"/>
    <w:rsid w:val="00D265B2"/>
    <w:rsid w:val="00D26BA6"/>
    <w:rsid w:val="00D27D4B"/>
    <w:rsid w:val="00D320C3"/>
    <w:rsid w:val="00D33B40"/>
    <w:rsid w:val="00D35146"/>
    <w:rsid w:val="00D3596F"/>
    <w:rsid w:val="00D40BA1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FBD"/>
    <w:rsid w:val="00DE4677"/>
    <w:rsid w:val="00DE64ED"/>
    <w:rsid w:val="00DF064D"/>
    <w:rsid w:val="00DF0CBF"/>
    <w:rsid w:val="00E003D9"/>
    <w:rsid w:val="00E028F6"/>
    <w:rsid w:val="00E02E71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2DCC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13DC7"/>
    <w:rsid w:val="00F14729"/>
    <w:rsid w:val="00F14ED7"/>
    <w:rsid w:val="00F150D6"/>
    <w:rsid w:val="00F17670"/>
    <w:rsid w:val="00F17A90"/>
    <w:rsid w:val="00F2031D"/>
    <w:rsid w:val="00F2122A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3C07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0C92"/>
    <w:rsid w:val="00FE2498"/>
    <w:rsid w:val="00FE3548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6C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Titre3Car">
    <w:name w:val="Titre 3 Car"/>
    <w:link w:val="Titre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Titre4Car">
    <w:name w:val="Titre 4 Car"/>
    <w:link w:val="Titre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Titre5Car">
    <w:name w:val="Titre 5 Car"/>
    <w:link w:val="Titre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Titre6Car">
    <w:name w:val="Titre 6 Car"/>
    <w:link w:val="Titre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lev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Sansinterligne">
    <w:name w:val="No Spacing"/>
    <w:uiPriority w:val="1"/>
    <w:rsid w:val="000055FB"/>
    <w:rPr>
      <w:sz w:val="22"/>
      <w:szCs w:val="22"/>
    </w:rPr>
  </w:style>
  <w:style w:type="character" w:customStyle="1" w:styleId="Titre1Car">
    <w:name w:val="Titre 1 Car"/>
    <w:link w:val="Titre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Pieddepage">
    <w:name w:val="footer"/>
    <w:link w:val="PieddepageC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PieddepageCar">
    <w:name w:val="Pied de page Car"/>
    <w:link w:val="Pieddepage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En-tte">
    <w:name w:val="header"/>
    <w:link w:val="En-tteC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En-tteCar">
    <w:name w:val="En-tête Car"/>
    <w:link w:val="En-tte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Numrodeligne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Textedebulles">
    <w:name w:val="Balloon Text"/>
    <w:basedOn w:val="Normal"/>
    <w:link w:val="TextedebullesC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NotedebasdepageCar">
    <w:name w:val="Note de bas de page Car"/>
    <w:link w:val="Notedebasdepage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Titre7Car">
    <w:name w:val="Titre 7 Car"/>
    <w:link w:val="Titre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Titre8Car">
    <w:name w:val="Titre 8 Car"/>
    <w:link w:val="Titre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Paragraphedeliste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NotedefinCar">
    <w:name w:val="Note de fin Car"/>
    <w:link w:val="Notedefin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Appelnotedebasdep">
    <w:name w:val="footnote reference"/>
    <w:uiPriority w:val="99"/>
    <w:rsid w:val="00A4236C"/>
    <w:rPr>
      <w:color w:val="943634" w:themeColor="accent2" w:themeShade="BF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Marquedecommentaire">
    <w:name w:val="annotation reference"/>
    <w:basedOn w:val="Policepardfaut"/>
    <w:uiPriority w:val="99"/>
    <w:semiHidden/>
    <w:unhideWhenUsed/>
    <w:rsid w:val="00BB5F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5F9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5F90"/>
    <w:rPr>
      <w:rFonts w:ascii="Times New Roman" w:hAnsi="Times New Roman"/>
      <w:spacing w:val="4"/>
      <w:w w:val="103"/>
      <w:kern w:val="14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5F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5F90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6C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rsid w:val="00A4236C"/>
    <w:rPr>
      <w:color w:val="943634" w:themeColor="accent2" w:themeShade="BF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BB5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F9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F90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F90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A3A4-5F46-4494-AE93-48838A74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4052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Temporaire</dc:creator>
  <cp:lastModifiedBy>Maison</cp:lastModifiedBy>
  <cp:revision>2</cp:revision>
  <cp:lastPrinted>2015-08-03T08:27:00Z</cp:lastPrinted>
  <dcterms:created xsi:type="dcterms:W3CDTF">2015-08-11T08:55:00Z</dcterms:created>
  <dcterms:modified xsi:type="dcterms:W3CDTF">2015-08-11T08:55:00Z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1510220F</vt:lpwstr>
  </property>
  <property fmtid="{D5CDD505-2E9C-101B-9397-08002B2CF9AE}" pid="3" name="ODSRefJobNo">
    <vt:lpwstr>1513114F</vt:lpwstr>
  </property>
  <property fmtid="{D5CDD505-2E9C-101B-9397-08002B2CF9AE}" pid="4" name="Symbol1">
    <vt:lpwstr>ECE/TRANS/WP.15/AC.1/2015/31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générale</vt:lpwstr>
  </property>
  <property fmtid="{D5CDD505-2E9C-101B-9397-08002B2CF9AE}" pid="8" name="Publication Date">
    <vt:lpwstr>22 juin 2015</vt:lpwstr>
  </property>
  <property fmtid="{D5CDD505-2E9C-101B-9397-08002B2CF9AE}" pid="9" name="Original">
    <vt:lpwstr>anglais</vt:lpwstr>
  </property>
  <property fmtid="{D5CDD505-2E9C-101B-9397-08002B2CF9AE}" pid="10" name="Release Date">
    <vt:lpwstr>300715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M. Deschamps</vt:lpwstr>
  </property>
</Properties>
</file>