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4CD4" w:rsidTr="00B11BB4">
        <w:trPr>
          <w:cantSplit/>
          <w:trHeight w:hRule="exact" w:val="851"/>
        </w:trPr>
        <w:tc>
          <w:tcPr>
            <w:tcW w:w="1276" w:type="dxa"/>
            <w:tcBorders>
              <w:bottom w:val="single" w:sz="4" w:space="0" w:color="auto"/>
            </w:tcBorders>
            <w:shd w:val="clear" w:color="auto" w:fill="auto"/>
            <w:vAlign w:val="bottom"/>
          </w:tcPr>
          <w:p w:rsidR="00B56E9C" w:rsidRPr="001E2674" w:rsidRDefault="00B56E9C" w:rsidP="00B11BB4">
            <w:pPr>
              <w:spacing w:after="80"/>
            </w:pPr>
          </w:p>
        </w:tc>
        <w:tc>
          <w:tcPr>
            <w:tcW w:w="2268" w:type="dxa"/>
            <w:tcBorders>
              <w:bottom w:val="single" w:sz="4" w:space="0" w:color="auto"/>
            </w:tcBorders>
            <w:shd w:val="clear" w:color="auto" w:fill="auto"/>
            <w:vAlign w:val="bottom"/>
          </w:tcPr>
          <w:p w:rsidR="00B56E9C" w:rsidRPr="001E2674" w:rsidRDefault="00B56E9C" w:rsidP="00B11BB4">
            <w:pPr>
              <w:spacing w:after="80" w:line="300" w:lineRule="exact"/>
              <w:rPr>
                <w:b/>
                <w:sz w:val="24"/>
                <w:szCs w:val="24"/>
              </w:rPr>
            </w:pPr>
            <w:r w:rsidRPr="001E2674">
              <w:rPr>
                <w:sz w:val="28"/>
                <w:szCs w:val="28"/>
              </w:rPr>
              <w:t>United Nations</w:t>
            </w:r>
          </w:p>
        </w:tc>
        <w:tc>
          <w:tcPr>
            <w:tcW w:w="6095" w:type="dxa"/>
            <w:gridSpan w:val="2"/>
            <w:tcBorders>
              <w:bottom w:val="single" w:sz="4" w:space="0" w:color="auto"/>
            </w:tcBorders>
            <w:shd w:val="clear" w:color="auto" w:fill="auto"/>
            <w:vAlign w:val="bottom"/>
          </w:tcPr>
          <w:p w:rsidR="00B56E9C" w:rsidRPr="00684CD4" w:rsidRDefault="009D2A5B" w:rsidP="00BA7CCE">
            <w:pPr>
              <w:suppressAutoHyphens w:val="0"/>
              <w:spacing w:after="20"/>
              <w:jc w:val="right"/>
              <w:rPr>
                <w:lang w:val="en-US"/>
              </w:rPr>
            </w:pPr>
            <w:r w:rsidRPr="00684CD4">
              <w:rPr>
                <w:sz w:val="40"/>
                <w:lang w:val="en-US"/>
              </w:rPr>
              <w:t>ECE</w:t>
            </w:r>
            <w:r w:rsidRPr="00684CD4">
              <w:rPr>
                <w:lang w:val="en-US"/>
              </w:rPr>
              <w:t>/TRANS/WP.15/AC.1/201</w:t>
            </w:r>
            <w:r w:rsidR="0069232B" w:rsidRPr="00684CD4">
              <w:rPr>
                <w:lang w:val="en-US"/>
              </w:rPr>
              <w:t>5</w:t>
            </w:r>
            <w:r w:rsidRPr="00684CD4">
              <w:rPr>
                <w:lang w:val="en-US"/>
              </w:rPr>
              <w:t>/</w:t>
            </w:r>
            <w:r w:rsidR="00CF79FB">
              <w:rPr>
                <w:lang w:val="en-US"/>
              </w:rPr>
              <w:t>3</w:t>
            </w:r>
            <w:r w:rsidR="00BA7CCE">
              <w:rPr>
                <w:lang w:val="en-US"/>
              </w:rPr>
              <w:t>4</w:t>
            </w:r>
          </w:p>
        </w:tc>
      </w:tr>
      <w:tr w:rsidR="00B56E9C" w:rsidRPr="001E2674" w:rsidTr="00B11BB4">
        <w:trPr>
          <w:cantSplit/>
          <w:trHeight w:hRule="exact" w:val="2835"/>
        </w:trPr>
        <w:tc>
          <w:tcPr>
            <w:tcW w:w="1276" w:type="dxa"/>
            <w:tcBorders>
              <w:top w:val="single" w:sz="4" w:space="0" w:color="auto"/>
              <w:bottom w:val="single" w:sz="12" w:space="0" w:color="auto"/>
            </w:tcBorders>
            <w:shd w:val="clear" w:color="auto" w:fill="auto"/>
          </w:tcPr>
          <w:p w:rsidR="00B56E9C" w:rsidRPr="001E2674" w:rsidRDefault="006B798F"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E2674" w:rsidRDefault="00D773DF" w:rsidP="00B11BB4">
            <w:pPr>
              <w:spacing w:before="120" w:line="420" w:lineRule="exact"/>
              <w:rPr>
                <w:sz w:val="40"/>
                <w:szCs w:val="40"/>
              </w:rPr>
            </w:pPr>
            <w:r w:rsidRPr="001E267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1E2674" w:rsidRDefault="009D2A5B" w:rsidP="00B11BB4">
            <w:pPr>
              <w:suppressAutoHyphens w:val="0"/>
              <w:spacing w:before="240" w:line="240" w:lineRule="exact"/>
            </w:pPr>
            <w:r w:rsidRPr="001E2674">
              <w:t>Distr.: General</w:t>
            </w:r>
          </w:p>
          <w:p w:rsidR="009D2A5B" w:rsidRPr="001E2674" w:rsidRDefault="00FE1BD6" w:rsidP="00B11BB4">
            <w:pPr>
              <w:suppressAutoHyphens w:val="0"/>
            </w:pPr>
            <w:r>
              <w:t>22</w:t>
            </w:r>
            <w:r w:rsidR="00A16E58" w:rsidRPr="001E2674">
              <w:t xml:space="preserve"> </w:t>
            </w:r>
            <w:r w:rsidR="00774CE6">
              <w:t>June</w:t>
            </w:r>
            <w:r w:rsidR="001B13A5" w:rsidRPr="001E2674">
              <w:t xml:space="preserve"> 201</w:t>
            </w:r>
            <w:r w:rsidR="00A16E58" w:rsidRPr="001E2674">
              <w:t>5</w:t>
            </w:r>
          </w:p>
          <w:p w:rsidR="009D2A5B" w:rsidRPr="001E2674" w:rsidRDefault="009D2A5B" w:rsidP="00B11BB4">
            <w:pPr>
              <w:suppressAutoHyphens w:val="0"/>
            </w:pPr>
          </w:p>
          <w:p w:rsidR="00B56E9C" w:rsidRPr="001E2674" w:rsidRDefault="009D2A5B" w:rsidP="00B11BB4">
            <w:pPr>
              <w:suppressAutoHyphens w:val="0"/>
            </w:pPr>
            <w:r w:rsidRPr="001E2674">
              <w:t xml:space="preserve">Original: </w:t>
            </w:r>
            <w:r w:rsidR="0094558F" w:rsidRPr="001E2674">
              <w:t xml:space="preserve"> English</w:t>
            </w:r>
          </w:p>
        </w:tc>
      </w:tr>
    </w:tbl>
    <w:p w:rsidR="00EC106A" w:rsidRPr="001E2674" w:rsidRDefault="00EC106A">
      <w:pPr>
        <w:spacing w:before="120"/>
        <w:rPr>
          <w:b/>
          <w:sz w:val="28"/>
          <w:szCs w:val="28"/>
        </w:rPr>
      </w:pPr>
      <w:r w:rsidRPr="001E2674">
        <w:rPr>
          <w:b/>
          <w:sz w:val="28"/>
          <w:szCs w:val="28"/>
        </w:rPr>
        <w:t>Economic Commission for Europe</w:t>
      </w:r>
    </w:p>
    <w:p w:rsidR="00EC106A" w:rsidRPr="001E2674" w:rsidRDefault="00EC106A">
      <w:pPr>
        <w:spacing w:before="120"/>
        <w:rPr>
          <w:sz w:val="28"/>
          <w:szCs w:val="28"/>
        </w:rPr>
      </w:pPr>
      <w:r w:rsidRPr="001E2674">
        <w:rPr>
          <w:sz w:val="28"/>
          <w:szCs w:val="28"/>
        </w:rPr>
        <w:t>Inland Transport Committee</w:t>
      </w:r>
    </w:p>
    <w:p w:rsidR="00EC106A" w:rsidRPr="001E2674" w:rsidRDefault="00EC106A" w:rsidP="00EC106A">
      <w:pPr>
        <w:spacing w:before="120" w:after="120"/>
        <w:rPr>
          <w:b/>
          <w:sz w:val="24"/>
          <w:szCs w:val="24"/>
        </w:rPr>
      </w:pPr>
      <w:r w:rsidRPr="001E2674">
        <w:rPr>
          <w:b/>
          <w:sz w:val="24"/>
          <w:szCs w:val="24"/>
        </w:rPr>
        <w:t>Working Party on the Transport of Dangerous Goods</w:t>
      </w:r>
    </w:p>
    <w:p w:rsidR="009D2A5B" w:rsidRPr="001E2674" w:rsidRDefault="009D2A5B" w:rsidP="009D2A5B">
      <w:pPr>
        <w:rPr>
          <w:b/>
        </w:rPr>
      </w:pPr>
      <w:r w:rsidRPr="001E2674">
        <w:rPr>
          <w:b/>
        </w:rPr>
        <w:t>Joint Meeting of the RID Committee of Experts and the</w:t>
      </w:r>
    </w:p>
    <w:p w:rsidR="009D2A5B" w:rsidRPr="001E2674" w:rsidRDefault="009D2A5B" w:rsidP="009D2A5B">
      <w:pPr>
        <w:rPr>
          <w:b/>
        </w:rPr>
      </w:pPr>
      <w:r w:rsidRPr="001E2674">
        <w:rPr>
          <w:b/>
        </w:rPr>
        <w:t>Working Party on the Transport of Dangerous Goods</w:t>
      </w:r>
    </w:p>
    <w:p w:rsidR="009D2A5B" w:rsidRPr="001E2674" w:rsidRDefault="00C26AA6" w:rsidP="00BB7CD1">
      <w:r>
        <w:t>Geneva</w:t>
      </w:r>
      <w:r w:rsidR="00BB7CD1" w:rsidRPr="001E2674">
        <w:t xml:space="preserve">, </w:t>
      </w:r>
      <w:r w:rsidR="00A16E58" w:rsidRPr="001E2674">
        <w:t>1</w:t>
      </w:r>
      <w:r>
        <w:t>5</w:t>
      </w:r>
      <w:bookmarkStart w:id="0" w:name="_GoBack"/>
      <w:bookmarkEnd w:id="0"/>
      <w:r w:rsidR="00BB7CD1" w:rsidRPr="001E2674">
        <w:t>–2</w:t>
      </w:r>
      <w:r w:rsidR="00A16E58" w:rsidRPr="001E2674">
        <w:t>5</w:t>
      </w:r>
      <w:r w:rsidR="00F66565" w:rsidRPr="001E2674">
        <w:t xml:space="preserve"> </w:t>
      </w:r>
      <w:r w:rsidR="00A16E58" w:rsidRPr="001E2674">
        <w:t>September</w:t>
      </w:r>
      <w:r w:rsidR="00BB7CD1" w:rsidRPr="001E2674">
        <w:t xml:space="preserve"> 201</w:t>
      </w:r>
      <w:r w:rsidR="0069232B" w:rsidRPr="001E2674">
        <w:t>5</w:t>
      </w:r>
    </w:p>
    <w:p w:rsidR="00BB7CD1" w:rsidRPr="001E2674" w:rsidRDefault="00BB7CD1" w:rsidP="00BB7CD1">
      <w:r w:rsidRPr="001E2674">
        <w:t xml:space="preserve">Item </w:t>
      </w:r>
      <w:r w:rsidR="003870A1">
        <w:t>3</w:t>
      </w:r>
      <w:r w:rsidR="002042CE" w:rsidRPr="001E2674">
        <w:t xml:space="preserve"> </w:t>
      </w:r>
      <w:r w:rsidR="00B914A6" w:rsidRPr="001E2674">
        <w:t>(</w:t>
      </w:r>
      <w:r w:rsidR="002042CE" w:rsidRPr="001E2674">
        <w:t>b)</w:t>
      </w:r>
      <w:r w:rsidRPr="001E2674">
        <w:t xml:space="preserve"> of the provisional agenda</w:t>
      </w:r>
    </w:p>
    <w:p w:rsidR="002042CE" w:rsidRPr="001E2674" w:rsidRDefault="002042CE" w:rsidP="00BB7CD1">
      <w:pPr>
        <w:rPr>
          <w:b/>
        </w:rPr>
      </w:pPr>
      <w:r w:rsidRPr="001E2674">
        <w:rPr>
          <w:b/>
        </w:rPr>
        <w:t>Proposals for amendments to RID/ADR/ADN:</w:t>
      </w:r>
    </w:p>
    <w:p w:rsidR="00BB7CD1" w:rsidRPr="001E2674" w:rsidRDefault="002042CE" w:rsidP="00BB7CD1">
      <w:pPr>
        <w:rPr>
          <w:b/>
        </w:rPr>
      </w:pPr>
      <w:proofErr w:type="gramStart"/>
      <w:r w:rsidRPr="001E2674">
        <w:rPr>
          <w:b/>
        </w:rPr>
        <w:t>new</w:t>
      </w:r>
      <w:proofErr w:type="gramEnd"/>
      <w:r w:rsidRPr="001E2674">
        <w:rPr>
          <w:b/>
        </w:rPr>
        <w:t xml:space="preserve"> </w:t>
      </w:r>
      <w:r w:rsidR="00186147" w:rsidRPr="001E2674">
        <w:rPr>
          <w:b/>
        </w:rPr>
        <w:t>proposals</w:t>
      </w:r>
    </w:p>
    <w:p w:rsidR="00186147" w:rsidRPr="001E2674" w:rsidRDefault="009B1518" w:rsidP="00186147">
      <w:pPr>
        <w:pStyle w:val="HChG"/>
        <w:rPr>
          <w:lang w:val="en-GB"/>
        </w:rPr>
      </w:pPr>
      <w:r w:rsidRPr="001E2674">
        <w:rPr>
          <w:lang w:val="en-GB"/>
        </w:rPr>
        <w:tab/>
      </w:r>
      <w:r w:rsidRPr="001E2674">
        <w:rPr>
          <w:lang w:val="en-GB"/>
        </w:rPr>
        <w:tab/>
      </w:r>
      <w:r w:rsidR="000B022F" w:rsidRPr="00EC3D6A">
        <w:t>Amendments to the carrier obligations - Sub-section 1.4.2.2</w:t>
      </w:r>
      <w:r w:rsidR="000B022F">
        <w:t xml:space="preserve"> i</w:t>
      </w:r>
      <w:r w:rsidR="000B022F" w:rsidRPr="008021DB">
        <w:t>n RID/ADR/ADN</w:t>
      </w:r>
    </w:p>
    <w:p w:rsidR="0069232B" w:rsidRPr="001E2674" w:rsidRDefault="00186147" w:rsidP="00186147">
      <w:pPr>
        <w:pStyle w:val="H1G"/>
        <w:rPr>
          <w:sz w:val="18"/>
          <w:szCs w:val="18"/>
        </w:rPr>
      </w:pPr>
      <w:r w:rsidRPr="001E2674">
        <w:tab/>
      </w:r>
      <w:r w:rsidRPr="001E2674">
        <w:tab/>
        <w:t xml:space="preserve">Transmitted by </w:t>
      </w:r>
      <w:r w:rsidR="00A16E58" w:rsidRPr="001E2674">
        <w:t>the Government of Romania</w:t>
      </w:r>
      <w:r w:rsidR="00CF79FB" w:rsidRPr="008021DB">
        <w:rPr>
          <w:rStyle w:val="FootnoteReference"/>
          <w:b w:val="0"/>
        </w:rPr>
        <w:footnoteReference w:id="2"/>
      </w:r>
      <w:r w:rsidR="00CF79FB" w:rsidRPr="00381475">
        <w:rPr>
          <w:b w:val="0"/>
          <w:sz w:val="18"/>
          <w:szCs w:val="18"/>
          <w:vertAlign w:val="superscript"/>
        </w:rPr>
        <w:t>,</w:t>
      </w:r>
      <w:r w:rsidR="00CF79FB">
        <w:rPr>
          <w:b w:val="0"/>
          <w:sz w:val="18"/>
          <w:szCs w:val="18"/>
        </w:rPr>
        <w:t xml:space="preserve"> </w:t>
      </w:r>
      <w:r w:rsidR="00CF79FB"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86147" w:rsidRPr="001E2674" w:rsidTr="00D85A0E">
        <w:trPr>
          <w:jc w:val="center"/>
        </w:trPr>
        <w:tc>
          <w:tcPr>
            <w:tcW w:w="9637" w:type="dxa"/>
            <w:shd w:val="clear" w:color="auto" w:fill="auto"/>
          </w:tcPr>
          <w:p w:rsidR="00186147" w:rsidRPr="001E2674" w:rsidRDefault="00186147" w:rsidP="00D85A0E">
            <w:pPr>
              <w:spacing w:before="240" w:after="120"/>
              <w:ind w:left="255"/>
              <w:rPr>
                <w:i/>
                <w:sz w:val="24"/>
              </w:rPr>
            </w:pPr>
            <w:r w:rsidRPr="001E2674">
              <w:rPr>
                <w:i/>
                <w:sz w:val="24"/>
              </w:rPr>
              <w:t>Summary</w:t>
            </w:r>
          </w:p>
        </w:tc>
      </w:tr>
      <w:tr w:rsidR="00186147" w:rsidRPr="001E2674" w:rsidTr="00D85A0E">
        <w:trPr>
          <w:jc w:val="center"/>
        </w:trPr>
        <w:tc>
          <w:tcPr>
            <w:tcW w:w="9637" w:type="dxa"/>
            <w:shd w:val="clear" w:color="auto" w:fill="auto"/>
          </w:tcPr>
          <w:p w:rsidR="00186147" w:rsidRPr="001E2674" w:rsidRDefault="00186147" w:rsidP="00697A0B">
            <w:pPr>
              <w:pStyle w:val="SingleTxtG"/>
              <w:ind w:left="3401" w:hanging="2268"/>
              <w:rPr>
                <w:lang w:val="en-GB"/>
              </w:rPr>
            </w:pPr>
            <w:r w:rsidRPr="001E2674">
              <w:rPr>
                <w:b/>
                <w:lang w:val="en-GB"/>
              </w:rPr>
              <w:t>Executive summary</w:t>
            </w:r>
            <w:r w:rsidRPr="001E2674">
              <w:rPr>
                <w:lang w:val="en-GB"/>
              </w:rPr>
              <w:t>:</w:t>
            </w:r>
            <w:r w:rsidRPr="001E2674">
              <w:rPr>
                <w:lang w:val="en-GB"/>
              </w:rPr>
              <w:tab/>
            </w:r>
            <w:r w:rsidR="000B022F" w:rsidRPr="00EC3D6A">
              <w:t xml:space="preserve">Clarify carrier obligations in </w:t>
            </w:r>
            <w:r w:rsidR="000B022F">
              <w:t xml:space="preserve">the sub-section </w:t>
            </w:r>
            <w:r w:rsidR="000B022F" w:rsidRPr="00EC3D6A">
              <w:t>1.4.2.2.</w:t>
            </w:r>
          </w:p>
        </w:tc>
      </w:tr>
      <w:tr w:rsidR="00186147" w:rsidRPr="001E2674" w:rsidTr="00D85A0E">
        <w:trPr>
          <w:jc w:val="center"/>
        </w:trPr>
        <w:tc>
          <w:tcPr>
            <w:tcW w:w="9637" w:type="dxa"/>
            <w:shd w:val="clear" w:color="auto" w:fill="auto"/>
          </w:tcPr>
          <w:p w:rsidR="00186147" w:rsidRPr="001E2674" w:rsidRDefault="00186147" w:rsidP="000E157A">
            <w:pPr>
              <w:spacing w:after="120"/>
              <w:ind w:right="1133"/>
            </w:pPr>
            <w:r w:rsidRPr="001E2674">
              <w:rPr>
                <w:b/>
              </w:rPr>
              <w:tab/>
            </w:r>
            <w:r w:rsidRPr="001E2674">
              <w:rPr>
                <w:b/>
              </w:rPr>
              <w:tab/>
              <w:t>Action to be taken</w:t>
            </w:r>
            <w:r w:rsidRPr="001E2674">
              <w:t xml:space="preserve">: </w:t>
            </w:r>
            <w:r w:rsidRPr="001E2674">
              <w:tab/>
            </w:r>
            <w:r w:rsidRPr="001E2674">
              <w:tab/>
            </w:r>
            <w:r w:rsidR="000B022F" w:rsidRPr="00EC3D6A">
              <w:t>Amend the carrier obligations stipulated in 1.4.2.2</w:t>
            </w:r>
            <w:r w:rsidR="000B022F" w:rsidRPr="00D85770">
              <w:t>.</w:t>
            </w:r>
          </w:p>
        </w:tc>
      </w:tr>
      <w:tr w:rsidR="00186147" w:rsidRPr="001E2674" w:rsidTr="00D85A0E">
        <w:trPr>
          <w:jc w:val="center"/>
        </w:trPr>
        <w:tc>
          <w:tcPr>
            <w:tcW w:w="9637" w:type="dxa"/>
            <w:shd w:val="clear" w:color="auto" w:fill="auto"/>
          </w:tcPr>
          <w:p w:rsidR="000B022F" w:rsidRDefault="00186147" w:rsidP="000B022F">
            <w:pPr>
              <w:spacing w:after="120"/>
              <w:ind w:left="3401" w:right="1133" w:hanging="2268"/>
              <w:jc w:val="both"/>
              <w:rPr>
                <w:rFonts w:eastAsia="MS Mincho"/>
              </w:rPr>
            </w:pPr>
            <w:r w:rsidRPr="001E2674">
              <w:rPr>
                <w:b/>
              </w:rPr>
              <w:t>Related documents:</w:t>
            </w:r>
            <w:r w:rsidRPr="001E2674">
              <w:rPr>
                <w:b/>
              </w:rPr>
              <w:tab/>
            </w:r>
            <w:r w:rsidR="000B022F">
              <w:t xml:space="preserve">Point 11 of </w:t>
            </w:r>
            <w:r w:rsidR="000B022F" w:rsidRPr="00D85770">
              <w:rPr>
                <w:rFonts w:eastAsia="MS Mincho"/>
              </w:rPr>
              <w:t>ECE/TRANS/WP.15/</w:t>
            </w:r>
            <w:r w:rsidR="000B022F">
              <w:rPr>
                <w:rFonts w:eastAsia="MS Mincho"/>
              </w:rPr>
              <w:t xml:space="preserve">AC.1/2015/1 and paragraph </w:t>
            </w:r>
            <w:r w:rsidR="000B022F" w:rsidRPr="009066CD">
              <w:rPr>
                <w:rFonts w:eastAsia="MS Mincho"/>
              </w:rPr>
              <w:t>61</w:t>
            </w:r>
            <w:r w:rsidR="000B022F">
              <w:rPr>
                <w:rFonts w:eastAsia="MS Mincho"/>
              </w:rPr>
              <w:t xml:space="preserve"> of the Report of the March 2015 session of the </w:t>
            </w:r>
            <w:r w:rsidR="000B022F" w:rsidRPr="00E809A8">
              <w:rPr>
                <w:rFonts w:eastAsia="MS Mincho"/>
              </w:rPr>
              <w:t>Joint Meeting of the RID Committee of Experts and the</w:t>
            </w:r>
            <w:r w:rsidR="000B022F">
              <w:rPr>
                <w:rFonts w:eastAsia="MS Mincho"/>
              </w:rPr>
              <w:t xml:space="preserve"> WP.15</w:t>
            </w:r>
            <w:r w:rsidR="000B022F" w:rsidRPr="00E809A8">
              <w:rPr>
                <w:rFonts w:eastAsia="MS Mincho"/>
              </w:rPr>
              <w:t xml:space="preserve"> </w:t>
            </w:r>
            <w:r w:rsidR="000B022F">
              <w:rPr>
                <w:rFonts w:eastAsia="MS Mincho"/>
              </w:rPr>
              <w:t>(</w:t>
            </w:r>
            <w:r w:rsidR="000B022F" w:rsidRPr="00E809A8">
              <w:rPr>
                <w:rFonts w:eastAsia="MS Mincho"/>
              </w:rPr>
              <w:t>ECE/TRANS/WP.15/AC.1/138</w:t>
            </w:r>
            <w:r w:rsidR="000B022F">
              <w:rPr>
                <w:rFonts w:eastAsia="MS Mincho"/>
              </w:rPr>
              <w:t>);</w:t>
            </w:r>
          </w:p>
          <w:p w:rsidR="00186147" w:rsidRPr="001E2674" w:rsidRDefault="000B022F" w:rsidP="000B022F">
            <w:pPr>
              <w:spacing w:after="120"/>
              <w:ind w:left="3401" w:right="1133" w:hanging="2268"/>
              <w:jc w:val="both"/>
              <w:rPr>
                <w:b/>
              </w:rPr>
            </w:pPr>
            <w:r>
              <w:tab/>
              <w:t xml:space="preserve">Proposal 2 of </w:t>
            </w:r>
            <w:r w:rsidRPr="007635FF">
              <w:t>ECE/TRANS/WP.15/2015/1</w:t>
            </w:r>
            <w:r>
              <w:t xml:space="preserve"> and </w:t>
            </w:r>
            <w:r w:rsidRPr="007635FF">
              <w:t xml:space="preserve">paragraph </w:t>
            </w:r>
            <w:r w:rsidRPr="00A81ED7">
              <w:t>26</w:t>
            </w:r>
            <w:r>
              <w:t xml:space="preserve"> of t</w:t>
            </w:r>
            <w:r w:rsidRPr="007635FF">
              <w:t xml:space="preserve">he Report of the </w:t>
            </w:r>
            <w:r>
              <w:t xml:space="preserve">May 2015 </w:t>
            </w:r>
            <w:r w:rsidRPr="007635FF">
              <w:t xml:space="preserve">session of the </w:t>
            </w:r>
            <w:r>
              <w:t>WP.15</w:t>
            </w:r>
            <w:r w:rsidRPr="007635FF">
              <w:t xml:space="preserve"> (ECE/TRANS</w:t>
            </w:r>
            <w:r>
              <w:t>/WP.15/228)</w:t>
            </w:r>
            <w:r w:rsidRPr="007635FF">
              <w:t>.</w:t>
            </w:r>
          </w:p>
        </w:tc>
      </w:tr>
      <w:tr w:rsidR="00186147" w:rsidRPr="001E2674" w:rsidTr="00D85A0E">
        <w:trPr>
          <w:jc w:val="center"/>
        </w:trPr>
        <w:tc>
          <w:tcPr>
            <w:tcW w:w="9637" w:type="dxa"/>
            <w:shd w:val="clear" w:color="auto" w:fill="auto"/>
          </w:tcPr>
          <w:p w:rsidR="00186147" w:rsidRPr="001E2674" w:rsidRDefault="00186147" w:rsidP="00D85A0E">
            <w:pPr>
              <w:rPr>
                <w:b/>
              </w:rPr>
            </w:pPr>
          </w:p>
        </w:tc>
      </w:tr>
    </w:tbl>
    <w:p w:rsidR="000B022F" w:rsidRPr="00E809A8" w:rsidRDefault="00186147" w:rsidP="00FE175E">
      <w:pPr>
        <w:pStyle w:val="HChG"/>
      </w:pPr>
      <w:r w:rsidRPr="001E2674">
        <w:rPr>
          <w:lang w:val="en-GB"/>
        </w:rPr>
        <w:lastRenderedPageBreak/>
        <w:tab/>
      </w:r>
      <w:r w:rsidRPr="001E2674">
        <w:rPr>
          <w:lang w:val="en-GB"/>
        </w:rPr>
        <w:tab/>
      </w:r>
      <w:r w:rsidR="000B022F" w:rsidRPr="00E809A8">
        <w:t>Introduction</w:t>
      </w:r>
    </w:p>
    <w:p w:rsidR="000B022F" w:rsidRDefault="000B022F" w:rsidP="000B022F">
      <w:pPr>
        <w:pStyle w:val="SingleTxtG"/>
      </w:pPr>
      <w:r>
        <w:t>1.</w:t>
      </w:r>
      <w:r>
        <w:tab/>
      </w:r>
      <w:r w:rsidRPr="00BC6ABF">
        <w:t xml:space="preserve">The Romanian delegation analysed the requirements of </w:t>
      </w:r>
      <w:r>
        <w:t xml:space="preserve">the sub-section </w:t>
      </w:r>
      <w:r w:rsidRPr="00BC6ABF">
        <w:t xml:space="preserve">1.4.2.2 </w:t>
      </w:r>
      <w:r w:rsidRPr="00BC6ABF">
        <w:rPr>
          <w:i/>
        </w:rPr>
        <w:t>Carrier</w:t>
      </w:r>
      <w:r w:rsidRPr="00BC6ABF">
        <w:t xml:space="preserve"> and is of the opinion that the obligations of this participant should be clarified</w:t>
      </w:r>
      <w:r>
        <w:t xml:space="preserve"> in RID/ADR/ADN</w:t>
      </w:r>
      <w:r w:rsidRPr="00BC6ABF">
        <w:t>.</w:t>
      </w:r>
    </w:p>
    <w:p w:rsidR="000B022F" w:rsidRDefault="000B022F" w:rsidP="000B022F">
      <w:pPr>
        <w:pStyle w:val="SingleTxtG"/>
      </w:pPr>
      <w:r>
        <w:t>2.</w:t>
      </w:r>
      <w:r>
        <w:tab/>
      </w:r>
      <w:r w:rsidRPr="00C24A90">
        <w:t>Our</w:t>
      </w:r>
      <w:r>
        <w:t xml:space="preserve"> proposals presented below deal mainly </w:t>
      </w:r>
      <w:r w:rsidRPr="00C24A90">
        <w:t>with the obligations</w:t>
      </w:r>
      <w:r>
        <w:t xml:space="preserve"> related to the equipment (including fire-fighting equipment) and the instruction in writing from a comprehensive analysis of the sub-section. We will propose also some solutions for the consistency of the terms used in the sub-section.</w:t>
      </w:r>
    </w:p>
    <w:p w:rsidR="000B022F" w:rsidRPr="007F1673" w:rsidRDefault="000B022F" w:rsidP="000B022F">
      <w:pPr>
        <w:pStyle w:val="SingleTxtG"/>
      </w:pPr>
      <w:r>
        <w:t>3.</w:t>
      </w:r>
      <w:r>
        <w:tab/>
      </w:r>
      <w:r w:rsidRPr="00C8364B">
        <w:t xml:space="preserve">We </w:t>
      </w:r>
      <w:r w:rsidRPr="007F1673">
        <w:t>would ask the Joint Meeting to consider the following arguments in favour of amending the text of the sub-section 1.4.2.2.</w:t>
      </w:r>
    </w:p>
    <w:p w:rsidR="000B022F" w:rsidRPr="007F1673" w:rsidRDefault="00005657" w:rsidP="000B022F">
      <w:pPr>
        <w:pStyle w:val="SingleTxtG"/>
      </w:pPr>
      <w:r>
        <w:t>4.</w:t>
      </w:r>
      <w:r>
        <w:tab/>
        <w:t xml:space="preserve">During the debate on </w:t>
      </w:r>
      <w:r w:rsidR="000B022F" w:rsidRPr="007F1673">
        <w:t>document ECE/TRANS/WP.15/2015/1 at the last se</w:t>
      </w:r>
      <w:r>
        <w:t>ss</w:t>
      </w:r>
      <w:r w:rsidR="00FE1BD6">
        <w:t xml:space="preserve">ion of </w:t>
      </w:r>
      <w:r>
        <w:t>WP.15</w:t>
      </w:r>
      <w:r w:rsidR="000B022F" w:rsidRPr="007F1673">
        <w:t xml:space="preserve">, when a similar obligation to 1.4.2.2.6 of RID was adopted for ADR, some of the delegations were of the opinion that </w:t>
      </w:r>
      <w:r w:rsidR="000B022F">
        <w:t xml:space="preserve">it </w:t>
      </w:r>
      <w:r w:rsidRPr="00005657">
        <w:rPr>
          <w:lang w:val="en-GB"/>
        </w:rPr>
        <w:t>was</w:t>
      </w:r>
      <w:r w:rsidR="000B022F" w:rsidRPr="007F1673">
        <w:t xml:space="preserve"> necessary to introduce a clear text with regard to the obligation of the carrier to ensure the presence on board the transport unit of the fire-fighting equipment stipulated in ADR. This was also our intention expressed </w:t>
      </w:r>
      <w:r w:rsidR="000B022F">
        <w:t>at that session</w:t>
      </w:r>
      <w:r w:rsidR="000B022F" w:rsidRPr="007F1673">
        <w:t>.</w:t>
      </w:r>
    </w:p>
    <w:p w:rsidR="000B022F" w:rsidRDefault="000B022F" w:rsidP="000B022F">
      <w:pPr>
        <w:pStyle w:val="SingleTxtG"/>
      </w:pPr>
      <w:r w:rsidRPr="007F1673">
        <w:t>5.</w:t>
      </w:r>
      <w:r w:rsidRPr="007F1673">
        <w:tab/>
        <w:t>During the reading of the re</w:t>
      </w:r>
      <w:r w:rsidR="00005657">
        <w:t xml:space="preserve">port at the last session of </w:t>
      </w:r>
      <w:r w:rsidRPr="007F1673">
        <w:t>WP.15, IRU asked the Working Party to keep between square</w:t>
      </w:r>
      <w:r w:rsidRPr="00BC6ABF">
        <w:t xml:space="preserve"> brackets the </w:t>
      </w:r>
      <w:r>
        <w:t xml:space="preserve">new </w:t>
      </w:r>
      <w:r w:rsidRPr="00BC6ABF">
        <w:t>text adopted for 1.4.2.2.6</w:t>
      </w:r>
      <w:r>
        <w:t xml:space="preserve"> in ADR (similar to RID) because </w:t>
      </w:r>
      <w:r w:rsidRPr="00BC6ABF">
        <w:t>the obligation</w:t>
      </w:r>
      <w:r>
        <w:t>s</w:t>
      </w:r>
      <w:r w:rsidRPr="00BC6ABF">
        <w:t xml:space="preserve"> of the carrier are </w:t>
      </w:r>
      <w:r>
        <w:t>mainly</w:t>
      </w:r>
      <w:r w:rsidRPr="00BC6ABF">
        <w:t xml:space="preserve"> provided under 1.4.2.2.1 </w:t>
      </w:r>
      <w:r w:rsidRPr="00005657">
        <w:t>from (a) to (g)</w:t>
      </w:r>
      <w:r w:rsidRPr="00BC6ABF">
        <w:t xml:space="preserve"> and this one is out of this area - in another paragraph</w:t>
      </w:r>
      <w:r>
        <w:t>.</w:t>
      </w:r>
    </w:p>
    <w:p w:rsidR="000B022F" w:rsidRPr="00E42354" w:rsidRDefault="000B022F" w:rsidP="000B022F">
      <w:pPr>
        <w:pStyle w:val="SingleTxtG"/>
      </w:pPr>
      <w:r>
        <w:t>6.</w:t>
      </w:r>
      <w:r>
        <w:tab/>
      </w:r>
      <w:r w:rsidRPr="00E42354">
        <w:t xml:space="preserve">Comparing the obligation of the </w:t>
      </w:r>
      <w:r w:rsidRPr="00E42354">
        <w:rPr>
          <w:i/>
        </w:rPr>
        <w:t>carrier</w:t>
      </w:r>
      <w:r w:rsidRPr="00E42354">
        <w:t xml:space="preserve"> and of the </w:t>
      </w:r>
      <w:r w:rsidRPr="00E42354">
        <w:rPr>
          <w:i/>
        </w:rPr>
        <w:t>consignor</w:t>
      </w:r>
      <w:r w:rsidRPr="00E42354">
        <w:t xml:space="preserve"> as stipulated in 1.4.2.2.1 (b) and 1.4.2.1.1 (b), we find out that they are correlated:</w:t>
      </w:r>
    </w:p>
    <w:p w:rsidR="000B022F" w:rsidRPr="00E42354" w:rsidRDefault="000B022F" w:rsidP="000B022F">
      <w:pPr>
        <w:pStyle w:val="SingleTxtG"/>
        <w:numPr>
          <w:ilvl w:val="0"/>
          <w:numId w:val="11"/>
        </w:numPr>
      </w:pPr>
      <w:r w:rsidRPr="00E42354">
        <w:t xml:space="preserve">1.4.2.2.1 (b) “ascertain that all information prescribed in </w:t>
      </w:r>
      <w:r w:rsidRPr="00266FE0">
        <w:rPr>
          <w:i/>
          <w:u w:val="single"/>
        </w:rPr>
        <w:t>RID/ADR/ADN</w:t>
      </w:r>
      <w:r w:rsidRPr="00E42354">
        <w:t xml:space="preserve"> related to the dangerous goods to be carried has been </w:t>
      </w:r>
      <w:r w:rsidRPr="00266FE0">
        <w:rPr>
          <w:b/>
          <w:i/>
        </w:rPr>
        <w:t>provided by the consignor before carriage</w:t>
      </w:r>
      <w:r w:rsidRPr="00E42354">
        <w:t xml:space="preserve">, that the prescribed documentation is </w:t>
      </w:r>
      <w:r w:rsidRPr="00266FE0">
        <w:rPr>
          <w:i/>
          <w:u w:val="single"/>
        </w:rPr>
        <w:t>attached to the transport document/</w:t>
      </w:r>
      <w:r>
        <w:rPr>
          <w:i/>
          <w:u w:val="single"/>
        </w:rPr>
        <w:t xml:space="preserve"> </w:t>
      </w:r>
      <w:r w:rsidRPr="00266FE0">
        <w:rPr>
          <w:i/>
          <w:u w:val="single"/>
        </w:rPr>
        <w:t>on board of the transport unit/ on board of the vessel</w:t>
      </w:r>
      <w:r w:rsidRPr="00E42354">
        <w:t xml:space="preserve"> or (...)”, but it is not clear enough if the instructions in writing are included in the prescribed documentation;</w:t>
      </w:r>
    </w:p>
    <w:p w:rsidR="000B022F" w:rsidRPr="00E42354" w:rsidRDefault="000B022F" w:rsidP="000B022F">
      <w:pPr>
        <w:pStyle w:val="SingleTxtG"/>
        <w:numPr>
          <w:ilvl w:val="0"/>
          <w:numId w:val="11"/>
        </w:numPr>
      </w:pPr>
      <w:r w:rsidRPr="00E42354">
        <w:t>1.4.2.1.1 (b) “</w:t>
      </w:r>
      <w:r w:rsidRPr="00266FE0">
        <w:rPr>
          <w:b/>
          <w:i/>
        </w:rPr>
        <w:t>Furnish the carrier with information and data</w:t>
      </w:r>
      <w:r w:rsidRPr="00266FE0">
        <w:t xml:space="preserve"> in a traceable form and, if necessary, the required transport documents and accompanying documents (authorizations, approvals, notifications, certificates, etc.), taking into account in particular the requirements of Chapter 5.4 and of the tables in Part 3</w:t>
      </w:r>
      <w:r w:rsidRPr="00E42354">
        <w:t>;”.</w:t>
      </w:r>
    </w:p>
    <w:p w:rsidR="000B022F" w:rsidRDefault="000B022F" w:rsidP="000B022F">
      <w:pPr>
        <w:pStyle w:val="SingleTxtG"/>
      </w:pPr>
      <w:r w:rsidRPr="00E42354">
        <w:t>There are also some other obligations correlated between participants.</w:t>
      </w:r>
      <w:r>
        <w:t xml:space="preserve"> </w:t>
      </w:r>
    </w:p>
    <w:p w:rsidR="000B022F" w:rsidRDefault="00005657" w:rsidP="000B022F">
      <w:pPr>
        <w:pStyle w:val="SingleTxtG"/>
      </w:pPr>
      <w:r>
        <w:t>7.</w:t>
      </w:r>
      <w:r w:rsidR="000B022F">
        <w:tab/>
      </w:r>
      <w:r w:rsidR="000B022F" w:rsidRPr="0047574B">
        <w:t xml:space="preserve">We drew </w:t>
      </w:r>
      <w:r w:rsidR="000B022F">
        <w:t xml:space="preserve">the </w:t>
      </w:r>
      <w:r w:rsidR="000B022F" w:rsidRPr="0047574B">
        <w:t xml:space="preserve">attention </w:t>
      </w:r>
      <w:r w:rsidR="000B022F">
        <w:t>also to the construction of</w:t>
      </w:r>
      <w:r w:rsidR="000B022F" w:rsidRPr="00C24A90">
        <w:t xml:space="preserve"> 1.4.2.2.1</w:t>
      </w:r>
      <w:r w:rsidR="000B022F">
        <w:t xml:space="preserve"> which provides a binding text in the introduction of the obligations</w:t>
      </w:r>
      <w:r w:rsidR="000B022F" w:rsidRPr="00C5558D">
        <w:t xml:space="preserve"> </w:t>
      </w:r>
      <w:r w:rsidR="000B022F" w:rsidRPr="00C24A90">
        <w:t xml:space="preserve">of the carrier </w:t>
      </w:r>
      <w:r w:rsidR="000B022F">
        <w:t xml:space="preserve">(e.g. </w:t>
      </w:r>
      <w:r w:rsidR="000B022F" w:rsidRPr="00C24A90">
        <w:t xml:space="preserve"> “</w:t>
      </w:r>
      <w:r w:rsidR="000B022F" w:rsidRPr="00C24A90">
        <w:rPr>
          <w:i/>
        </w:rPr>
        <w:t xml:space="preserve">the carrier </w:t>
      </w:r>
      <w:r w:rsidR="000B022F">
        <w:rPr>
          <w:i/>
          <w:lang w:val="ro-RO"/>
        </w:rPr>
        <w:t xml:space="preserve">(…) </w:t>
      </w:r>
      <w:r w:rsidR="000B022F" w:rsidRPr="00C24A90">
        <w:rPr>
          <w:i/>
        </w:rPr>
        <w:t>shall in particular</w:t>
      </w:r>
      <w:r w:rsidR="000B022F" w:rsidRPr="00C24A90">
        <w:t xml:space="preserve">:” </w:t>
      </w:r>
      <w:r w:rsidR="000B022F">
        <w:t xml:space="preserve">connected to the last paragraph in order to </w:t>
      </w:r>
      <w:r w:rsidR="000B022F" w:rsidRPr="00C24A90">
        <w:t>offer instruments</w:t>
      </w:r>
      <w:r w:rsidR="000B022F">
        <w:t xml:space="preserve"> of compliance with</w:t>
      </w:r>
      <w:r w:rsidR="000B022F" w:rsidRPr="00C24A90">
        <w:t xml:space="preserve"> the </w:t>
      </w:r>
      <w:r w:rsidR="000B022F">
        <w:t xml:space="preserve">obligations stipulated above. </w:t>
      </w:r>
      <w:r w:rsidR="000B022F" w:rsidRPr="00C24A90">
        <w:t>“</w:t>
      </w:r>
      <w:r w:rsidR="000B022F" w:rsidRPr="00C24A90">
        <w:rPr>
          <w:i/>
        </w:rPr>
        <w:t xml:space="preserve">Where appropriate, this shall be done on the basis of the transport documents and accompanying documents, by a visual inspection of the </w:t>
      </w:r>
      <w:r w:rsidR="000B022F">
        <w:rPr>
          <w:i/>
        </w:rPr>
        <w:t>wagon/</w:t>
      </w:r>
      <w:r w:rsidR="000B022F" w:rsidRPr="00C24A90">
        <w:rPr>
          <w:i/>
        </w:rPr>
        <w:t>vehicle</w:t>
      </w:r>
      <w:r w:rsidR="000B022F">
        <w:rPr>
          <w:i/>
        </w:rPr>
        <w:t>/vessel</w:t>
      </w:r>
      <w:r w:rsidR="000B022F" w:rsidRPr="00C24A90">
        <w:rPr>
          <w:i/>
        </w:rPr>
        <w:t xml:space="preserve"> or the containers and, where appropriate, the load</w:t>
      </w:r>
      <w:r w:rsidR="000B022F" w:rsidRPr="00C24A90">
        <w:t xml:space="preserve">”. </w:t>
      </w:r>
    </w:p>
    <w:p w:rsidR="000B022F" w:rsidRDefault="003562ED" w:rsidP="000B022F">
      <w:pPr>
        <w:pStyle w:val="SingleTxtG"/>
      </w:pPr>
      <w:r>
        <w:t>8.</w:t>
      </w:r>
      <w:r w:rsidR="000B022F">
        <w:tab/>
        <w:t xml:space="preserve">For 1.4.2.2.1 in ADR we propose to replace </w:t>
      </w:r>
      <w:r w:rsidR="000B022F" w:rsidRPr="00735489">
        <w:rPr>
          <w:i/>
        </w:rPr>
        <w:t>vehicle</w:t>
      </w:r>
      <w:r w:rsidR="000B022F">
        <w:t xml:space="preserve"> by </w:t>
      </w:r>
      <w:r w:rsidR="000B022F" w:rsidRPr="00735489">
        <w:rPr>
          <w:i/>
        </w:rPr>
        <w:t>transport unit</w:t>
      </w:r>
      <w:r w:rsidR="000B022F">
        <w:t xml:space="preserve"> in several places (para. (c), (g), (h) and final phrase), for the consistency of the text of the sub-section with the other provisions of ADR starting from the definition of </w:t>
      </w:r>
      <w:r w:rsidR="000B022F" w:rsidRPr="00A034CC">
        <w:rPr>
          <w:i/>
        </w:rPr>
        <w:t>transport unit</w:t>
      </w:r>
      <w:r w:rsidR="000B022F">
        <w:t xml:space="preserve"> which </w:t>
      </w:r>
      <w:r w:rsidR="000B022F" w:rsidRPr="00A034CC">
        <w:rPr>
          <w:i/>
        </w:rPr>
        <w:t>means a motor vehicle without an attached trailer, or a combination consisting of a motor vehicle and an attached traile</w:t>
      </w:r>
      <w:r w:rsidR="000B022F">
        <w:rPr>
          <w:i/>
        </w:rPr>
        <w:t>r</w:t>
      </w:r>
      <w:r w:rsidR="000B022F">
        <w:t xml:space="preserve">. </w:t>
      </w:r>
    </w:p>
    <w:p w:rsidR="000B022F" w:rsidRPr="00C8364B" w:rsidRDefault="000B022F" w:rsidP="000B022F">
      <w:pPr>
        <w:pStyle w:val="SingleTxtG"/>
      </w:pPr>
      <w:r>
        <w:t>9.</w:t>
      </w:r>
      <w:r>
        <w:tab/>
      </w:r>
      <w:r w:rsidRPr="00D43247">
        <w:t xml:space="preserve">The informal document </w:t>
      </w:r>
      <w:r>
        <w:t>INF.</w:t>
      </w:r>
      <w:r w:rsidR="00047007" w:rsidRPr="00047007">
        <w:rPr>
          <w:lang w:val="en-GB"/>
        </w:rPr>
        <w:t>3</w:t>
      </w:r>
      <w:r>
        <w:t xml:space="preserve"> rela</w:t>
      </w:r>
      <w:r w:rsidRPr="00D43247">
        <w:t xml:space="preserve">ted </w:t>
      </w:r>
      <w:r>
        <w:t>to</w:t>
      </w:r>
      <w:r w:rsidRPr="00D43247">
        <w:t xml:space="preserve"> the pr</w:t>
      </w:r>
      <w:r w:rsidR="00047007">
        <w:t>esent document provides an exce</w:t>
      </w:r>
      <w:r w:rsidR="00047007" w:rsidRPr="00D43247">
        <w:t>rpt</w:t>
      </w:r>
      <w:r w:rsidRPr="00D43247">
        <w:t xml:space="preserve"> of the sub-section</w:t>
      </w:r>
      <w:r>
        <w:t xml:space="preserve"> 1.4.2.2 for a</w:t>
      </w:r>
      <w:r w:rsidRPr="00735489">
        <w:t>n</w:t>
      </w:r>
      <w:r>
        <w:t xml:space="preserve"> </w:t>
      </w:r>
      <w:r w:rsidRPr="000B4085">
        <w:t>integral</w:t>
      </w:r>
      <w:r>
        <w:t xml:space="preserve"> view.</w:t>
      </w:r>
    </w:p>
    <w:p w:rsidR="000B022F" w:rsidRDefault="00FE175E" w:rsidP="00FE175E">
      <w:pPr>
        <w:pStyle w:val="HChG"/>
      </w:pPr>
      <w:r w:rsidRPr="00047007">
        <w:rPr>
          <w:lang w:val="en-GB"/>
        </w:rPr>
        <w:lastRenderedPageBreak/>
        <w:tab/>
      </w:r>
      <w:r w:rsidRPr="00047007">
        <w:rPr>
          <w:lang w:val="en-GB"/>
        </w:rPr>
        <w:tab/>
      </w:r>
      <w:r w:rsidR="000B022F" w:rsidRPr="001600D7">
        <w:t>Proposals</w:t>
      </w:r>
    </w:p>
    <w:p w:rsidR="000B022F" w:rsidRDefault="00FE175E" w:rsidP="00FE175E">
      <w:pPr>
        <w:pStyle w:val="H1G"/>
      </w:pPr>
      <w:r>
        <w:tab/>
      </w:r>
      <w:r>
        <w:tab/>
      </w:r>
      <w:r w:rsidR="000B022F" w:rsidRPr="00E86C91">
        <w:t>Proposal 1</w:t>
      </w:r>
      <w:r w:rsidR="000B022F">
        <w:t xml:space="preserve"> – paragraph (c)</w:t>
      </w:r>
    </w:p>
    <w:p w:rsidR="000B022F" w:rsidRDefault="000B022F" w:rsidP="000B022F">
      <w:pPr>
        <w:pStyle w:val="SingleTxtG"/>
        <w:spacing w:before="240" w:after="240" w:line="240" w:lineRule="auto"/>
      </w:pPr>
      <w:r>
        <w:t>10.</w:t>
      </w:r>
      <w:r>
        <w:tab/>
        <w:t xml:space="preserve">The text proposed for the </w:t>
      </w:r>
      <w:r w:rsidRPr="00114ED4">
        <w:t xml:space="preserve">fire-fighting equipment </w:t>
      </w:r>
      <w:r>
        <w:t xml:space="preserve">might be </w:t>
      </w:r>
      <w:r w:rsidRPr="00E86C91">
        <w:t>similar to the recently modified paragraph (g) in 1.4.2.2.1</w:t>
      </w:r>
      <w:r>
        <w:t xml:space="preserve"> of ADR</w:t>
      </w:r>
      <w:r w:rsidRPr="00E86C91">
        <w:t xml:space="preserve">, </w:t>
      </w:r>
      <w:r>
        <w:t>on</w:t>
      </w:r>
      <w:r w:rsidRPr="00E86C91">
        <w:t xml:space="preserve"> a separate paragraph</w:t>
      </w:r>
      <w:r>
        <w:t xml:space="preserve">, but the proposal below is simpler by connecting it to the </w:t>
      </w:r>
      <w:r w:rsidRPr="00B7764B">
        <w:t>in paragraph (c)</w:t>
      </w:r>
      <w:r w:rsidRPr="00E86C91">
        <w:t xml:space="preserve">. It is </w:t>
      </w:r>
      <w:r>
        <w:t>necessary to make a difference between the equipment mentioned in the instructions in writing and all other equipment.</w:t>
      </w:r>
    </w:p>
    <w:p w:rsidR="000B022F" w:rsidRDefault="00FE175E" w:rsidP="000B022F">
      <w:pPr>
        <w:pStyle w:val="SingleTxtG"/>
        <w:spacing w:before="240" w:after="240" w:line="240" w:lineRule="auto"/>
      </w:pPr>
      <w:r>
        <w:t>11.</w:t>
      </w:r>
      <w:r w:rsidR="000B022F">
        <w:tab/>
      </w:r>
      <w:r w:rsidR="000B022F" w:rsidRPr="0047574B">
        <w:t>However, we think that, in the logic of the agreement, as Chapter 1.4 is meant to stipulate the safety obligations of the participants, 1.4.2.2 should stipulate clearly the obligation of the carrier to provide the fire-fighting equipment. This is a main carrier’s obligation and should be stated clearly in 1.4.2.2, also.</w:t>
      </w:r>
    </w:p>
    <w:p w:rsidR="000B022F" w:rsidRDefault="000B022F" w:rsidP="000B022F">
      <w:pPr>
        <w:spacing w:after="120"/>
        <w:ind w:left="1134" w:right="1134"/>
        <w:jc w:val="both"/>
      </w:pPr>
      <w:r>
        <w:t>12</w:t>
      </w:r>
      <w:r w:rsidRPr="00E86C91">
        <w:t>.</w:t>
      </w:r>
      <w:r w:rsidRPr="00E86C91">
        <w:tab/>
      </w:r>
      <w:r>
        <w:t>We propose also:</w:t>
      </w:r>
    </w:p>
    <w:p w:rsidR="000B022F" w:rsidRDefault="00FE175E" w:rsidP="000B022F">
      <w:pPr>
        <w:spacing w:after="120"/>
        <w:ind w:left="1985" w:right="1134" w:hanging="284"/>
        <w:jc w:val="both"/>
      </w:pPr>
      <w:r>
        <w:t>-</w:t>
      </w:r>
      <w:r w:rsidR="000B022F">
        <w:tab/>
      </w:r>
      <w:proofErr w:type="gramStart"/>
      <w:r w:rsidR="000B022F">
        <w:t>the</w:t>
      </w:r>
      <w:proofErr w:type="gramEnd"/>
      <w:r w:rsidR="000B022F">
        <w:t xml:space="preserve"> deletion of the term </w:t>
      </w:r>
      <w:r w:rsidR="000B022F" w:rsidRPr="00A97F64">
        <w:rPr>
          <w:i/>
        </w:rPr>
        <w:t>visually</w:t>
      </w:r>
      <w:r w:rsidR="000B022F">
        <w:t xml:space="preserve"> in paragraph (c) of all regulations because it seems superfluous in the context of the visual inspection expressed in the ending phrase of the paragraph which covers all the obligations;</w:t>
      </w:r>
    </w:p>
    <w:p w:rsidR="000B022F" w:rsidRDefault="000B022F" w:rsidP="000B022F">
      <w:pPr>
        <w:spacing w:after="120"/>
        <w:ind w:left="1985" w:right="1134" w:hanging="284"/>
        <w:jc w:val="both"/>
      </w:pPr>
      <w:r>
        <w:t>-</w:t>
      </w:r>
      <w:r>
        <w:tab/>
      </w:r>
      <w:proofErr w:type="gramStart"/>
      <w:r>
        <w:t>the</w:t>
      </w:r>
      <w:proofErr w:type="gramEnd"/>
      <w:r>
        <w:t xml:space="preserve"> use of the singular form of the substantives wagon, transport unit and vessel according to the wording in the last phrase of the 1.4.2.2.1;</w:t>
      </w:r>
    </w:p>
    <w:p w:rsidR="000B022F" w:rsidRDefault="000B022F" w:rsidP="000B022F">
      <w:pPr>
        <w:spacing w:after="120"/>
        <w:ind w:left="1985" w:right="1134" w:hanging="284"/>
        <w:jc w:val="both"/>
      </w:pPr>
      <w:r>
        <w:t>-</w:t>
      </w:r>
      <w:r>
        <w:tab/>
      </w:r>
      <w:proofErr w:type="gramStart"/>
      <w:r>
        <w:t>the</w:t>
      </w:r>
      <w:proofErr w:type="gramEnd"/>
      <w:r>
        <w:t xml:space="preserve"> introduction of the </w:t>
      </w:r>
      <w:r w:rsidRPr="002C6B20">
        <w:rPr>
          <w:i/>
        </w:rPr>
        <w:t>container</w:t>
      </w:r>
      <w:r>
        <w:t xml:space="preserve"> because the ending phrase of 1.4.2.2.1 contains the term </w:t>
      </w:r>
      <w:r w:rsidRPr="00A97F64">
        <w:rPr>
          <w:i/>
        </w:rPr>
        <w:t>container</w:t>
      </w:r>
      <w:r>
        <w:t>, and the appropriate place for it is here in paragraph (c), and</w:t>
      </w:r>
    </w:p>
    <w:p w:rsidR="000B022F" w:rsidRPr="00563B48" w:rsidRDefault="000B022F" w:rsidP="000B022F">
      <w:pPr>
        <w:spacing w:after="120"/>
        <w:ind w:left="1985" w:right="1134" w:hanging="284"/>
        <w:jc w:val="both"/>
      </w:pPr>
      <w:r>
        <w:t>-</w:t>
      </w:r>
      <w:r>
        <w:tab/>
      </w:r>
      <w:proofErr w:type="gramStart"/>
      <w:r>
        <w:t>the</w:t>
      </w:r>
      <w:proofErr w:type="gramEnd"/>
      <w:r>
        <w:t xml:space="preserve"> i</w:t>
      </w:r>
      <w:r w:rsidRPr="00E86C91">
        <w:t>nsert</w:t>
      </w:r>
      <w:r>
        <w:t>ion of</w:t>
      </w:r>
      <w:r w:rsidRPr="00E86C91">
        <w:t xml:space="preserve"> a </w:t>
      </w:r>
      <w:r>
        <w:t xml:space="preserve">parenthesis at the end of the paragraph (c) and of a related Note at the end of it in </w:t>
      </w:r>
      <w:r w:rsidRPr="00A97F64">
        <w:t>ADR and ADN</w:t>
      </w:r>
      <w:r>
        <w:rPr>
          <w:color w:val="FF0000"/>
        </w:rPr>
        <w:t xml:space="preserve"> </w:t>
      </w:r>
      <w:r w:rsidRPr="000B4085">
        <w:t>(RID has no section 8.1.4)</w:t>
      </w:r>
      <w:r w:rsidRPr="0057640B">
        <w:rPr>
          <w:lang w:val="en-US"/>
        </w:rPr>
        <w:t>.</w:t>
      </w:r>
    </w:p>
    <w:p w:rsidR="000B022F" w:rsidRPr="000B4085" w:rsidRDefault="000B022F" w:rsidP="000B022F">
      <w:pPr>
        <w:spacing w:after="120"/>
        <w:ind w:left="1134" w:right="1134"/>
        <w:jc w:val="both"/>
      </w:pPr>
      <w:r>
        <w:t>13.</w:t>
      </w:r>
      <w:r>
        <w:tab/>
      </w:r>
      <w:r w:rsidRPr="000B4085">
        <w:t>Amend the text of paragraph (c) of 1.4.2.2.1 to read as follows (stricken out text is to be replaced and new text is underlined):</w:t>
      </w:r>
    </w:p>
    <w:p w:rsidR="000B022F" w:rsidRDefault="000B022F" w:rsidP="000B022F">
      <w:pPr>
        <w:spacing w:after="120"/>
        <w:ind w:left="1701" w:right="1134" w:hanging="567"/>
        <w:jc w:val="both"/>
      </w:pPr>
      <w:proofErr w:type="gramStart"/>
      <w:r w:rsidRPr="00A034CC">
        <w:rPr>
          <w:b/>
        </w:rPr>
        <w:t>RID:</w:t>
      </w:r>
      <w:proofErr w:type="gramEnd"/>
      <w:r w:rsidRPr="00E86C91">
        <w:t>“</w:t>
      </w:r>
      <w:r>
        <w:t xml:space="preserve">(c) </w:t>
      </w:r>
      <w:r w:rsidRPr="00A034CC">
        <w:t xml:space="preserve">ascertain </w:t>
      </w:r>
      <w:r w:rsidRPr="00D41946">
        <w:rPr>
          <w:strike/>
          <w:color w:val="FF0000"/>
        </w:rPr>
        <w:t>visually</w:t>
      </w:r>
      <w:r w:rsidRPr="00A034CC">
        <w:t xml:space="preserve"> that the wagon</w:t>
      </w:r>
      <w:r w:rsidRPr="00D41946">
        <w:rPr>
          <w:strike/>
          <w:color w:val="FF0000"/>
        </w:rPr>
        <w:t>s</w:t>
      </w:r>
      <w:r>
        <w:t>,</w:t>
      </w:r>
      <w:r w:rsidRPr="00756110">
        <w:rPr>
          <w:color w:val="00B050"/>
          <w:u w:val="single"/>
        </w:rPr>
        <w:t xml:space="preserve"> </w:t>
      </w:r>
      <w:r w:rsidRPr="00D41946">
        <w:rPr>
          <w:color w:val="00B050"/>
          <w:u w:val="single"/>
        </w:rPr>
        <w:t>the container</w:t>
      </w:r>
      <w:r w:rsidRPr="00A034CC">
        <w:t xml:space="preserve"> and load</w:t>
      </w:r>
      <w:r w:rsidRPr="00494D68">
        <w:rPr>
          <w:strike/>
          <w:color w:val="FF0000"/>
        </w:rPr>
        <w:t>s</w:t>
      </w:r>
      <w:r w:rsidRPr="00A034CC">
        <w:t xml:space="preserve"> have no obvious defects, leakages or cracks, missing equipment, etc.;</w:t>
      </w:r>
      <w:r w:rsidRPr="00E86C91">
        <w:t>.”</w:t>
      </w:r>
      <w:r>
        <w:t>.</w:t>
      </w:r>
    </w:p>
    <w:p w:rsidR="000B022F" w:rsidRPr="00A034CC" w:rsidRDefault="000B022F" w:rsidP="000B022F">
      <w:pPr>
        <w:spacing w:after="120"/>
        <w:ind w:left="1701" w:right="1134" w:hanging="567"/>
        <w:jc w:val="both"/>
      </w:pPr>
      <w:r w:rsidRPr="00A034CC">
        <w:rPr>
          <w:b/>
        </w:rPr>
        <w:t>ADR:</w:t>
      </w:r>
      <w:r w:rsidRPr="009D0E14">
        <w:rPr>
          <w:b/>
        </w:rPr>
        <w:t>“</w:t>
      </w:r>
      <w:r w:rsidRPr="00A034CC">
        <w:t>(c)</w:t>
      </w:r>
      <w:r>
        <w:rPr>
          <w:b/>
        </w:rPr>
        <w:t xml:space="preserve"> </w:t>
      </w:r>
      <w:r w:rsidRPr="00756110">
        <w:rPr>
          <w:color w:val="00B050"/>
          <w:u w:val="single"/>
        </w:rPr>
        <w:t xml:space="preserve">Ascertain </w:t>
      </w:r>
      <w:r w:rsidRPr="00D41946">
        <w:rPr>
          <w:strike/>
          <w:color w:val="FF0000"/>
          <w:u w:val="single"/>
        </w:rPr>
        <w:t>visually</w:t>
      </w:r>
      <w:r w:rsidRPr="00A034CC">
        <w:t xml:space="preserve"> that the </w:t>
      </w:r>
      <w:r w:rsidRPr="00D41946">
        <w:rPr>
          <w:strike/>
          <w:color w:val="FF0000"/>
        </w:rPr>
        <w:t>vehicles</w:t>
      </w:r>
      <w:r w:rsidRPr="00A034CC">
        <w:t xml:space="preserve"> </w:t>
      </w:r>
      <w:r w:rsidRPr="00D41946">
        <w:rPr>
          <w:color w:val="00B050"/>
          <w:u w:val="single"/>
        </w:rPr>
        <w:t>transport unit</w:t>
      </w:r>
      <w:r>
        <w:rPr>
          <w:color w:val="00B050"/>
        </w:rPr>
        <w:t>,</w:t>
      </w:r>
      <w:r>
        <w:rPr>
          <w:color w:val="00B050"/>
          <w:u w:val="single"/>
        </w:rPr>
        <w:t xml:space="preserve"> </w:t>
      </w:r>
      <w:r w:rsidRPr="00D41946">
        <w:rPr>
          <w:color w:val="00B050"/>
          <w:u w:val="single"/>
        </w:rPr>
        <w:t>the container</w:t>
      </w:r>
      <w:r w:rsidRPr="00A034CC">
        <w:t xml:space="preserve"> and load</w:t>
      </w:r>
      <w:r w:rsidRPr="00494D68">
        <w:rPr>
          <w:strike/>
          <w:color w:val="FF0000"/>
        </w:rPr>
        <w:t>s</w:t>
      </w:r>
      <w:r w:rsidRPr="00A034CC">
        <w:t xml:space="preserve"> have no obvious defects, leakages or cracks, missing equipment </w:t>
      </w:r>
      <w:r w:rsidRPr="00D41946">
        <w:rPr>
          <w:color w:val="00B050"/>
          <w:u w:val="single"/>
        </w:rPr>
        <w:t>(including fire-fighting equipment)</w:t>
      </w:r>
      <w:r w:rsidRPr="00A034CC">
        <w:t>, etc.;</w:t>
      </w:r>
    </w:p>
    <w:p w:rsidR="000B022F" w:rsidRPr="00D41946" w:rsidRDefault="000B022F" w:rsidP="000B022F">
      <w:pPr>
        <w:spacing w:after="120"/>
        <w:ind w:left="1701" w:right="1134"/>
        <w:jc w:val="both"/>
        <w:rPr>
          <w:b/>
          <w:color w:val="00B050"/>
        </w:rPr>
      </w:pPr>
      <w:r w:rsidRPr="00A034CC">
        <w:t xml:space="preserve"> </w:t>
      </w:r>
      <w:r w:rsidRPr="00D41946">
        <w:rPr>
          <w:b/>
          <w:bCs/>
          <w:i/>
          <w:iCs/>
          <w:color w:val="00B050"/>
          <w:u w:val="single"/>
        </w:rPr>
        <w:t xml:space="preserve">NOTE: </w:t>
      </w:r>
      <w:r w:rsidRPr="00D41946">
        <w:rPr>
          <w:bCs/>
          <w:i/>
          <w:iCs/>
          <w:color w:val="00B050"/>
          <w:u w:val="single"/>
        </w:rPr>
        <w:t xml:space="preserve">The deadline for the next inspection of the fire-fighting equipment prescribed in ADR </w:t>
      </w:r>
      <w:r w:rsidRPr="00D41946">
        <w:rPr>
          <w:i/>
          <w:iCs/>
          <w:color w:val="00B050"/>
          <w:u w:val="single"/>
        </w:rPr>
        <w:t>shall not have expired</w:t>
      </w:r>
      <w:r w:rsidRPr="00D41946">
        <w:rPr>
          <w:bCs/>
          <w:i/>
          <w:iCs/>
          <w:color w:val="00B050"/>
          <w:u w:val="single"/>
        </w:rPr>
        <w:t xml:space="preserve"> d</w:t>
      </w:r>
      <w:r w:rsidRPr="00D41946">
        <w:rPr>
          <w:i/>
          <w:iCs/>
          <w:color w:val="00B050"/>
          <w:u w:val="single"/>
        </w:rPr>
        <w:t>uring carriage.</w:t>
      </w:r>
      <w:proofErr w:type="gramStart"/>
      <w:r w:rsidRPr="00E86C91">
        <w:t>”</w:t>
      </w:r>
      <w:r>
        <w:t>.</w:t>
      </w:r>
      <w:proofErr w:type="gramEnd"/>
    </w:p>
    <w:p w:rsidR="000B022F" w:rsidRDefault="000B022F" w:rsidP="000B022F">
      <w:pPr>
        <w:spacing w:after="120"/>
        <w:ind w:left="1701" w:right="1134" w:hanging="567"/>
        <w:jc w:val="both"/>
      </w:pPr>
      <w:r>
        <w:rPr>
          <w:b/>
        </w:rPr>
        <w:t>ADN</w:t>
      </w:r>
      <w:r w:rsidRPr="00A034CC">
        <w:rPr>
          <w:b/>
        </w:rPr>
        <w:t>:</w:t>
      </w:r>
      <w:r w:rsidRPr="009D0E14">
        <w:rPr>
          <w:b/>
        </w:rPr>
        <w:t>“</w:t>
      </w:r>
      <w:r w:rsidRPr="00A97F64">
        <w:t xml:space="preserve">(c) ascertain </w:t>
      </w:r>
      <w:r w:rsidRPr="00D41946">
        <w:rPr>
          <w:strike/>
          <w:color w:val="FF0000"/>
        </w:rPr>
        <w:t>visually</w:t>
      </w:r>
      <w:r w:rsidRPr="00A97F64">
        <w:t xml:space="preserve"> that the </w:t>
      </w:r>
      <w:r w:rsidRPr="00756110">
        <w:t>vessel</w:t>
      </w:r>
      <w:r w:rsidRPr="009E22D4">
        <w:rPr>
          <w:strike/>
          <w:color w:val="FF0000"/>
          <w:u w:val="single"/>
        </w:rPr>
        <w:t>s</w:t>
      </w:r>
      <w:r w:rsidRPr="00756110">
        <w:t>,</w:t>
      </w:r>
      <w:r w:rsidRPr="00756110">
        <w:rPr>
          <w:color w:val="00B050"/>
          <w:u w:val="single"/>
        </w:rPr>
        <w:t xml:space="preserve"> </w:t>
      </w:r>
      <w:r w:rsidRPr="009E22D4">
        <w:rPr>
          <w:color w:val="00B050"/>
          <w:u w:val="single"/>
        </w:rPr>
        <w:t>the</w:t>
      </w:r>
      <w:r w:rsidRPr="00D41946">
        <w:rPr>
          <w:color w:val="00B050"/>
          <w:u w:val="single"/>
        </w:rPr>
        <w:t xml:space="preserve"> container</w:t>
      </w:r>
      <w:r w:rsidRPr="00A97F64">
        <w:t xml:space="preserve"> and load</w:t>
      </w:r>
      <w:r w:rsidRPr="00494D68">
        <w:rPr>
          <w:strike/>
          <w:color w:val="FF0000"/>
        </w:rPr>
        <w:t>s</w:t>
      </w:r>
      <w:r w:rsidRPr="00A97F64">
        <w:t xml:space="preserve"> have no obvious defects, leakages or cracks, missing equipment </w:t>
      </w:r>
      <w:r w:rsidRPr="00D41946">
        <w:rPr>
          <w:color w:val="00B050"/>
          <w:u w:val="single"/>
        </w:rPr>
        <w:t>(including fire-fighting equipment)</w:t>
      </w:r>
      <w:r w:rsidRPr="00A97F64">
        <w:t>, etc.;</w:t>
      </w:r>
    </w:p>
    <w:p w:rsidR="000B022F" w:rsidRPr="00D41946" w:rsidRDefault="000B022F" w:rsidP="000B022F">
      <w:pPr>
        <w:spacing w:after="120"/>
        <w:ind w:left="1701" w:right="1134"/>
        <w:jc w:val="both"/>
        <w:rPr>
          <w:color w:val="00B050"/>
        </w:rPr>
      </w:pPr>
      <w:r w:rsidRPr="00D41946">
        <w:rPr>
          <w:bCs/>
          <w:i/>
          <w:iCs/>
          <w:color w:val="00B050"/>
          <w:u w:val="single"/>
        </w:rPr>
        <w:t xml:space="preserve">NOTE: The deadline for the next inspection of the fire-fighting equipment prescribed in ADN </w:t>
      </w:r>
      <w:r w:rsidRPr="00D41946">
        <w:rPr>
          <w:i/>
          <w:iCs/>
          <w:color w:val="00B050"/>
          <w:u w:val="single"/>
        </w:rPr>
        <w:t>shall not have expired</w:t>
      </w:r>
      <w:r w:rsidRPr="00D41946">
        <w:rPr>
          <w:bCs/>
          <w:i/>
          <w:iCs/>
          <w:color w:val="00B050"/>
          <w:u w:val="single"/>
        </w:rPr>
        <w:t xml:space="preserve"> d</w:t>
      </w:r>
      <w:r w:rsidRPr="00D41946">
        <w:rPr>
          <w:i/>
          <w:iCs/>
          <w:color w:val="00B050"/>
          <w:u w:val="single"/>
        </w:rPr>
        <w:t>uring carriage.</w:t>
      </w:r>
      <w:proofErr w:type="gramStart"/>
      <w:r w:rsidRPr="00E86C91">
        <w:t>”</w:t>
      </w:r>
      <w:r>
        <w:t>.</w:t>
      </w:r>
      <w:proofErr w:type="gramEnd"/>
    </w:p>
    <w:p w:rsidR="000B022F" w:rsidRDefault="00FE175E" w:rsidP="00FE175E">
      <w:pPr>
        <w:pStyle w:val="H1G"/>
      </w:pPr>
      <w:r>
        <w:tab/>
      </w:r>
      <w:r>
        <w:tab/>
      </w:r>
      <w:r w:rsidR="000B022F">
        <w:t>Paragraphs (g) and (h)</w:t>
      </w:r>
    </w:p>
    <w:p w:rsidR="000B022F" w:rsidRDefault="00FE175E" w:rsidP="000B022F">
      <w:pPr>
        <w:pStyle w:val="SingleTxtG"/>
        <w:spacing w:before="240" w:after="240" w:line="240" w:lineRule="auto"/>
      </w:pPr>
      <w:r>
        <w:t>14.</w:t>
      </w:r>
      <w:r w:rsidR="000B022F">
        <w:tab/>
      </w:r>
      <w:r w:rsidR="000B022F" w:rsidRPr="00C029CF">
        <w:t xml:space="preserve">The </w:t>
      </w:r>
      <w:r w:rsidR="000B022F">
        <w:t>provisions</w:t>
      </w:r>
      <w:r w:rsidR="000B022F" w:rsidRPr="00C029CF">
        <w:t xml:space="preserve"> in sub-section </w:t>
      </w:r>
      <w:r w:rsidR="000B022F" w:rsidRPr="00005657">
        <w:t>1.4.2.2</w:t>
      </w:r>
      <w:r w:rsidR="000B022F" w:rsidRPr="00C029CF">
        <w:rPr>
          <w:b/>
          <w:i/>
        </w:rPr>
        <w:t xml:space="preserve"> </w:t>
      </w:r>
      <w:r w:rsidR="000B022F">
        <w:t>contain already</w:t>
      </w:r>
      <w:r w:rsidR="000B022F" w:rsidRPr="00C029CF">
        <w:t xml:space="preserve"> the obligation of the carrier to provide the driver</w:t>
      </w:r>
      <w:r w:rsidR="000B022F">
        <w:t>/vehicle crew/master</w:t>
      </w:r>
      <w:r w:rsidR="000B022F" w:rsidRPr="00C029CF">
        <w:t xml:space="preserve"> with the instructions in writing as prescribed in ADR/ADN or in 5.4.3 of RID (there is no section 8.1.5 in RID)</w:t>
      </w:r>
      <w:r w:rsidR="000B022F">
        <w:t xml:space="preserve"> but in different forms. Our intention is to provide the best</w:t>
      </w:r>
      <w:r w:rsidR="000B022F" w:rsidRPr="00C029CF">
        <w:t xml:space="preserve"> similar </w:t>
      </w:r>
      <w:r w:rsidR="000B022F">
        <w:t>solution</w:t>
      </w:r>
      <w:r w:rsidR="000B022F" w:rsidRPr="00C029CF">
        <w:t xml:space="preserve"> as RID </w:t>
      </w:r>
      <w:r w:rsidR="000B022F">
        <w:t>modifying the text of ADR (recently amended</w:t>
      </w:r>
      <w:r w:rsidR="000B022F" w:rsidRPr="00FE64EE">
        <w:t xml:space="preserve">) </w:t>
      </w:r>
      <w:r w:rsidR="000B022F">
        <w:t xml:space="preserve">at the May 2015 session of </w:t>
      </w:r>
      <w:r w:rsidR="000B022F" w:rsidRPr="00B44D0C">
        <w:t>WP.15</w:t>
      </w:r>
      <w:r w:rsidR="000B022F">
        <w:t>) and ADN.</w:t>
      </w:r>
    </w:p>
    <w:p w:rsidR="000B022F" w:rsidRDefault="000B022F" w:rsidP="000B022F">
      <w:pPr>
        <w:pStyle w:val="SingleTxtG"/>
        <w:spacing w:before="240" w:after="240" w:line="240" w:lineRule="auto"/>
      </w:pPr>
      <w:r>
        <w:lastRenderedPageBreak/>
        <w:t>15.</w:t>
      </w:r>
      <w:r>
        <w:tab/>
        <w:t>The text of the 1.4.2.2.6 of RID and ADR will be reworded and i</w:t>
      </w:r>
      <w:r w:rsidRPr="00393CB2">
        <w:t>nsert</w:t>
      </w:r>
      <w:r>
        <w:t>ed</w:t>
      </w:r>
      <w:r w:rsidRPr="00393CB2">
        <w:t xml:space="preserve"> </w:t>
      </w:r>
      <w:r>
        <w:t xml:space="preserve">as paragraph (h) in </w:t>
      </w:r>
      <w:r w:rsidRPr="00393CB2">
        <w:t>1.4.2.2</w:t>
      </w:r>
      <w:r>
        <w:t xml:space="preserve"> by the relocation of the next specialised obligations of ADN to </w:t>
      </w:r>
      <w:r w:rsidRPr="000736C9">
        <w:t>the following paragraphs</w:t>
      </w:r>
      <w:r>
        <w:t xml:space="preserve"> ((</w:t>
      </w:r>
      <w:proofErr w:type="spellStart"/>
      <w:r>
        <w:t>i</w:t>
      </w:r>
      <w:proofErr w:type="spellEnd"/>
      <w:r>
        <w:t>), (j) and (k)). A similar obligation is proposed also for ADN.</w:t>
      </w:r>
    </w:p>
    <w:p w:rsidR="000B022F" w:rsidRPr="00C91CE3" w:rsidRDefault="000B022F" w:rsidP="000B022F">
      <w:pPr>
        <w:pStyle w:val="SingleTxtG"/>
        <w:spacing w:before="240" w:after="240" w:line="240" w:lineRule="auto"/>
      </w:pPr>
      <w:r w:rsidRPr="00C91CE3">
        <w:t>1</w:t>
      </w:r>
      <w:r>
        <w:t>6</w:t>
      </w:r>
      <w:r w:rsidRPr="00C91CE3">
        <w:t>.</w:t>
      </w:r>
      <w:r w:rsidRPr="00C91CE3">
        <w:tab/>
        <w:t xml:space="preserve">As mentioned in the quoted text in paragraph 6 of the document, the paragraph (b) of 1.4.2.2.1 stipulates an obligation regarding the documents </w:t>
      </w:r>
      <w:r w:rsidRPr="00C91CE3">
        <w:rPr>
          <w:b/>
          <w:i/>
        </w:rPr>
        <w:t>provided by the consignor before carriage</w:t>
      </w:r>
      <w:r w:rsidRPr="00C91CE3">
        <w:t xml:space="preserve">. So, the requirement from 1.4.2.2.1 (b) refers to any other document than the instructions in writing. (e.g. transport documents, authorisations, approvals, notifications, certificates, </w:t>
      </w:r>
      <w:proofErr w:type="spellStart"/>
      <w:r w:rsidRPr="00C91CE3">
        <w:t>etc</w:t>
      </w:r>
      <w:proofErr w:type="spellEnd"/>
      <w:r w:rsidRPr="00C91CE3">
        <w:t xml:space="preserve"> (according to ADR 2007)). This is also the logic of the text, because the instructions in writing have another regime and purpose than any other document listed before for the carriage of dangerous goods.  The new instructions are no longer connected to a certain substance or UN number and this is the reasons for having this obligation under a separate paragraph. </w:t>
      </w:r>
    </w:p>
    <w:p w:rsidR="000B022F" w:rsidRPr="00C91CE3" w:rsidRDefault="000B022F" w:rsidP="000B022F">
      <w:pPr>
        <w:pStyle w:val="SingleTxtG"/>
        <w:spacing w:before="240" w:after="240" w:line="240" w:lineRule="auto"/>
      </w:pPr>
      <w:r>
        <w:t>17</w:t>
      </w:r>
      <w:r w:rsidRPr="00C91CE3">
        <w:t>.</w:t>
      </w:r>
      <w:r w:rsidRPr="00C91CE3">
        <w:tab/>
        <w:t>Another reason due to which RID has this obligation under a separate paragraph was that at that time the different obligations under 1.4.2.2.1 had to be checked by means of representative checks and the majority of the RID Committee of Experts was of the opinion that this obligation should not fall under the representative checks. In the meanwhile, the first sentence of RID 1.4.2.2.1 was changed and all the obligations listed under 1.4.2.2.1 have to be checked for each consignment. So moving the obligation from 1.4.2.2.6 to 1.4.2.2.1 (g) seems legitimate.</w:t>
      </w:r>
    </w:p>
    <w:p w:rsidR="000B022F" w:rsidRDefault="00FE175E" w:rsidP="00FE175E">
      <w:pPr>
        <w:pStyle w:val="H1G"/>
      </w:pPr>
      <w:r>
        <w:tab/>
      </w:r>
      <w:r>
        <w:tab/>
      </w:r>
      <w:r w:rsidR="000B022F">
        <w:t>Proposal 2 – paragraph (g)</w:t>
      </w:r>
    </w:p>
    <w:p w:rsidR="000B022F" w:rsidRPr="00393CB2" w:rsidRDefault="000B022F" w:rsidP="000B022F">
      <w:pPr>
        <w:pStyle w:val="SingleTxtG"/>
        <w:spacing w:before="240" w:after="240" w:line="240" w:lineRule="auto"/>
      </w:pPr>
      <w:r>
        <w:t>18.</w:t>
      </w:r>
      <w:r>
        <w:tab/>
      </w:r>
      <w:r w:rsidRPr="000B4085">
        <w:t>Amend the text of paragraph (g) of 1.4.2.2.1 to read as follows (stricken out text is to be replaced and new text is underlined):</w:t>
      </w:r>
    </w:p>
    <w:p w:rsidR="000B022F" w:rsidRPr="00393CB2" w:rsidRDefault="00FE175E" w:rsidP="000B022F">
      <w:pPr>
        <w:pStyle w:val="SingleTxtG"/>
        <w:spacing w:after="0" w:line="240" w:lineRule="auto"/>
        <w:ind w:left="1701" w:hanging="567"/>
        <w:rPr>
          <w:b/>
        </w:rPr>
      </w:pPr>
      <w:r>
        <w:rPr>
          <w:b/>
        </w:rPr>
        <w:t>ADR:</w:t>
      </w:r>
      <w:r w:rsidR="000B022F" w:rsidRPr="009D0E14">
        <w:rPr>
          <w:b/>
        </w:rPr>
        <w:t>“</w:t>
      </w:r>
      <w:r w:rsidR="000B022F" w:rsidRPr="00393CB2">
        <w:t>(</w:t>
      </w:r>
      <w:r w:rsidR="000B022F">
        <w:t>g</w:t>
      </w:r>
      <w:r w:rsidR="000B022F" w:rsidRPr="00393CB2">
        <w:t xml:space="preserve">) </w:t>
      </w:r>
      <w:r w:rsidR="000B022F" w:rsidRPr="00400728">
        <w:t xml:space="preserve">ascertain that the </w:t>
      </w:r>
      <w:r w:rsidR="000B022F" w:rsidRPr="00AA209C">
        <w:t xml:space="preserve">equipment </w:t>
      </w:r>
      <w:r w:rsidR="000B022F" w:rsidRPr="00400728">
        <w:t>prescribed in</w:t>
      </w:r>
      <w:r w:rsidR="000B022F">
        <w:t xml:space="preserve"> </w:t>
      </w:r>
      <w:r w:rsidR="000B022F" w:rsidRPr="00400728">
        <w:rPr>
          <w:color w:val="00B050"/>
          <w:u w:val="single"/>
        </w:rPr>
        <w:t>the instructions in writing according to</w:t>
      </w:r>
      <w:r w:rsidR="000B022F" w:rsidRPr="00400728">
        <w:t xml:space="preserve"> ADR </w:t>
      </w:r>
      <w:r w:rsidR="000B022F" w:rsidRPr="00756110">
        <w:rPr>
          <w:strike/>
          <w:color w:val="FF0000"/>
        </w:rPr>
        <w:t>for the vehicle,</w:t>
      </w:r>
      <w:r w:rsidR="000B022F" w:rsidRPr="00756110">
        <w:rPr>
          <w:b/>
          <w:strike/>
          <w:color w:val="FF0000"/>
        </w:rPr>
        <w:t xml:space="preserve"> </w:t>
      </w:r>
      <w:r w:rsidR="000B022F" w:rsidRPr="00756110">
        <w:rPr>
          <w:strike/>
          <w:color w:val="FF0000"/>
        </w:rPr>
        <w:t>vehicle crew and certain classes</w:t>
      </w:r>
      <w:r w:rsidR="000B022F" w:rsidRPr="00400728">
        <w:t xml:space="preserve"> is on board the </w:t>
      </w:r>
      <w:r w:rsidR="000B022F" w:rsidRPr="0045388B">
        <w:rPr>
          <w:strike/>
          <w:color w:val="FF0000"/>
        </w:rPr>
        <w:t>vehicle</w:t>
      </w:r>
      <w:r w:rsidR="000B022F" w:rsidRPr="00400728">
        <w:t xml:space="preserve"> </w:t>
      </w:r>
      <w:r w:rsidR="000B022F" w:rsidRPr="00400728">
        <w:rPr>
          <w:color w:val="00B050"/>
          <w:u w:val="single"/>
        </w:rPr>
        <w:t>transport unit</w:t>
      </w:r>
      <w:r w:rsidR="000B022F">
        <w:rPr>
          <w:color w:val="00B050"/>
          <w:u w:val="single"/>
        </w:rPr>
        <w:t>;</w:t>
      </w:r>
      <w:r w:rsidR="000B022F" w:rsidRPr="00756110">
        <w:rPr>
          <w:bCs/>
        </w:rPr>
        <w:t>”.</w:t>
      </w:r>
    </w:p>
    <w:p w:rsidR="000B022F" w:rsidRDefault="00FE175E" w:rsidP="000B022F">
      <w:pPr>
        <w:pStyle w:val="SingleTxtG"/>
        <w:spacing w:after="0" w:line="240" w:lineRule="auto"/>
        <w:ind w:left="1701" w:hanging="567"/>
        <w:rPr>
          <w:u w:val="single"/>
        </w:rPr>
      </w:pPr>
      <w:r>
        <w:rPr>
          <w:b/>
        </w:rPr>
        <w:t>ADN:</w:t>
      </w:r>
      <w:r w:rsidR="000B022F" w:rsidRPr="009D0E14">
        <w:rPr>
          <w:b/>
        </w:rPr>
        <w:t>“</w:t>
      </w:r>
      <w:r w:rsidR="000B022F" w:rsidRPr="00393CB2">
        <w:t>(</w:t>
      </w:r>
      <w:r w:rsidR="000B022F">
        <w:t>g</w:t>
      </w:r>
      <w:r w:rsidR="000B022F" w:rsidRPr="00393CB2">
        <w:t xml:space="preserve">) </w:t>
      </w:r>
      <w:r w:rsidR="000B022F" w:rsidRPr="00756110">
        <w:rPr>
          <w:bCs/>
          <w:strike/>
          <w:color w:val="FF0000"/>
        </w:rPr>
        <w:t>Provide the master with the required instructions in writing and</w:t>
      </w:r>
      <w:r w:rsidR="000B022F" w:rsidRPr="00400728">
        <w:rPr>
          <w:bCs/>
        </w:rPr>
        <w:t xml:space="preserve"> ascertain that the </w:t>
      </w:r>
      <w:r w:rsidR="000B022F" w:rsidRPr="00400728">
        <w:rPr>
          <w:bCs/>
          <w:color w:val="00B050"/>
          <w:u w:val="single"/>
        </w:rPr>
        <w:t xml:space="preserve">equipment </w:t>
      </w:r>
      <w:r w:rsidR="000B022F" w:rsidRPr="00400728">
        <w:rPr>
          <w:bCs/>
        </w:rPr>
        <w:t xml:space="preserve">prescribed </w:t>
      </w:r>
      <w:r w:rsidR="000B022F" w:rsidRPr="00400728">
        <w:rPr>
          <w:bCs/>
          <w:color w:val="00B050"/>
          <w:u w:val="single"/>
        </w:rPr>
        <w:t>in the instructions in writing according to ADN</w:t>
      </w:r>
      <w:r w:rsidR="000B022F" w:rsidRPr="00400728">
        <w:rPr>
          <w:bCs/>
        </w:rPr>
        <w:t xml:space="preserve"> </w:t>
      </w:r>
      <w:r w:rsidR="000B022F" w:rsidRPr="00756110">
        <w:rPr>
          <w:bCs/>
          <w:strike/>
          <w:color w:val="FF0000"/>
        </w:rPr>
        <w:t>equipment</w:t>
      </w:r>
      <w:r w:rsidR="000B022F" w:rsidRPr="00AA209C">
        <w:rPr>
          <w:bCs/>
          <w:strike/>
        </w:rPr>
        <w:t xml:space="preserve"> </w:t>
      </w:r>
      <w:r w:rsidR="000B022F" w:rsidRPr="00400728">
        <w:rPr>
          <w:bCs/>
        </w:rPr>
        <w:t>is on board the vessel</w:t>
      </w:r>
      <w:r w:rsidR="000B022F">
        <w:rPr>
          <w:bCs/>
        </w:rPr>
        <w:t>;</w:t>
      </w:r>
      <w:r w:rsidR="000B022F" w:rsidRPr="009D0E14">
        <w:rPr>
          <w:bCs/>
        </w:rPr>
        <w:t>”.</w:t>
      </w:r>
    </w:p>
    <w:p w:rsidR="000B022F" w:rsidRPr="007438C6" w:rsidRDefault="000B022F" w:rsidP="000B022F">
      <w:pPr>
        <w:pStyle w:val="SingleTxtG"/>
        <w:spacing w:before="240" w:after="0" w:line="240" w:lineRule="auto"/>
        <w:rPr>
          <w:bCs/>
        </w:rPr>
      </w:pPr>
      <w:r w:rsidRPr="00A84CAB">
        <w:rPr>
          <w:bCs/>
        </w:rPr>
        <w:t>19.</w:t>
      </w:r>
      <w:r w:rsidRPr="00A84CAB">
        <w:rPr>
          <w:bCs/>
        </w:rPr>
        <w:tab/>
        <w:t>In this way, the first part of the provision of 1.4.2.2.1 (g) in ADN was reworded in a similar form as in ADR and RID and the obligation for the instruction in writing according to ADN provided in paragraph (h).</w:t>
      </w:r>
    </w:p>
    <w:p w:rsidR="000B022F" w:rsidRDefault="00FE175E" w:rsidP="00FE175E">
      <w:pPr>
        <w:pStyle w:val="H1G"/>
      </w:pPr>
      <w:r>
        <w:tab/>
      </w:r>
      <w:r>
        <w:tab/>
      </w:r>
      <w:r w:rsidR="000B022F">
        <w:t>Proposal 3 – paragraph (h)</w:t>
      </w:r>
    </w:p>
    <w:p w:rsidR="000B022F" w:rsidRPr="00393CB2" w:rsidRDefault="000B022F" w:rsidP="000B022F">
      <w:pPr>
        <w:pStyle w:val="SingleTxtG"/>
        <w:spacing w:before="240" w:after="240" w:line="240" w:lineRule="auto"/>
      </w:pPr>
      <w:r>
        <w:t>20.</w:t>
      </w:r>
      <w:r>
        <w:tab/>
      </w:r>
      <w:r w:rsidRPr="007F1673">
        <w:t>Amend the text of paragraph (h) of 1.4.2.2.1 to</w:t>
      </w:r>
      <w:r w:rsidRPr="007F1673">
        <w:rPr>
          <w:color w:val="00B0F0"/>
        </w:rPr>
        <w:t xml:space="preserve"> </w:t>
      </w:r>
      <w:r w:rsidRPr="007F1673">
        <w:t>read as follows (stricken out text is to be replaced and new text is underlined):</w:t>
      </w:r>
    </w:p>
    <w:p w:rsidR="000B022F" w:rsidRPr="00393CB2" w:rsidRDefault="00DE00EC" w:rsidP="000B022F">
      <w:pPr>
        <w:pStyle w:val="SingleTxtG"/>
        <w:spacing w:after="0" w:line="240" w:lineRule="auto"/>
        <w:ind w:left="1701" w:hanging="567"/>
      </w:pPr>
      <w:r>
        <w:rPr>
          <w:b/>
        </w:rPr>
        <w:t>RID:</w:t>
      </w:r>
      <w:r w:rsidR="000B022F" w:rsidRPr="009D0E14">
        <w:rPr>
          <w:b/>
        </w:rPr>
        <w:t>“</w:t>
      </w:r>
      <w:r w:rsidR="000B022F" w:rsidRPr="00633345">
        <w:t>(h)</w:t>
      </w:r>
      <w:r w:rsidR="000B022F">
        <w:rPr>
          <w:b/>
        </w:rPr>
        <w:t xml:space="preserve"> </w:t>
      </w:r>
      <w:r w:rsidR="000B022F" w:rsidRPr="0045388B">
        <w:rPr>
          <w:strike/>
          <w:color w:val="FF0000"/>
        </w:rPr>
        <w:t>(</w:t>
      </w:r>
      <w:r w:rsidR="000B022F" w:rsidRPr="0045388B">
        <w:rPr>
          <w:i/>
          <w:strike/>
          <w:color w:val="FF0000"/>
        </w:rPr>
        <w:t>Reserved</w:t>
      </w:r>
      <w:r w:rsidR="000B022F" w:rsidRPr="0045388B">
        <w:rPr>
          <w:strike/>
          <w:color w:val="FF0000"/>
        </w:rPr>
        <w:t>)</w:t>
      </w:r>
      <w:r w:rsidR="000B022F" w:rsidRPr="00400728">
        <w:rPr>
          <w:color w:val="FF0000"/>
        </w:rPr>
        <w:t xml:space="preserve"> </w:t>
      </w:r>
      <w:r w:rsidR="000B022F" w:rsidRPr="00400728">
        <w:rPr>
          <w:color w:val="00B050"/>
          <w:u w:val="single"/>
        </w:rPr>
        <w:t xml:space="preserve">ascertain that the instructions in writing </w:t>
      </w:r>
      <w:r w:rsidR="000B022F">
        <w:rPr>
          <w:color w:val="00B050"/>
          <w:u w:val="single"/>
        </w:rPr>
        <w:t xml:space="preserve">as </w:t>
      </w:r>
      <w:r w:rsidR="000B022F" w:rsidRPr="00400728">
        <w:rPr>
          <w:color w:val="00B050"/>
          <w:u w:val="single"/>
        </w:rPr>
        <w:t>prescribed in RID are in the driver’s cab;</w:t>
      </w:r>
      <w:r w:rsidR="000B022F" w:rsidRPr="00756110">
        <w:rPr>
          <w:bCs/>
        </w:rPr>
        <w:t>”.</w:t>
      </w:r>
    </w:p>
    <w:p w:rsidR="000B022F" w:rsidRDefault="00FE175E" w:rsidP="000B022F">
      <w:pPr>
        <w:pStyle w:val="SingleTxtG"/>
        <w:spacing w:after="0" w:line="240" w:lineRule="auto"/>
        <w:ind w:left="1701" w:hanging="567"/>
        <w:rPr>
          <w:u w:val="single"/>
        </w:rPr>
      </w:pPr>
      <w:r>
        <w:rPr>
          <w:b/>
        </w:rPr>
        <w:t>ADR:</w:t>
      </w:r>
      <w:r w:rsidR="000B022F" w:rsidRPr="009D0E14">
        <w:rPr>
          <w:b/>
        </w:rPr>
        <w:t>“</w:t>
      </w:r>
      <w:r w:rsidR="000B022F" w:rsidRPr="00393CB2">
        <w:t>(</w:t>
      </w:r>
      <w:r w:rsidR="000B022F">
        <w:t>h</w:t>
      </w:r>
      <w:r w:rsidR="000B022F" w:rsidRPr="00393CB2">
        <w:t>)</w:t>
      </w:r>
      <w:r w:rsidR="000B022F" w:rsidRPr="00633345">
        <w:t xml:space="preserve"> </w:t>
      </w:r>
      <w:r w:rsidR="000B022F" w:rsidRPr="0045388B">
        <w:rPr>
          <w:strike/>
          <w:color w:val="FF0000"/>
        </w:rPr>
        <w:t>(</w:t>
      </w:r>
      <w:r w:rsidR="000B022F" w:rsidRPr="0045388B">
        <w:rPr>
          <w:i/>
          <w:strike/>
          <w:color w:val="FF0000"/>
        </w:rPr>
        <w:t>Reserved</w:t>
      </w:r>
      <w:r w:rsidR="000B022F" w:rsidRPr="0045388B">
        <w:rPr>
          <w:strike/>
          <w:color w:val="FF0000"/>
        </w:rPr>
        <w:t>)</w:t>
      </w:r>
      <w:r w:rsidR="000B022F" w:rsidRPr="00633345">
        <w:t xml:space="preserve"> </w:t>
      </w:r>
      <w:r w:rsidR="000B022F" w:rsidRPr="00400728">
        <w:rPr>
          <w:color w:val="00B050"/>
          <w:u w:val="single"/>
        </w:rPr>
        <w:t xml:space="preserve">ascertain that the instructions in writing </w:t>
      </w:r>
      <w:r w:rsidR="000B022F">
        <w:rPr>
          <w:color w:val="00B050"/>
          <w:u w:val="single"/>
        </w:rPr>
        <w:t xml:space="preserve">as </w:t>
      </w:r>
      <w:r w:rsidR="000B022F" w:rsidRPr="00400728">
        <w:rPr>
          <w:color w:val="00B050"/>
          <w:u w:val="single"/>
        </w:rPr>
        <w:t>prescribed in ADR are on board the transport unit;</w:t>
      </w:r>
      <w:r w:rsidR="000B022F" w:rsidRPr="00756110">
        <w:rPr>
          <w:bCs/>
        </w:rPr>
        <w:t>”.</w:t>
      </w:r>
    </w:p>
    <w:p w:rsidR="000B022F" w:rsidRDefault="00FE175E" w:rsidP="000B022F">
      <w:pPr>
        <w:pStyle w:val="SingleTxtG"/>
        <w:spacing w:after="0" w:line="240" w:lineRule="auto"/>
        <w:ind w:left="1701" w:hanging="567"/>
        <w:rPr>
          <w:u w:val="single"/>
        </w:rPr>
      </w:pPr>
      <w:r>
        <w:rPr>
          <w:b/>
        </w:rPr>
        <w:t>ADN:</w:t>
      </w:r>
      <w:r w:rsidR="000B022F" w:rsidRPr="009D0E14">
        <w:rPr>
          <w:b/>
        </w:rPr>
        <w:t>“</w:t>
      </w:r>
      <w:r w:rsidR="000B022F" w:rsidRPr="00393CB2">
        <w:t>(</w:t>
      </w:r>
      <w:r w:rsidR="000B022F">
        <w:t>h</w:t>
      </w:r>
      <w:r w:rsidR="000B022F" w:rsidRPr="00393CB2">
        <w:t xml:space="preserve">) </w:t>
      </w:r>
      <w:r w:rsidR="000B022F" w:rsidRPr="00400728">
        <w:rPr>
          <w:color w:val="00B050"/>
          <w:u w:val="single"/>
        </w:rPr>
        <w:t xml:space="preserve">ascertain that the instructions in writing </w:t>
      </w:r>
      <w:r w:rsidR="000B022F">
        <w:rPr>
          <w:color w:val="00B050"/>
          <w:u w:val="single"/>
        </w:rPr>
        <w:t xml:space="preserve">as </w:t>
      </w:r>
      <w:r w:rsidR="000B022F" w:rsidRPr="00400728">
        <w:rPr>
          <w:color w:val="00B050"/>
          <w:u w:val="single"/>
        </w:rPr>
        <w:t>prescribed in ADN are on board the vessel</w:t>
      </w:r>
      <w:r w:rsidR="000B022F">
        <w:rPr>
          <w:color w:val="00B050"/>
          <w:u w:val="single"/>
        </w:rPr>
        <w:t>;</w:t>
      </w:r>
      <w:r w:rsidR="000B022F" w:rsidRPr="00756110">
        <w:rPr>
          <w:bCs/>
        </w:rPr>
        <w:t>”.</w:t>
      </w:r>
    </w:p>
    <w:p w:rsidR="000B022F" w:rsidRDefault="00FE175E" w:rsidP="00FE175E">
      <w:pPr>
        <w:pStyle w:val="H1G"/>
      </w:pPr>
      <w:r>
        <w:lastRenderedPageBreak/>
        <w:tab/>
      </w:r>
      <w:r>
        <w:tab/>
      </w:r>
      <w:r w:rsidR="000B022F" w:rsidRPr="00E375B2">
        <w:t>Consequential amendments for RID and ADR</w:t>
      </w:r>
    </w:p>
    <w:p w:rsidR="000B022F" w:rsidRPr="00633345" w:rsidRDefault="00FE175E" w:rsidP="000B022F">
      <w:pPr>
        <w:pStyle w:val="SingleTxtG"/>
        <w:spacing w:before="120" w:after="240" w:line="240" w:lineRule="auto"/>
      </w:pPr>
      <w:r>
        <w:t>21.</w:t>
      </w:r>
      <w:r w:rsidR="000B022F">
        <w:tab/>
      </w:r>
      <w:r w:rsidR="000B022F" w:rsidRPr="00633345">
        <w:t xml:space="preserve">We also </w:t>
      </w:r>
      <w:r w:rsidR="000B022F">
        <w:t>propose to</w:t>
      </w:r>
      <w:r w:rsidR="000B022F" w:rsidRPr="00633345">
        <w:t xml:space="preserve"> consider switching</w:t>
      </w:r>
      <w:r w:rsidR="000B022F">
        <w:t xml:space="preserve"> the place between the obligations of paragraphs (g) and (h) for the logic of the checks. The presence of the instructions in writing must be checked before the equipment.</w:t>
      </w:r>
    </w:p>
    <w:p w:rsidR="000B022F" w:rsidRPr="000E5D9D" w:rsidRDefault="00FE175E" w:rsidP="000B022F">
      <w:pPr>
        <w:pStyle w:val="SingleTxtG"/>
        <w:spacing w:before="240" w:after="240" w:line="240" w:lineRule="auto"/>
      </w:pPr>
      <w:r>
        <w:t>22.</w:t>
      </w:r>
      <w:r w:rsidR="000B022F">
        <w:tab/>
        <w:t>Against the paragraphs (</w:t>
      </w:r>
      <w:proofErr w:type="spellStart"/>
      <w:r w:rsidR="000B022F">
        <w:t>i</w:t>
      </w:r>
      <w:proofErr w:type="spellEnd"/>
      <w:r w:rsidR="000B022F">
        <w:t xml:space="preserve">), (j) </w:t>
      </w:r>
      <w:r w:rsidR="000B022F" w:rsidRPr="008C258B">
        <w:t xml:space="preserve">and </w:t>
      </w:r>
      <w:r w:rsidR="000B022F">
        <w:t xml:space="preserve">(k) of 1.4.2.2.1 in </w:t>
      </w:r>
      <w:r w:rsidR="000B022F" w:rsidRPr="00947A0D">
        <w:rPr>
          <w:b/>
        </w:rPr>
        <w:t>RID</w:t>
      </w:r>
      <w:r w:rsidR="000B022F">
        <w:t xml:space="preserve"> and </w:t>
      </w:r>
      <w:r w:rsidR="000B022F" w:rsidRPr="00947A0D">
        <w:rPr>
          <w:b/>
        </w:rPr>
        <w:t>ADR</w:t>
      </w:r>
      <w:r w:rsidR="000B022F">
        <w:t>: insert (</w:t>
      </w:r>
      <w:r w:rsidR="000B022F" w:rsidRPr="000E5D9D">
        <w:rPr>
          <w:i/>
        </w:rPr>
        <w:t>Reserved</w:t>
      </w:r>
      <w:r w:rsidR="000B022F">
        <w:t>).</w:t>
      </w:r>
    </w:p>
    <w:p w:rsidR="000B022F" w:rsidRDefault="00FE175E" w:rsidP="00FE175E">
      <w:pPr>
        <w:pStyle w:val="H1G"/>
      </w:pPr>
      <w:r>
        <w:tab/>
      </w:r>
      <w:r>
        <w:tab/>
      </w:r>
      <w:r w:rsidR="000B022F">
        <w:t>Proposal 4 – final phrase of 1.4.2.2.1</w:t>
      </w:r>
    </w:p>
    <w:p w:rsidR="000B022F" w:rsidRDefault="00FE175E" w:rsidP="000B022F">
      <w:pPr>
        <w:pStyle w:val="SingleTxtG"/>
        <w:spacing w:before="240" w:after="240" w:line="240" w:lineRule="auto"/>
      </w:pPr>
      <w:r>
        <w:t>23.</w:t>
      </w:r>
      <w:r w:rsidR="000B022F">
        <w:tab/>
      </w:r>
      <w:r w:rsidR="000B022F" w:rsidRPr="00FD5983">
        <w:t>The</w:t>
      </w:r>
      <w:r w:rsidR="000B022F">
        <w:t xml:space="preserve"> final phrase provides an instrument </w:t>
      </w:r>
      <w:r w:rsidR="000B022F" w:rsidRPr="00FD5983">
        <w:t>by means of</w:t>
      </w:r>
      <w:r w:rsidR="000B022F">
        <w:rPr>
          <w:i/>
        </w:rPr>
        <w:t xml:space="preserve"> </w:t>
      </w:r>
      <w:r w:rsidR="000B022F" w:rsidRPr="00FD5983">
        <w:rPr>
          <w:i/>
        </w:rPr>
        <w:t>a visual inspection</w:t>
      </w:r>
      <w:r w:rsidR="000B022F">
        <w:t xml:space="preserve"> to check the upper obligations in 1.4.2.2.1</w:t>
      </w:r>
      <w:r w:rsidR="000B022F" w:rsidRPr="00FD5983">
        <w:t>.</w:t>
      </w:r>
      <w:r w:rsidR="000B022F">
        <w:t xml:space="preserve"> The proposal consists, as announced before, in the uniform use of the singular form of the term </w:t>
      </w:r>
      <w:r w:rsidR="000B022F" w:rsidRPr="00171400">
        <w:rPr>
          <w:i/>
        </w:rPr>
        <w:t>container</w:t>
      </w:r>
      <w:r w:rsidR="000B022F">
        <w:t xml:space="preserve"> in all the regulations and the replacement of the term </w:t>
      </w:r>
      <w:r w:rsidR="000B022F" w:rsidRPr="00171400">
        <w:rPr>
          <w:i/>
        </w:rPr>
        <w:t>vehicle</w:t>
      </w:r>
      <w:r w:rsidR="000B022F">
        <w:t xml:space="preserve"> by </w:t>
      </w:r>
      <w:r w:rsidR="000B022F" w:rsidRPr="00171400">
        <w:rPr>
          <w:i/>
        </w:rPr>
        <w:t>transport unit</w:t>
      </w:r>
      <w:r w:rsidR="000B022F">
        <w:t xml:space="preserve"> in ADR.</w:t>
      </w:r>
    </w:p>
    <w:p w:rsidR="000B022F" w:rsidRPr="00FD5983" w:rsidRDefault="000B022F" w:rsidP="000B022F">
      <w:pPr>
        <w:pStyle w:val="SingleTxtG"/>
        <w:spacing w:before="240" w:after="240" w:line="240" w:lineRule="auto"/>
      </w:pPr>
      <w:r>
        <w:t>24.</w:t>
      </w:r>
      <w:r>
        <w:tab/>
      </w:r>
      <w:r w:rsidRPr="007F1673">
        <w:t>Amend the text of the ending phrase</w:t>
      </w:r>
      <w:r w:rsidRPr="007F1673">
        <w:rPr>
          <w:b/>
        </w:rPr>
        <w:t xml:space="preserve"> </w:t>
      </w:r>
      <w:r w:rsidRPr="007F1673">
        <w:t>of 1.4.2.2.1 to read as follows (stricken out text is to be replaced and new text is underlined):</w:t>
      </w:r>
    </w:p>
    <w:p w:rsidR="000B022F" w:rsidRPr="00393CB2" w:rsidRDefault="000B022F" w:rsidP="000B022F">
      <w:pPr>
        <w:pStyle w:val="SingleTxtG"/>
        <w:spacing w:after="0" w:line="240" w:lineRule="auto"/>
        <w:ind w:left="1701" w:hanging="567"/>
      </w:pPr>
      <w:r>
        <w:rPr>
          <w:b/>
        </w:rPr>
        <w:t xml:space="preserve">RID:  </w:t>
      </w:r>
      <w:r w:rsidRPr="00A84CAB">
        <w:t>“...</w:t>
      </w:r>
      <w:r w:rsidRPr="00400728">
        <w:t>of the wagon or the container</w:t>
      </w:r>
      <w:r w:rsidRPr="00400728">
        <w:rPr>
          <w:strike/>
          <w:color w:val="FF0000"/>
        </w:rPr>
        <w:t>s</w:t>
      </w:r>
      <w:r w:rsidRPr="00400728">
        <w:t xml:space="preserve"> and</w:t>
      </w:r>
      <w:r>
        <w:t>, ...</w:t>
      </w:r>
      <w:r w:rsidRPr="00DC2696">
        <w:rPr>
          <w:bCs/>
        </w:rPr>
        <w:t xml:space="preserve"> ”.</w:t>
      </w:r>
    </w:p>
    <w:p w:rsidR="000B022F" w:rsidRDefault="000B022F" w:rsidP="000B022F">
      <w:pPr>
        <w:pStyle w:val="SingleTxtG"/>
        <w:spacing w:after="0" w:line="240" w:lineRule="auto"/>
        <w:ind w:left="1701" w:hanging="567"/>
        <w:rPr>
          <w:u w:val="single"/>
        </w:rPr>
      </w:pPr>
      <w:r>
        <w:rPr>
          <w:b/>
        </w:rPr>
        <w:t xml:space="preserve">ADR: </w:t>
      </w:r>
      <w:r w:rsidRPr="00A84CAB">
        <w:t>“</w:t>
      </w:r>
      <w:r w:rsidRPr="00DC2696">
        <w:t>Where appropriate</w:t>
      </w:r>
      <w:r w:rsidRPr="00400728">
        <w:t xml:space="preserve">, this shall be done on the basis of the transport documents and accompanying documents, by a </w:t>
      </w:r>
      <w:r w:rsidRPr="00DC2696">
        <w:t>visual inspection</w:t>
      </w:r>
      <w:r w:rsidRPr="00400728">
        <w:t xml:space="preserve"> of the </w:t>
      </w:r>
      <w:r w:rsidRPr="0045388B">
        <w:rPr>
          <w:strike/>
          <w:color w:val="FF0000"/>
        </w:rPr>
        <w:t>vehicle</w:t>
      </w:r>
      <w:r w:rsidRPr="00400728">
        <w:t xml:space="preserve"> </w:t>
      </w:r>
      <w:r w:rsidRPr="00400728">
        <w:rPr>
          <w:color w:val="00B050"/>
          <w:u w:val="single"/>
        </w:rPr>
        <w:t>transport unit</w:t>
      </w:r>
      <w:r w:rsidRPr="00400728">
        <w:t xml:space="preserve"> or the container</w:t>
      </w:r>
      <w:r w:rsidRPr="00400728">
        <w:rPr>
          <w:strike/>
          <w:color w:val="FF0000"/>
          <w:u w:val="single"/>
        </w:rPr>
        <w:t>s</w:t>
      </w:r>
      <w:r w:rsidRPr="00400728">
        <w:t xml:space="preserve"> and, </w:t>
      </w:r>
      <w:r w:rsidRPr="00DC2696">
        <w:t>where appropriate</w:t>
      </w:r>
      <w:r w:rsidRPr="00400728">
        <w:t>, the load</w:t>
      </w:r>
      <w:r>
        <w:t>.</w:t>
      </w:r>
      <w:r w:rsidRPr="00DC2696">
        <w:rPr>
          <w:bCs/>
        </w:rPr>
        <w:t>”.</w:t>
      </w:r>
    </w:p>
    <w:p w:rsidR="000B022F" w:rsidRDefault="000B022F" w:rsidP="000B022F">
      <w:pPr>
        <w:pStyle w:val="SingleTxtG"/>
        <w:spacing w:after="0" w:line="240" w:lineRule="auto"/>
        <w:ind w:left="1701" w:hanging="567"/>
        <w:rPr>
          <w:bCs/>
        </w:rPr>
      </w:pPr>
      <w:r>
        <w:rPr>
          <w:b/>
        </w:rPr>
        <w:t xml:space="preserve">ADN: </w:t>
      </w:r>
      <w:r w:rsidRPr="00A84CAB">
        <w:t>“...</w:t>
      </w:r>
      <w:r>
        <w:rPr>
          <w:b/>
        </w:rPr>
        <w:t xml:space="preserve"> </w:t>
      </w:r>
      <w:r w:rsidRPr="00400728">
        <w:t>of the vessel or the container</w:t>
      </w:r>
      <w:r w:rsidRPr="00400728">
        <w:rPr>
          <w:strike/>
          <w:color w:val="FF0000"/>
        </w:rPr>
        <w:t>s</w:t>
      </w:r>
      <w:r w:rsidRPr="00400728">
        <w:t xml:space="preserve"> and</w:t>
      </w:r>
      <w:r>
        <w:t xml:space="preserve">, ... </w:t>
      </w:r>
      <w:r w:rsidRPr="00DC2696">
        <w:rPr>
          <w:bCs/>
        </w:rPr>
        <w:t>”.</w:t>
      </w:r>
    </w:p>
    <w:p w:rsidR="000B022F" w:rsidRPr="004C5D0C" w:rsidRDefault="000B022F" w:rsidP="000B022F">
      <w:pPr>
        <w:pStyle w:val="SingleTxtG"/>
        <w:spacing w:before="240" w:after="0" w:line="240" w:lineRule="auto"/>
        <w:ind w:left="1701" w:hanging="567"/>
      </w:pPr>
      <w:r w:rsidRPr="007F1673">
        <w:t>The rest of the phrase remains unchanged.</w:t>
      </w:r>
    </w:p>
    <w:p w:rsidR="000B022F" w:rsidRPr="007F1673" w:rsidRDefault="000B022F" w:rsidP="000B022F">
      <w:pPr>
        <w:pStyle w:val="SingleTxtG"/>
        <w:spacing w:before="240" w:after="240" w:line="240" w:lineRule="auto"/>
      </w:pPr>
      <w:r>
        <w:t>25.</w:t>
      </w:r>
      <w:r>
        <w:tab/>
        <w:t>We hope</w:t>
      </w:r>
      <w:r w:rsidRPr="00171400">
        <w:t xml:space="preserve"> the above proposals meet</w:t>
      </w:r>
      <w:r>
        <w:t xml:space="preserve"> the requirements of </w:t>
      </w:r>
      <w:r w:rsidRPr="007F1673">
        <w:t>the delegations and better cover the provisions of RID/ADR/ADN.</w:t>
      </w:r>
    </w:p>
    <w:p w:rsidR="000B022F" w:rsidRPr="00F66A98" w:rsidRDefault="000B022F" w:rsidP="000B022F">
      <w:pPr>
        <w:pStyle w:val="SingleTxtG"/>
        <w:spacing w:before="240" w:after="240"/>
        <w:rPr>
          <w:b/>
          <w:bCs/>
          <w:sz w:val="24"/>
        </w:rPr>
      </w:pPr>
      <w:r w:rsidRPr="00E809A8">
        <w:rPr>
          <w:b/>
          <w:bCs/>
          <w:sz w:val="28"/>
        </w:rPr>
        <w:t>Justification</w:t>
      </w:r>
    </w:p>
    <w:tbl>
      <w:tblPr>
        <w:tblW w:w="0" w:type="auto"/>
        <w:tblInd w:w="1134" w:type="dxa"/>
        <w:tblLook w:val="04A0" w:firstRow="1" w:lastRow="0" w:firstColumn="1" w:lastColumn="0" w:noHBand="0" w:noVBand="1"/>
      </w:tblPr>
      <w:tblGrid>
        <w:gridCol w:w="1951"/>
        <w:gridCol w:w="5529"/>
      </w:tblGrid>
      <w:tr w:rsidR="000B022F" w:rsidRPr="00EB37EC" w:rsidTr="000B022F">
        <w:tc>
          <w:tcPr>
            <w:tcW w:w="1951" w:type="dxa"/>
          </w:tcPr>
          <w:p w:rsidR="000B022F" w:rsidRPr="00EB37EC" w:rsidRDefault="000B022F" w:rsidP="000B022F">
            <w:pPr>
              <w:pStyle w:val="SingleTxtG"/>
              <w:ind w:left="0" w:right="176"/>
              <w:rPr>
                <w:bCs/>
              </w:rPr>
            </w:pPr>
            <w:r>
              <w:rPr>
                <w:bCs/>
              </w:rPr>
              <w:t>26</w:t>
            </w:r>
            <w:r w:rsidRPr="00DF5610">
              <w:rPr>
                <w:bCs/>
              </w:rPr>
              <w:t>.</w:t>
            </w:r>
            <w:r w:rsidRPr="00DF5610">
              <w:rPr>
                <w:bCs/>
              </w:rPr>
              <w:tab/>
              <w:t>Safety:</w:t>
            </w:r>
          </w:p>
        </w:tc>
        <w:tc>
          <w:tcPr>
            <w:tcW w:w="5529" w:type="dxa"/>
          </w:tcPr>
          <w:p w:rsidR="000B022F" w:rsidRPr="00EB37EC" w:rsidRDefault="000B022F" w:rsidP="000B022F">
            <w:pPr>
              <w:pStyle w:val="SingleTxtG"/>
              <w:ind w:left="-108" w:right="0"/>
              <w:rPr>
                <w:bCs/>
              </w:rPr>
            </w:pPr>
            <w:r w:rsidRPr="00DF5610">
              <w:rPr>
                <w:bCs/>
              </w:rPr>
              <w:t>Clear text improves safety</w:t>
            </w:r>
            <w:r>
              <w:rPr>
                <w:bCs/>
              </w:rPr>
              <w:t xml:space="preserve"> across all transport modes.</w:t>
            </w:r>
          </w:p>
        </w:tc>
      </w:tr>
      <w:tr w:rsidR="000B022F" w:rsidRPr="00EB37EC" w:rsidTr="000B022F">
        <w:tc>
          <w:tcPr>
            <w:tcW w:w="1951" w:type="dxa"/>
            <w:vMerge w:val="restart"/>
          </w:tcPr>
          <w:p w:rsidR="000B022F" w:rsidRPr="00EB37EC" w:rsidRDefault="00DE00EC" w:rsidP="000B022F">
            <w:pPr>
              <w:pStyle w:val="SingleTxtG"/>
              <w:ind w:left="0" w:right="176"/>
              <w:rPr>
                <w:bCs/>
              </w:rPr>
            </w:pPr>
            <w:r w:rsidRPr="00C26AA6">
              <w:rPr>
                <w:bCs/>
                <w:lang w:val="en-GB"/>
              </w:rPr>
              <w:tab/>
            </w:r>
            <w:r w:rsidR="000B022F" w:rsidRPr="00EB37EC">
              <w:rPr>
                <w:bCs/>
              </w:rPr>
              <w:t>Feasibility:</w:t>
            </w:r>
          </w:p>
        </w:tc>
        <w:tc>
          <w:tcPr>
            <w:tcW w:w="5529" w:type="dxa"/>
          </w:tcPr>
          <w:p w:rsidR="000B022F" w:rsidRPr="00EB37EC" w:rsidRDefault="000B022F" w:rsidP="000B022F">
            <w:pPr>
              <w:pStyle w:val="SingleTxtG"/>
              <w:ind w:left="-108" w:right="0"/>
              <w:rPr>
                <w:bCs/>
              </w:rPr>
            </w:pPr>
            <w:r w:rsidRPr="00E86C91">
              <w:rPr>
                <w:bCs/>
              </w:rPr>
              <w:t>The proposed text</w:t>
            </w:r>
            <w:r>
              <w:rPr>
                <w:bCs/>
              </w:rPr>
              <w:t>s</w:t>
            </w:r>
            <w:r w:rsidRPr="00E86C91">
              <w:rPr>
                <w:bCs/>
              </w:rPr>
              <w:t xml:space="preserve"> clarify </w:t>
            </w:r>
            <w:r>
              <w:rPr>
                <w:bCs/>
              </w:rPr>
              <w:t>the</w:t>
            </w:r>
            <w:r w:rsidRPr="00E86C91">
              <w:rPr>
                <w:bCs/>
              </w:rPr>
              <w:t xml:space="preserve"> existent obligation</w:t>
            </w:r>
            <w:r>
              <w:rPr>
                <w:bCs/>
              </w:rPr>
              <w:t>s</w:t>
            </w:r>
            <w:r w:rsidRPr="00E86C91">
              <w:rPr>
                <w:bCs/>
              </w:rPr>
              <w:t xml:space="preserve"> and facilitate the activity of the </w:t>
            </w:r>
            <w:r>
              <w:rPr>
                <w:bCs/>
              </w:rPr>
              <w:t xml:space="preserve">carriers, vehicle crews and </w:t>
            </w:r>
            <w:r w:rsidRPr="00E86C91">
              <w:rPr>
                <w:bCs/>
              </w:rPr>
              <w:t>enforcement bodies</w:t>
            </w:r>
            <w:r>
              <w:rPr>
                <w:bCs/>
              </w:rPr>
              <w:t>.</w:t>
            </w:r>
          </w:p>
        </w:tc>
      </w:tr>
      <w:tr w:rsidR="000B022F" w:rsidRPr="00EB37EC" w:rsidTr="000B022F">
        <w:tc>
          <w:tcPr>
            <w:tcW w:w="1951" w:type="dxa"/>
            <w:vMerge/>
          </w:tcPr>
          <w:p w:rsidR="000B022F" w:rsidRPr="00EB37EC" w:rsidRDefault="000B022F" w:rsidP="000B022F">
            <w:pPr>
              <w:pStyle w:val="SingleTxtG"/>
              <w:ind w:left="0"/>
              <w:rPr>
                <w:bCs/>
              </w:rPr>
            </w:pPr>
          </w:p>
        </w:tc>
        <w:tc>
          <w:tcPr>
            <w:tcW w:w="5529" w:type="dxa"/>
          </w:tcPr>
          <w:p w:rsidR="000B022F" w:rsidRPr="00EB37EC" w:rsidRDefault="000B022F" w:rsidP="000B022F">
            <w:pPr>
              <w:pStyle w:val="SingleTxtG"/>
              <w:ind w:left="-108" w:right="0"/>
              <w:rPr>
                <w:bCs/>
              </w:rPr>
            </w:pPr>
            <w:r w:rsidRPr="00EB37EC">
              <w:rPr>
                <w:bCs/>
              </w:rPr>
              <w:t>There are no disadvantages envisaged.</w:t>
            </w:r>
          </w:p>
        </w:tc>
      </w:tr>
      <w:tr w:rsidR="000B022F" w:rsidRPr="00EB37EC" w:rsidTr="000B022F">
        <w:tc>
          <w:tcPr>
            <w:tcW w:w="1951" w:type="dxa"/>
            <w:vMerge/>
          </w:tcPr>
          <w:p w:rsidR="000B022F" w:rsidRPr="00EB37EC" w:rsidRDefault="000B022F" w:rsidP="000B022F">
            <w:pPr>
              <w:pStyle w:val="SingleTxtG"/>
              <w:ind w:left="0"/>
              <w:rPr>
                <w:bCs/>
              </w:rPr>
            </w:pPr>
          </w:p>
        </w:tc>
        <w:tc>
          <w:tcPr>
            <w:tcW w:w="5529" w:type="dxa"/>
          </w:tcPr>
          <w:p w:rsidR="000B022F" w:rsidRPr="00EB37EC" w:rsidRDefault="000B022F" w:rsidP="000B022F">
            <w:pPr>
              <w:pStyle w:val="SingleTxtG"/>
              <w:ind w:left="-108" w:right="0"/>
              <w:rPr>
                <w:bCs/>
              </w:rPr>
            </w:pPr>
            <w:r w:rsidRPr="00E86C91">
              <w:rPr>
                <w:bCs/>
              </w:rPr>
              <w:t>There is no transitional period required</w:t>
            </w:r>
            <w:r w:rsidRPr="00EB37EC">
              <w:rPr>
                <w:bCs/>
              </w:rPr>
              <w:t>.</w:t>
            </w:r>
          </w:p>
        </w:tc>
      </w:tr>
      <w:tr w:rsidR="000B022F" w:rsidRPr="00EB37EC" w:rsidTr="000B022F">
        <w:tc>
          <w:tcPr>
            <w:tcW w:w="1951" w:type="dxa"/>
          </w:tcPr>
          <w:p w:rsidR="000B022F" w:rsidRPr="00EB37EC" w:rsidRDefault="00DE00EC" w:rsidP="000B022F">
            <w:pPr>
              <w:pStyle w:val="SingleTxtG"/>
              <w:ind w:left="0" w:right="-85"/>
              <w:rPr>
                <w:bCs/>
              </w:rPr>
            </w:pPr>
            <w:r w:rsidRPr="00C26AA6">
              <w:rPr>
                <w:bCs/>
                <w:lang w:val="en-GB"/>
              </w:rPr>
              <w:tab/>
            </w:r>
            <w:r w:rsidR="000B022F" w:rsidRPr="00DF5610">
              <w:rPr>
                <w:bCs/>
              </w:rPr>
              <w:t>Enforceability:</w:t>
            </w:r>
          </w:p>
        </w:tc>
        <w:tc>
          <w:tcPr>
            <w:tcW w:w="5529" w:type="dxa"/>
          </w:tcPr>
          <w:p w:rsidR="000B022F" w:rsidRDefault="000B022F" w:rsidP="000B022F">
            <w:pPr>
              <w:pStyle w:val="SingleTxtG"/>
              <w:ind w:left="-108" w:right="0"/>
              <w:rPr>
                <w:bCs/>
              </w:rPr>
            </w:pPr>
            <w:r w:rsidRPr="007438C6">
              <w:rPr>
                <w:bCs/>
              </w:rPr>
              <w:t>Chapter 1.4 is particularly important for enforcers and can be considered the gateway to the RID/ADR/ADN from their point of view</w:t>
            </w:r>
            <w:r>
              <w:rPr>
                <w:bCs/>
              </w:rPr>
              <w:t xml:space="preserve">. </w:t>
            </w:r>
          </w:p>
          <w:p w:rsidR="00FE175E" w:rsidRPr="00C26AA6" w:rsidRDefault="000B022F" w:rsidP="00DE00EC">
            <w:pPr>
              <w:pStyle w:val="SingleTxtG"/>
              <w:ind w:left="-108" w:right="0"/>
              <w:rPr>
                <w:bCs/>
                <w:lang w:val="en-GB"/>
              </w:rPr>
            </w:pPr>
            <w:r w:rsidRPr="00DF5610">
              <w:rPr>
                <w:bCs/>
              </w:rPr>
              <w:t xml:space="preserve">The presence of separate obligations for the carrier </w:t>
            </w:r>
            <w:r w:rsidRPr="00E86C91">
              <w:rPr>
                <w:bCs/>
              </w:rPr>
              <w:t xml:space="preserve">would facilitate the enforceability of </w:t>
            </w:r>
            <w:r>
              <w:rPr>
                <w:bCs/>
              </w:rPr>
              <w:t>the regulations</w:t>
            </w:r>
            <w:r w:rsidRPr="00DF5610">
              <w:rPr>
                <w:bCs/>
              </w:rPr>
              <w:t>.</w:t>
            </w:r>
          </w:p>
        </w:tc>
      </w:tr>
    </w:tbl>
    <w:p w:rsidR="00C30C61" w:rsidRPr="00FE175E" w:rsidRDefault="00FE175E" w:rsidP="00FE175E">
      <w:pPr>
        <w:pStyle w:val="HChG"/>
        <w:keepNext w:val="0"/>
        <w:keepLines w:val="0"/>
        <w:spacing w:before="240" w:after="0" w:line="240" w:lineRule="atLeast"/>
        <w:ind w:firstLine="0"/>
        <w:jc w:val="center"/>
        <w:rPr>
          <w:b w:val="0"/>
          <w:u w:val="single"/>
          <w:lang w:val="en-GB"/>
        </w:rPr>
      </w:pPr>
      <w:r>
        <w:rPr>
          <w:b w:val="0"/>
          <w:u w:val="single"/>
          <w:lang w:val="en-GB"/>
        </w:rPr>
        <w:tab/>
      </w:r>
      <w:r>
        <w:rPr>
          <w:b w:val="0"/>
          <w:u w:val="single"/>
          <w:lang w:val="en-GB"/>
        </w:rPr>
        <w:tab/>
      </w:r>
      <w:r>
        <w:rPr>
          <w:b w:val="0"/>
          <w:u w:val="single"/>
          <w:lang w:val="en-GB"/>
        </w:rPr>
        <w:tab/>
      </w:r>
    </w:p>
    <w:sectPr w:rsidR="00C30C61" w:rsidRPr="00FE175E"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AB" w:rsidRDefault="007A58AB"/>
  </w:endnote>
  <w:endnote w:type="continuationSeparator" w:id="0">
    <w:p w:rsidR="007A58AB" w:rsidRDefault="007A58AB"/>
  </w:endnote>
  <w:endnote w:type="continuationNotice" w:id="1">
    <w:p w:rsidR="007A58AB" w:rsidRDefault="007A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F" w:rsidRPr="009D2A5B" w:rsidRDefault="000B022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26AA6">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F" w:rsidRPr="009D2A5B" w:rsidRDefault="000B022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26AA6">
      <w:rPr>
        <w:b/>
        <w:noProof/>
        <w:sz w:val="18"/>
      </w:rPr>
      <w:t>5</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F" w:rsidRPr="0048397A" w:rsidRDefault="000B022F">
    <w:pPr>
      <w:pStyle w:val="Footer"/>
      <w:rPr>
        <w:sz w:val="20"/>
      </w:rPr>
    </w:pPr>
    <w:r>
      <w:rPr>
        <w:sz w:val="20"/>
      </w:rPr>
      <w:t>GE.15-</w:t>
    </w:r>
    <w:r w:rsidR="006B798F">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AB" w:rsidRPr="000B175B" w:rsidRDefault="007A58AB" w:rsidP="000B175B">
      <w:pPr>
        <w:tabs>
          <w:tab w:val="right" w:pos="2155"/>
        </w:tabs>
        <w:spacing w:after="80"/>
        <w:ind w:left="680"/>
        <w:rPr>
          <w:u w:val="single"/>
        </w:rPr>
      </w:pPr>
      <w:r>
        <w:rPr>
          <w:u w:val="single"/>
        </w:rPr>
        <w:tab/>
      </w:r>
    </w:p>
  </w:footnote>
  <w:footnote w:type="continuationSeparator" w:id="0">
    <w:p w:rsidR="007A58AB" w:rsidRPr="00FC68B7" w:rsidRDefault="007A58AB" w:rsidP="00FC68B7">
      <w:pPr>
        <w:tabs>
          <w:tab w:val="left" w:pos="2155"/>
        </w:tabs>
        <w:spacing w:after="80"/>
        <w:ind w:left="680"/>
        <w:rPr>
          <w:u w:val="single"/>
        </w:rPr>
      </w:pPr>
      <w:r>
        <w:rPr>
          <w:u w:val="single"/>
        </w:rPr>
        <w:tab/>
      </w:r>
    </w:p>
  </w:footnote>
  <w:footnote w:type="continuationNotice" w:id="1">
    <w:p w:rsidR="007A58AB" w:rsidRDefault="007A58AB"/>
  </w:footnote>
  <w:footnote w:id="2">
    <w:p w:rsidR="000B022F" w:rsidRPr="00BA3578" w:rsidRDefault="000B022F" w:rsidP="00CF79FB">
      <w:pPr>
        <w:pStyle w:val="FootnoteText"/>
        <w:widowControl w:val="0"/>
        <w:tabs>
          <w:tab w:val="clear" w:pos="1021"/>
          <w:tab w:val="right" w:pos="1020"/>
        </w:tabs>
      </w:pPr>
      <w:r>
        <w:tab/>
      </w:r>
      <w:r>
        <w:rPr>
          <w:rStyle w:val="FootnoteReference"/>
        </w:rPr>
        <w:footnoteRef/>
      </w:r>
      <w:r>
        <w:tab/>
      </w:r>
      <w:r w:rsidRPr="00BA3578">
        <w:t>In accordance with the programme of work of the Inland Transport Committee for 2014–2015 (ECE/TRANS/240, para. 100, ECE/TRANS/2014/23, cluster 9, para.9.2).</w:t>
      </w:r>
    </w:p>
  </w:footnote>
  <w:footnote w:id="3">
    <w:p w:rsidR="000B022F" w:rsidRPr="00BA3578" w:rsidRDefault="000B022F" w:rsidP="00CF79FB">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w:t>
      </w:r>
      <w:r>
        <w:t>er the symbol OTIF/RID/RC/2015/</w:t>
      </w:r>
      <w:r w:rsidRPr="00CF79FB">
        <w:rPr>
          <w:lang w:val="en-GB"/>
        </w:rPr>
        <w:t>3</w:t>
      </w:r>
      <w:r w:rsidRPr="00BA7CCE">
        <w:rPr>
          <w:lang w:val="en-GB"/>
        </w:rPr>
        <w:t>4</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F" w:rsidRPr="009D2A5B" w:rsidRDefault="000B022F" w:rsidP="009D2A5B">
    <w:pPr>
      <w:pStyle w:val="Header"/>
    </w:pPr>
    <w:r w:rsidRPr="009D2A5B">
      <w:t>ECE/TRANS/WP.15/AC.1/201</w:t>
    </w:r>
    <w:r>
      <w:t>5</w:t>
    </w:r>
    <w:r w:rsidRPr="009D2A5B">
      <w:t>/</w:t>
    </w:r>
    <w: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F" w:rsidRPr="009D2A5B" w:rsidRDefault="000B022F" w:rsidP="009D2A5B">
    <w:pPr>
      <w:pStyle w:val="Header"/>
      <w:jc w:val="right"/>
    </w:pPr>
    <w:r w:rsidRPr="009D2A5B">
      <w:t>ECE/TRANS/WP.15/AC.1/201</w:t>
    </w:r>
    <w:r>
      <w:t>5</w:t>
    </w:r>
    <w:r w:rsidRPr="009D2A5B">
      <w:t>/</w:t>
    </w:r>
    <w:r w:rsidR="00FE175E">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69082D"/>
    <w:multiLevelType w:val="hybridMultilevel"/>
    <w:tmpl w:val="A3C668B6"/>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5657"/>
    <w:rsid w:val="00037F90"/>
    <w:rsid w:val="00046B1F"/>
    <w:rsid w:val="00047007"/>
    <w:rsid w:val="00050F6B"/>
    <w:rsid w:val="00057E97"/>
    <w:rsid w:val="00072C8C"/>
    <w:rsid w:val="000733B5"/>
    <w:rsid w:val="00081815"/>
    <w:rsid w:val="000931C0"/>
    <w:rsid w:val="000B022F"/>
    <w:rsid w:val="000B0595"/>
    <w:rsid w:val="000B175B"/>
    <w:rsid w:val="000B3A0F"/>
    <w:rsid w:val="000B4EF7"/>
    <w:rsid w:val="000C2C03"/>
    <w:rsid w:val="000C2D2E"/>
    <w:rsid w:val="000C4D51"/>
    <w:rsid w:val="000C5682"/>
    <w:rsid w:val="000E0415"/>
    <w:rsid w:val="000E157A"/>
    <w:rsid w:val="0010703B"/>
    <w:rsid w:val="001103AA"/>
    <w:rsid w:val="0011666B"/>
    <w:rsid w:val="00155068"/>
    <w:rsid w:val="00165F3A"/>
    <w:rsid w:val="00186147"/>
    <w:rsid w:val="00197ED7"/>
    <w:rsid w:val="001B13A5"/>
    <w:rsid w:val="001B4B04"/>
    <w:rsid w:val="001C6663"/>
    <w:rsid w:val="001C7895"/>
    <w:rsid w:val="001D0C8C"/>
    <w:rsid w:val="001D1419"/>
    <w:rsid w:val="001D26DF"/>
    <w:rsid w:val="001D3A03"/>
    <w:rsid w:val="001D7F46"/>
    <w:rsid w:val="001E0B9E"/>
    <w:rsid w:val="001E2674"/>
    <w:rsid w:val="001E7B67"/>
    <w:rsid w:val="001F7435"/>
    <w:rsid w:val="00202DA8"/>
    <w:rsid w:val="002042CE"/>
    <w:rsid w:val="0021157B"/>
    <w:rsid w:val="00211E0B"/>
    <w:rsid w:val="00216E14"/>
    <w:rsid w:val="00267F5F"/>
    <w:rsid w:val="002763E7"/>
    <w:rsid w:val="00277D27"/>
    <w:rsid w:val="00283A44"/>
    <w:rsid w:val="00286B4D"/>
    <w:rsid w:val="00295F09"/>
    <w:rsid w:val="002A603B"/>
    <w:rsid w:val="002D4643"/>
    <w:rsid w:val="002D4B6C"/>
    <w:rsid w:val="002F175C"/>
    <w:rsid w:val="002F53D7"/>
    <w:rsid w:val="00302E18"/>
    <w:rsid w:val="00322290"/>
    <w:rsid w:val="003229D8"/>
    <w:rsid w:val="00325F38"/>
    <w:rsid w:val="00352709"/>
    <w:rsid w:val="003562ED"/>
    <w:rsid w:val="00371178"/>
    <w:rsid w:val="003870A1"/>
    <w:rsid w:val="003A6810"/>
    <w:rsid w:val="003C2CC4"/>
    <w:rsid w:val="003D4B23"/>
    <w:rsid w:val="003F6047"/>
    <w:rsid w:val="004059B4"/>
    <w:rsid w:val="00410C89"/>
    <w:rsid w:val="00422E03"/>
    <w:rsid w:val="00426B9B"/>
    <w:rsid w:val="004325CB"/>
    <w:rsid w:val="00434071"/>
    <w:rsid w:val="00442A83"/>
    <w:rsid w:val="0045495B"/>
    <w:rsid w:val="004808D3"/>
    <w:rsid w:val="0048397A"/>
    <w:rsid w:val="004A12F2"/>
    <w:rsid w:val="004C2461"/>
    <w:rsid w:val="004C7462"/>
    <w:rsid w:val="004D4E04"/>
    <w:rsid w:val="004D5426"/>
    <w:rsid w:val="004E0C05"/>
    <w:rsid w:val="004E77B2"/>
    <w:rsid w:val="004F43DB"/>
    <w:rsid w:val="00503DEB"/>
    <w:rsid w:val="00504B2D"/>
    <w:rsid w:val="0052136D"/>
    <w:rsid w:val="00522B58"/>
    <w:rsid w:val="0052775E"/>
    <w:rsid w:val="00535C90"/>
    <w:rsid w:val="005420F2"/>
    <w:rsid w:val="00546993"/>
    <w:rsid w:val="00550D3B"/>
    <w:rsid w:val="005628B6"/>
    <w:rsid w:val="005A575C"/>
    <w:rsid w:val="005B008A"/>
    <w:rsid w:val="005B3DB3"/>
    <w:rsid w:val="005B4E13"/>
    <w:rsid w:val="005E6A77"/>
    <w:rsid w:val="005F7B75"/>
    <w:rsid w:val="006001EE"/>
    <w:rsid w:val="00605042"/>
    <w:rsid w:val="00611FC4"/>
    <w:rsid w:val="006176FB"/>
    <w:rsid w:val="00640B26"/>
    <w:rsid w:val="00646FA2"/>
    <w:rsid w:val="006520EB"/>
    <w:rsid w:val="00652D0A"/>
    <w:rsid w:val="006623D5"/>
    <w:rsid w:val="00662BB6"/>
    <w:rsid w:val="00667F8F"/>
    <w:rsid w:val="00684C21"/>
    <w:rsid w:val="00684CD4"/>
    <w:rsid w:val="0069232B"/>
    <w:rsid w:val="00692BD5"/>
    <w:rsid w:val="00697A0B"/>
    <w:rsid w:val="006A2530"/>
    <w:rsid w:val="006B798F"/>
    <w:rsid w:val="006C3589"/>
    <w:rsid w:val="006D37AF"/>
    <w:rsid w:val="006D51D0"/>
    <w:rsid w:val="006E1355"/>
    <w:rsid w:val="006E564B"/>
    <w:rsid w:val="006E7191"/>
    <w:rsid w:val="00703577"/>
    <w:rsid w:val="00705894"/>
    <w:rsid w:val="0072632A"/>
    <w:rsid w:val="00731FF0"/>
    <w:rsid w:val="007327D5"/>
    <w:rsid w:val="00755AA7"/>
    <w:rsid w:val="007611CF"/>
    <w:rsid w:val="007629C8"/>
    <w:rsid w:val="0077047D"/>
    <w:rsid w:val="00774CE6"/>
    <w:rsid w:val="007A58AB"/>
    <w:rsid w:val="007B5050"/>
    <w:rsid w:val="007B6BA5"/>
    <w:rsid w:val="007C3390"/>
    <w:rsid w:val="007C4F4B"/>
    <w:rsid w:val="007E01E9"/>
    <w:rsid w:val="007E63F3"/>
    <w:rsid w:val="007F6611"/>
    <w:rsid w:val="007F7106"/>
    <w:rsid w:val="00811920"/>
    <w:rsid w:val="00815AD0"/>
    <w:rsid w:val="00823CDF"/>
    <w:rsid w:val="008242D7"/>
    <w:rsid w:val="008257B1"/>
    <w:rsid w:val="00843767"/>
    <w:rsid w:val="008521A5"/>
    <w:rsid w:val="008615CE"/>
    <w:rsid w:val="008679D9"/>
    <w:rsid w:val="00871389"/>
    <w:rsid w:val="00883999"/>
    <w:rsid w:val="008878DE"/>
    <w:rsid w:val="008979B1"/>
    <w:rsid w:val="008A6B25"/>
    <w:rsid w:val="008A6C4F"/>
    <w:rsid w:val="008B2335"/>
    <w:rsid w:val="008B717B"/>
    <w:rsid w:val="008E0678"/>
    <w:rsid w:val="008E3E0A"/>
    <w:rsid w:val="008F6495"/>
    <w:rsid w:val="009223CA"/>
    <w:rsid w:val="00926670"/>
    <w:rsid w:val="0093125B"/>
    <w:rsid w:val="00940F93"/>
    <w:rsid w:val="0094558F"/>
    <w:rsid w:val="00957E03"/>
    <w:rsid w:val="00961690"/>
    <w:rsid w:val="009760F3"/>
    <w:rsid w:val="009A0E8D"/>
    <w:rsid w:val="009B1518"/>
    <w:rsid w:val="009B26E7"/>
    <w:rsid w:val="009B6669"/>
    <w:rsid w:val="009C454F"/>
    <w:rsid w:val="009D2A5B"/>
    <w:rsid w:val="009D7FA4"/>
    <w:rsid w:val="00A00A3F"/>
    <w:rsid w:val="00A01489"/>
    <w:rsid w:val="00A15624"/>
    <w:rsid w:val="00A16E58"/>
    <w:rsid w:val="00A17C04"/>
    <w:rsid w:val="00A23D32"/>
    <w:rsid w:val="00A3009E"/>
    <w:rsid w:val="00A3026E"/>
    <w:rsid w:val="00A338F1"/>
    <w:rsid w:val="00A44B17"/>
    <w:rsid w:val="00A72F22"/>
    <w:rsid w:val="00A7360F"/>
    <w:rsid w:val="00A748A6"/>
    <w:rsid w:val="00A769F4"/>
    <w:rsid w:val="00A776B4"/>
    <w:rsid w:val="00A8479D"/>
    <w:rsid w:val="00A94361"/>
    <w:rsid w:val="00A943BA"/>
    <w:rsid w:val="00AA293C"/>
    <w:rsid w:val="00AC4E7D"/>
    <w:rsid w:val="00AF0BF8"/>
    <w:rsid w:val="00B03211"/>
    <w:rsid w:val="00B11BB4"/>
    <w:rsid w:val="00B22BC2"/>
    <w:rsid w:val="00B30179"/>
    <w:rsid w:val="00B421C1"/>
    <w:rsid w:val="00B55C71"/>
    <w:rsid w:val="00B56E4A"/>
    <w:rsid w:val="00B56E9C"/>
    <w:rsid w:val="00B61320"/>
    <w:rsid w:val="00B618C4"/>
    <w:rsid w:val="00B64B1F"/>
    <w:rsid w:val="00B6553F"/>
    <w:rsid w:val="00B70F1E"/>
    <w:rsid w:val="00B77D05"/>
    <w:rsid w:val="00B81206"/>
    <w:rsid w:val="00B81E12"/>
    <w:rsid w:val="00B914A6"/>
    <w:rsid w:val="00BA7CCE"/>
    <w:rsid w:val="00BB7CD1"/>
    <w:rsid w:val="00BC3FA0"/>
    <w:rsid w:val="00BC74E9"/>
    <w:rsid w:val="00BE5FBE"/>
    <w:rsid w:val="00BF68A8"/>
    <w:rsid w:val="00C10FE6"/>
    <w:rsid w:val="00C11A03"/>
    <w:rsid w:val="00C15BF3"/>
    <w:rsid w:val="00C22C0C"/>
    <w:rsid w:val="00C26AA6"/>
    <w:rsid w:val="00C30C61"/>
    <w:rsid w:val="00C4527F"/>
    <w:rsid w:val="00C463DD"/>
    <w:rsid w:val="00C4724C"/>
    <w:rsid w:val="00C629A0"/>
    <w:rsid w:val="00C64629"/>
    <w:rsid w:val="00C745C3"/>
    <w:rsid w:val="00C76F8B"/>
    <w:rsid w:val="00CA6342"/>
    <w:rsid w:val="00CB3E03"/>
    <w:rsid w:val="00CE4A8F"/>
    <w:rsid w:val="00CF79FB"/>
    <w:rsid w:val="00D2031B"/>
    <w:rsid w:val="00D25FE2"/>
    <w:rsid w:val="00D43252"/>
    <w:rsid w:val="00D47EEA"/>
    <w:rsid w:val="00D50827"/>
    <w:rsid w:val="00D550D4"/>
    <w:rsid w:val="00D6338C"/>
    <w:rsid w:val="00D773DF"/>
    <w:rsid w:val="00D85770"/>
    <w:rsid w:val="00D85A0E"/>
    <w:rsid w:val="00D872AC"/>
    <w:rsid w:val="00D9255F"/>
    <w:rsid w:val="00D95303"/>
    <w:rsid w:val="00D978C6"/>
    <w:rsid w:val="00DA3C1C"/>
    <w:rsid w:val="00DE00EC"/>
    <w:rsid w:val="00E046DF"/>
    <w:rsid w:val="00E05B49"/>
    <w:rsid w:val="00E109E1"/>
    <w:rsid w:val="00E15051"/>
    <w:rsid w:val="00E15557"/>
    <w:rsid w:val="00E240D2"/>
    <w:rsid w:val="00E27346"/>
    <w:rsid w:val="00E3152E"/>
    <w:rsid w:val="00E31B24"/>
    <w:rsid w:val="00E4347F"/>
    <w:rsid w:val="00E71610"/>
    <w:rsid w:val="00E71BC8"/>
    <w:rsid w:val="00E7260F"/>
    <w:rsid w:val="00E73F5D"/>
    <w:rsid w:val="00E77E4E"/>
    <w:rsid w:val="00E80673"/>
    <w:rsid w:val="00E96630"/>
    <w:rsid w:val="00EC106A"/>
    <w:rsid w:val="00ED2C3B"/>
    <w:rsid w:val="00ED7A2A"/>
    <w:rsid w:val="00EE6B3A"/>
    <w:rsid w:val="00EF1D7F"/>
    <w:rsid w:val="00F2394E"/>
    <w:rsid w:val="00F27276"/>
    <w:rsid w:val="00F31E5F"/>
    <w:rsid w:val="00F32BB7"/>
    <w:rsid w:val="00F6100A"/>
    <w:rsid w:val="00F63C9D"/>
    <w:rsid w:val="00F641EC"/>
    <w:rsid w:val="00F66565"/>
    <w:rsid w:val="00F75A16"/>
    <w:rsid w:val="00F83FF8"/>
    <w:rsid w:val="00F93781"/>
    <w:rsid w:val="00FA57B8"/>
    <w:rsid w:val="00FB613B"/>
    <w:rsid w:val="00FC68B7"/>
    <w:rsid w:val="00FE0150"/>
    <w:rsid w:val="00FE106A"/>
    <w:rsid w:val="00FE175E"/>
    <w:rsid w:val="00FE1BD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1794</Words>
  <Characters>10230</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1126259</vt:lpstr>
      <vt:lpstr>1126259</vt:lpstr>
    </vt:vector>
  </TitlesOfParts>
  <Company>CSD</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2015-06-17T07:33:00Z</cp:lastPrinted>
  <dcterms:created xsi:type="dcterms:W3CDTF">2015-06-22T14:01:00Z</dcterms:created>
  <dcterms:modified xsi:type="dcterms:W3CDTF">2015-06-24T10:34:00Z</dcterms:modified>
</cp:coreProperties>
</file>