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CB" w:rsidRPr="00A576AD" w:rsidRDefault="00182DCB" w:rsidP="00182DCB">
      <w:pPr>
        <w:spacing w:line="240" w:lineRule="auto"/>
        <w:rPr>
          <w:sz w:val="2"/>
          <w:lang w:val="fr-CH"/>
        </w:rPr>
        <w:sectPr w:rsidR="00182DCB" w:rsidRPr="00A576AD" w:rsidSect="00182DCB">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182DCB" w:rsidRPr="00A576AD" w:rsidRDefault="00182DCB" w:rsidP="00182DCB">
      <w:pPr>
        <w:pStyle w:val="H1"/>
        <w:spacing w:after="120"/>
        <w:rPr>
          <w:sz w:val="28"/>
          <w:lang w:val="fr-CH"/>
        </w:rPr>
      </w:pPr>
      <w:r w:rsidRPr="00A576AD">
        <w:rPr>
          <w:sz w:val="28"/>
          <w:lang w:val="fr-CH"/>
        </w:rPr>
        <w:lastRenderedPageBreak/>
        <w:t>Commission économique pour l’Europe</w:t>
      </w:r>
    </w:p>
    <w:p w:rsidR="00182DCB" w:rsidRPr="00A576AD" w:rsidRDefault="00182DCB" w:rsidP="00182DCB">
      <w:pPr>
        <w:pStyle w:val="H1"/>
        <w:spacing w:after="120" w:line="300" w:lineRule="exact"/>
        <w:rPr>
          <w:b w:val="0"/>
          <w:sz w:val="28"/>
          <w:lang w:val="fr-CH"/>
        </w:rPr>
      </w:pPr>
      <w:r w:rsidRPr="00A576AD">
        <w:rPr>
          <w:b w:val="0"/>
          <w:sz w:val="28"/>
          <w:lang w:val="fr-CH"/>
        </w:rPr>
        <w:t>Comité des transports intérieurs</w:t>
      </w:r>
    </w:p>
    <w:p w:rsidR="00D3292A" w:rsidRPr="00A576AD" w:rsidRDefault="00D3292A" w:rsidP="00D329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A576AD">
        <w:rPr>
          <w:lang w:val="fr-CH"/>
        </w:rPr>
        <w:t xml:space="preserve">Groupe de travail des transports </w:t>
      </w:r>
      <w:r w:rsidRPr="00A576AD">
        <w:rPr>
          <w:lang w:val="fr-CH"/>
        </w:rPr>
        <w:br/>
        <w:t xml:space="preserve">de marchandises dangereuses </w:t>
      </w:r>
    </w:p>
    <w:p w:rsidR="00D3292A" w:rsidRPr="00A576AD" w:rsidRDefault="00D3292A" w:rsidP="00D3292A">
      <w:pPr>
        <w:pStyle w:val="SingleTxt"/>
        <w:spacing w:after="0" w:line="120" w:lineRule="exact"/>
        <w:rPr>
          <w:sz w:val="10"/>
          <w:lang w:val="fr-CH"/>
        </w:rPr>
      </w:pPr>
    </w:p>
    <w:p w:rsidR="00D3292A" w:rsidRDefault="00D3292A" w:rsidP="00461D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A576AD">
        <w:rPr>
          <w:lang w:val="fr-CH"/>
        </w:rPr>
        <w:t xml:space="preserve">Réunion commune de la Commission d’experts du RID </w:t>
      </w:r>
      <w:r w:rsidRPr="00A576AD">
        <w:rPr>
          <w:lang w:val="fr-CH"/>
        </w:rPr>
        <w:br/>
        <w:t xml:space="preserve">et du Groupe de travail des transports de marchandises </w:t>
      </w:r>
      <w:r w:rsidRPr="00A576AD">
        <w:rPr>
          <w:lang w:val="fr-CH"/>
        </w:rPr>
        <w:br/>
        <w:t>dangereuses</w:t>
      </w:r>
    </w:p>
    <w:p w:rsidR="00D3292A" w:rsidRPr="00A576AD" w:rsidRDefault="00D3292A" w:rsidP="00D32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A576AD">
        <w:rPr>
          <w:lang w:val="fr-CH"/>
        </w:rPr>
        <w:t>Genève, 15</w:t>
      </w:r>
      <w:r w:rsidR="006B5F56" w:rsidRPr="00A576AD">
        <w:rPr>
          <w:lang w:val="fr-CH"/>
        </w:rPr>
        <w:t>-</w:t>
      </w:r>
      <w:r w:rsidRPr="00A576AD">
        <w:rPr>
          <w:lang w:val="fr-CH"/>
        </w:rPr>
        <w:t>25 septembre 2015</w:t>
      </w:r>
    </w:p>
    <w:p w:rsidR="00D3292A" w:rsidRPr="00A576AD" w:rsidRDefault="00D3292A" w:rsidP="00D329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A576AD">
        <w:rPr>
          <w:lang w:val="fr-CH"/>
        </w:rPr>
        <w:t>Point 3 a) de l’ordre du jour provisoire</w:t>
      </w:r>
    </w:p>
    <w:p w:rsidR="00D3292A" w:rsidRPr="00A576AD" w:rsidRDefault="00D3292A" w:rsidP="00D32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Propositions diverses d’amendements au RID/ADR/ADN</w:t>
      </w:r>
      <w:r w:rsidR="006B5F56" w:rsidRPr="00A576AD">
        <w:rPr>
          <w:lang w:val="fr-CH"/>
        </w:rPr>
        <w:t> :</w:t>
      </w:r>
    </w:p>
    <w:p w:rsidR="00D3292A" w:rsidRPr="00A576AD" w:rsidRDefault="00D3292A" w:rsidP="00D329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Questions en suspens</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Chargeur et déchargeur</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fr-CH"/>
        </w:rPr>
      </w:pPr>
      <w:r w:rsidRPr="00A576AD">
        <w:rPr>
          <w:lang w:val="fr-CH"/>
        </w:rPr>
        <w:tab/>
      </w:r>
      <w:r w:rsidRPr="00A576AD">
        <w:rPr>
          <w:lang w:val="fr-CH"/>
        </w:rPr>
        <w:tab/>
        <w:t>Communication des Gouvernements suédois et espagnol</w:t>
      </w:r>
      <w:r w:rsidRPr="00A576AD">
        <w:rPr>
          <w:b w:val="0"/>
          <w:sz w:val="20"/>
          <w:szCs w:val="20"/>
          <w:vertAlign w:val="superscript"/>
          <w:lang w:val="fr-CH"/>
        </w:rPr>
        <w:footnoteReference w:id="1"/>
      </w:r>
      <w:r w:rsidRPr="00A576AD">
        <w:rPr>
          <w:sz w:val="20"/>
          <w:szCs w:val="20"/>
          <w:vertAlign w:val="superscript"/>
          <w:lang w:val="fr-CH"/>
        </w:rPr>
        <w:t>,</w:t>
      </w:r>
      <w:r w:rsidRPr="00A576AD">
        <w:rPr>
          <w:sz w:val="20"/>
          <w:szCs w:val="20"/>
          <w:lang w:val="fr-CH"/>
        </w:rPr>
        <w:t xml:space="preserve"> </w:t>
      </w:r>
      <w:r w:rsidRPr="00A576AD">
        <w:rPr>
          <w:b w:val="0"/>
          <w:sz w:val="20"/>
          <w:szCs w:val="20"/>
          <w:vertAlign w:val="superscript"/>
          <w:lang w:val="fr-CH"/>
        </w:rPr>
        <w:footnoteReference w:id="2"/>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CB1E93" w:rsidRPr="00A576AD" w:rsidTr="00CB1E93">
        <w:tc>
          <w:tcPr>
            <w:tcW w:w="10051" w:type="dxa"/>
            <w:tcBorders>
              <w:top w:val="single" w:sz="2" w:space="0" w:color="auto"/>
            </w:tcBorders>
            <w:shd w:val="clear" w:color="auto" w:fill="auto"/>
          </w:tcPr>
          <w:p w:rsidR="00CB1E93" w:rsidRPr="00A576AD" w:rsidRDefault="00CB1E93" w:rsidP="00CB1E93">
            <w:pPr>
              <w:tabs>
                <w:tab w:val="left" w:pos="240"/>
              </w:tabs>
              <w:spacing w:before="240" w:after="120"/>
              <w:rPr>
                <w:i/>
                <w:sz w:val="24"/>
                <w:lang w:val="fr-CH"/>
              </w:rPr>
            </w:pPr>
            <w:r w:rsidRPr="00A576AD">
              <w:rPr>
                <w:i/>
                <w:sz w:val="24"/>
                <w:lang w:val="fr-CH"/>
              </w:rPr>
              <w:tab/>
              <w:t>Résumé</w:t>
            </w:r>
          </w:p>
        </w:tc>
      </w:tr>
      <w:tr w:rsidR="00CB1E93" w:rsidRPr="00A576AD" w:rsidTr="00CB1E93">
        <w:tc>
          <w:tcPr>
            <w:tcW w:w="10051" w:type="dxa"/>
            <w:shd w:val="clear" w:color="auto" w:fill="auto"/>
          </w:tcPr>
          <w:p w:rsidR="00CB1E93" w:rsidRPr="00A576AD" w:rsidRDefault="00CB1E93" w:rsidP="00327A2C">
            <w:pPr>
              <w:pStyle w:val="SingleTxt"/>
              <w:ind w:left="3658" w:hanging="2391"/>
              <w:rPr>
                <w:lang w:val="fr-CH"/>
              </w:rPr>
            </w:pPr>
            <w:r w:rsidRPr="00A576AD">
              <w:rPr>
                <w:b/>
                <w:lang w:val="fr-CH"/>
              </w:rPr>
              <w:t>Résumé analytique </w:t>
            </w:r>
            <w:r w:rsidRPr="00A576AD">
              <w:rPr>
                <w:lang w:val="fr-CH"/>
              </w:rPr>
              <w:t>:</w:t>
            </w:r>
            <w:r w:rsidRPr="00A576AD">
              <w:rPr>
                <w:lang w:val="fr-CH"/>
              </w:rPr>
              <w:tab/>
            </w:r>
            <w:r w:rsidRPr="00A576AD">
              <w:rPr>
                <w:lang w:val="fr-CH"/>
              </w:rPr>
              <w:tab/>
              <w:t xml:space="preserve">La présente proposition vise à harmoniser les textes concernant les prescriptions applicables aux chargeurs pour différents moyens de confinement aux chapitres 1.2, 1.4 et 7.5 ainsi qu’à clarifier les relations entre </w:t>
            </w:r>
            <w:r w:rsidR="00327A2C" w:rsidRPr="00A576AD">
              <w:rPr>
                <w:lang w:val="fr-CH"/>
              </w:rPr>
              <w:t>« </w:t>
            </w:r>
            <w:r w:rsidRPr="00A576AD">
              <w:rPr>
                <w:lang w:val="fr-CH"/>
              </w:rPr>
              <w:t>chargeur</w:t>
            </w:r>
            <w:r w:rsidR="00327A2C" w:rsidRPr="00A576AD">
              <w:rPr>
                <w:lang w:val="fr-CH"/>
              </w:rPr>
              <w:t> »</w:t>
            </w:r>
            <w:r w:rsidRPr="00A576AD">
              <w:rPr>
                <w:lang w:val="fr-CH"/>
              </w:rPr>
              <w:t xml:space="preserve"> et </w:t>
            </w:r>
            <w:r w:rsidR="00327A2C" w:rsidRPr="00A576AD">
              <w:rPr>
                <w:lang w:val="fr-CH"/>
              </w:rPr>
              <w:t>« </w:t>
            </w:r>
            <w:r w:rsidRPr="00A576AD">
              <w:rPr>
                <w:lang w:val="fr-CH"/>
              </w:rPr>
              <w:t>chargement</w:t>
            </w:r>
            <w:r w:rsidR="00327A2C" w:rsidRPr="00A576AD">
              <w:rPr>
                <w:lang w:val="fr-CH"/>
              </w:rPr>
              <w:t> »</w:t>
            </w:r>
            <w:r w:rsidRPr="00A576AD">
              <w:rPr>
                <w:lang w:val="fr-CH"/>
              </w:rPr>
              <w:t xml:space="preserve"> ainsi qu’entre </w:t>
            </w:r>
            <w:r w:rsidR="00327A2C" w:rsidRPr="00A576AD">
              <w:rPr>
                <w:lang w:val="fr-CH"/>
              </w:rPr>
              <w:t>« </w:t>
            </w:r>
            <w:r w:rsidRPr="00A576AD">
              <w:rPr>
                <w:lang w:val="fr-CH"/>
              </w:rPr>
              <w:t>déchargeur</w:t>
            </w:r>
            <w:r w:rsidR="00327A2C" w:rsidRPr="00A576AD">
              <w:rPr>
                <w:lang w:val="fr-CH"/>
              </w:rPr>
              <w:t> »</w:t>
            </w:r>
            <w:r w:rsidRPr="00A576AD">
              <w:rPr>
                <w:lang w:val="fr-CH"/>
              </w:rPr>
              <w:t xml:space="preserve"> et </w:t>
            </w:r>
            <w:r w:rsidR="00327A2C" w:rsidRPr="00A576AD">
              <w:rPr>
                <w:lang w:val="fr-CH"/>
              </w:rPr>
              <w:t>« </w:t>
            </w:r>
            <w:r w:rsidRPr="00A576AD">
              <w:rPr>
                <w:lang w:val="fr-CH"/>
              </w:rPr>
              <w:t>déchargement</w:t>
            </w:r>
            <w:r w:rsidR="00327A2C" w:rsidRPr="00A576AD">
              <w:rPr>
                <w:lang w:val="fr-CH"/>
              </w:rPr>
              <w:t> »</w:t>
            </w:r>
            <w:r w:rsidRPr="00A576AD">
              <w:rPr>
                <w:lang w:val="fr-CH"/>
              </w:rPr>
              <w:t>.</w:t>
            </w:r>
          </w:p>
        </w:tc>
      </w:tr>
      <w:tr w:rsidR="00CB1E93" w:rsidRPr="00A576AD" w:rsidTr="00CB1E93">
        <w:tc>
          <w:tcPr>
            <w:tcW w:w="10051" w:type="dxa"/>
            <w:shd w:val="clear" w:color="auto" w:fill="auto"/>
          </w:tcPr>
          <w:p w:rsidR="00CB1E93" w:rsidRPr="00A576AD" w:rsidRDefault="00CB1E93" w:rsidP="00CB1E93">
            <w:pPr>
              <w:pStyle w:val="SingleTxt"/>
              <w:rPr>
                <w:lang w:val="fr-CH"/>
              </w:rPr>
            </w:pPr>
            <w:r w:rsidRPr="00A576AD">
              <w:rPr>
                <w:b/>
                <w:lang w:val="fr-CH"/>
              </w:rPr>
              <w:t>Mesures à prendre </w:t>
            </w:r>
            <w:r w:rsidRPr="00A576AD">
              <w:rPr>
                <w:lang w:val="fr-CH"/>
              </w:rPr>
              <w:t xml:space="preserve">: </w:t>
            </w:r>
            <w:r w:rsidRPr="00A576AD">
              <w:rPr>
                <w:lang w:val="fr-CH"/>
              </w:rPr>
              <w:tab/>
            </w:r>
            <w:r w:rsidRPr="00A576AD">
              <w:rPr>
                <w:lang w:val="fr-CH"/>
              </w:rPr>
              <w:tab/>
              <w:t>Modifier les textes de la manière proposée.</w:t>
            </w:r>
          </w:p>
        </w:tc>
      </w:tr>
      <w:tr w:rsidR="00CB1E93" w:rsidRPr="00A576AD" w:rsidTr="00CB1E93">
        <w:tc>
          <w:tcPr>
            <w:tcW w:w="10051" w:type="dxa"/>
            <w:tcBorders>
              <w:bottom w:val="nil"/>
            </w:tcBorders>
            <w:shd w:val="clear" w:color="auto" w:fill="auto"/>
          </w:tcPr>
          <w:p w:rsidR="00CB1E93" w:rsidRPr="00A576AD" w:rsidRDefault="00CB1E93" w:rsidP="00CB1E93">
            <w:pPr>
              <w:pStyle w:val="SingleTxt"/>
              <w:spacing w:after="0"/>
              <w:rPr>
                <w:lang w:val="fr-CH"/>
              </w:rPr>
            </w:pPr>
            <w:r w:rsidRPr="00A576AD">
              <w:rPr>
                <w:b/>
                <w:lang w:val="fr-CH"/>
              </w:rPr>
              <w:t>Documents connexes </w:t>
            </w:r>
            <w:r w:rsidRPr="00A576AD">
              <w:rPr>
                <w:lang w:val="fr-CH"/>
              </w:rPr>
              <w:t>:</w:t>
            </w:r>
            <w:r w:rsidRPr="00A576AD">
              <w:rPr>
                <w:b/>
                <w:lang w:val="fr-CH"/>
              </w:rPr>
              <w:tab/>
            </w:r>
            <w:r w:rsidRPr="00A576AD">
              <w:rPr>
                <w:lang w:val="fr-CH"/>
              </w:rPr>
              <w:t>OTIF/RID/CE/GTP/2014/17 (Suède)</w:t>
            </w:r>
          </w:p>
          <w:p w:rsidR="00CB1E93" w:rsidRPr="00A576AD" w:rsidRDefault="00CB1E93" w:rsidP="00CB1E93">
            <w:pPr>
              <w:pStyle w:val="SingleTxt"/>
              <w:spacing w:after="0"/>
              <w:ind w:left="7013" w:hanging="3355"/>
              <w:rPr>
                <w:lang w:val="fr-CH"/>
              </w:rPr>
            </w:pPr>
            <w:r w:rsidRPr="00A576AD">
              <w:rPr>
                <w:lang w:val="fr-CH"/>
              </w:rPr>
              <w:t>ECE/TRANS/WP.15/AC.1/2015/6 (Suède)</w:t>
            </w:r>
          </w:p>
          <w:p w:rsidR="00CB1E93" w:rsidRPr="00A576AD" w:rsidRDefault="00CB1E93" w:rsidP="00CB1E93">
            <w:pPr>
              <w:pStyle w:val="SingleTxt"/>
              <w:spacing w:after="0"/>
              <w:ind w:left="7013" w:hanging="3355"/>
              <w:rPr>
                <w:lang w:val="fr-CH"/>
              </w:rPr>
            </w:pPr>
            <w:r w:rsidRPr="00A576AD">
              <w:rPr>
                <w:lang w:val="fr-CH"/>
              </w:rPr>
              <w:t>ECE/TRANS/WP.15/AC.1/2015/7 (Espagne)</w:t>
            </w:r>
          </w:p>
          <w:p w:rsidR="00CB1E93" w:rsidRPr="00A576AD" w:rsidRDefault="00CB1E93" w:rsidP="00CB1E93">
            <w:pPr>
              <w:pStyle w:val="SingleTxt"/>
              <w:spacing w:after="0"/>
              <w:ind w:left="3658"/>
              <w:rPr>
                <w:w w:val="102"/>
                <w:lang w:val="fr-CH"/>
              </w:rPr>
            </w:pPr>
            <w:r w:rsidRPr="00A576AD">
              <w:rPr>
                <w:w w:val="102"/>
                <w:lang w:val="fr-CH"/>
              </w:rPr>
              <w:t>ECE/TRANS/WP.15/AC.1/2015/INF.46 (Suède et Espagne)</w:t>
            </w:r>
          </w:p>
          <w:p w:rsidR="00CB1E93" w:rsidRPr="00A576AD" w:rsidRDefault="00CB1E93" w:rsidP="00CB1E93">
            <w:pPr>
              <w:pStyle w:val="SingleTxt"/>
              <w:spacing w:after="0"/>
              <w:ind w:left="3658"/>
              <w:rPr>
                <w:lang w:val="fr-CH"/>
              </w:rPr>
            </w:pPr>
            <w:r w:rsidRPr="00A576AD">
              <w:rPr>
                <w:w w:val="102"/>
                <w:lang w:val="fr-CH"/>
              </w:rPr>
              <w:t>ECE/TRANS/WP.15/AC.1/2015/INF.47 (Suède et Espagne)</w:t>
            </w:r>
          </w:p>
        </w:tc>
      </w:tr>
      <w:tr w:rsidR="00CB1E93" w:rsidRPr="00A576AD" w:rsidTr="00CB1E93">
        <w:tc>
          <w:tcPr>
            <w:tcW w:w="10051" w:type="dxa"/>
            <w:tcBorders>
              <w:bottom w:val="single" w:sz="2" w:space="0" w:color="auto"/>
            </w:tcBorders>
            <w:shd w:val="clear" w:color="auto" w:fill="auto"/>
          </w:tcPr>
          <w:p w:rsidR="00CB1E93" w:rsidRPr="00A576AD" w:rsidRDefault="00CB1E93" w:rsidP="00CB1E93">
            <w:pPr>
              <w:pStyle w:val="SingleTxt"/>
              <w:rPr>
                <w:lang w:val="fr-CH"/>
              </w:rPr>
            </w:pPr>
          </w:p>
        </w:tc>
      </w:tr>
    </w:tbl>
    <w:p w:rsidR="006B5F56" w:rsidRPr="00A576AD" w:rsidRDefault="006B5F56">
      <w:pPr>
        <w:spacing w:line="240" w:lineRule="auto"/>
        <w:rPr>
          <w:lang w:val="fr-CH"/>
        </w:rPr>
      </w:pPr>
      <w:r w:rsidRPr="00A576AD">
        <w:rPr>
          <w:lang w:val="fr-CH"/>
        </w:rPr>
        <w:br w:type="page"/>
      </w:r>
    </w:p>
    <w:p w:rsidR="00D3292A" w:rsidRPr="00A576AD" w:rsidRDefault="00D3292A" w:rsidP="00CB1E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lastRenderedPageBreak/>
        <w:tab/>
      </w:r>
      <w:r w:rsidRPr="00A576AD">
        <w:rPr>
          <w:lang w:val="fr-CH"/>
        </w:rPr>
        <w:tab/>
        <w:t>Introduction</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Lors de la réunion commune de mars 2015, la Suède a présenté le document ECE/TRANS/WP.15/AC.1/2015/6 et proposé de modifier les obligations du chargeur au paragraphe 1.4.3.1 et au chapitre 7.5, afin de différencier clairement les moyens de confinement qui sont définis à la section 1.2.1. </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Lors de cette même réunion, l’Espagne a présenté le document ECE/TRANS/WP.15/AC.1/2015/7, dans lequel sont analysées les différences concernant les concepts chargeur/chargement et déchargeur/déchargement entre le nota qui figure sous le chapitre 7.5/7.5.1 et les définitions de la section 1.2.1.</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Au cours de l’examen commun de ces documents, il est apparu que les explications qui figurent dans le nota du chapitre 7.5/7.5.1 pourraient s’appliquer à d’autres parties du texte. Il a été estimé que pour éclaircir les concepts de chargeur et de déchargeur, il fallait établir un lien entre chargeur/chargement et déchargeur/déchargement. </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Depuis la session de mars, une proposition modifiée a été établie par la Suède et l’Espagne et distribuée aux délégations intéressées, qui ont été priées de communiquer leurs observations et suggestions. Des observations écrites ont en outre été reçue du secrétariat de l’OTIF. </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Analyse</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Les définitions des termes </w:t>
      </w:r>
      <w:r w:rsidR="00327A2C" w:rsidRPr="00A576AD">
        <w:rPr>
          <w:lang w:val="fr-CH"/>
        </w:rPr>
        <w:t>« </w:t>
      </w:r>
      <w:r w:rsidRPr="00A576AD">
        <w:rPr>
          <w:lang w:val="fr-CH"/>
        </w:rPr>
        <w:t xml:space="preserve">chargeur » et </w:t>
      </w:r>
      <w:r w:rsidR="00327A2C" w:rsidRPr="00A576AD">
        <w:rPr>
          <w:lang w:val="fr-CH"/>
        </w:rPr>
        <w:t>« </w:t>
      </w:r>
      <w:r w:rsidRPr="00A576AD">
        <w:rPr>
          <w:lang w:val="fr-CH"/>
        </w:rPr>
        <w:t>déchargeur » données à la section 1.2.1 sont les suivantes (les modifications adoptées à la quatrième session du groupe de travail permanent de la Commission d’experts du RID (novembre 2014) sont soulignées ou biffées et ne sont valables que pour le RID)</w:t>
      </w:r>
      <w:r w:rsidR="006B5F56" w:rsidRPr="00A576AD">
        <w:rPr>
          <w:lang w:val="fr-CH"/>
        </w:rPr>
        <w:t> :</w:t>
      </w:r>
      <w:r w:rsidRPr="00A576AD">
        <w:rPr>
          <w:lang w:val="fr-CH"/>
        </w:rPr>
        <w:t xml:space="preserve"> </w:t>
      </w:r>
    </w:p>
    <w:p w:rsidR="00D3292A" w:rsidRPr="00A576AD" w:rsidRDefault="00327A2C" w:rsidP="00D3292A">
      <w:pPr>
        <w:pStyle w:val="SingleTxt"/>
        <w:rPr>
          <w:b/>
          <w:lang w:val="fr-CH"/>
        </w:rPr>
      </w:pPr>
      <w:r w:rsidRPr="00A576AD">
        <w:rPr>
          <w:b/>
          <w:lang w:val="fr-CH"/>
        </w:rPr>
        <w:t>« </w:t>
      </w:r>
      <w:r w:rsidR="00D3292A" w:rsidRPr="00A576AD">
        <w:rPr>
          <w:b/>
          <w:lang w:val="fr-CH"/>
        </w:rPr>
        <w:t>1.2.1</w:t>
      </w:r>
      <w:r w:rsidR="00D3292A" w:rsidRPr="00A576AD">
        <w:rPr>
          <w:b/>
          <w:lang w:val="fr-CH"/>
        </w:rPr>
        <w:tab/>
        <w:t>Définitions</w:t>
      </w:r>
    </w:p>
    <w:p w:rsidR="00D3292A" w:rsidRPr="00A576AD" w:rsidRDefault="00327A2C" w:rsidP="00D3292A">
      <w:pPr>
        <w:pStyle w:val="SingleTxt"/>
        <w:rPr>
          <w:lang w:val="fr-CH"/>
        </w:rPr>
      </w:pPr>
      <w:r w:rsidRPr="00A576AD">
        <w:rPr>
          <w:lang w:val="fr-CH"/>
        </w:rPr>
        <w:tab/>
      </w:r>
      <w:r w:rsidR="00D3292A" w:rsidRPr="00A576AD">
        <w:rPr>
          <w:lang w:val="fr-CH"/>
        </w:rPr>
        <w:tab/>
      </w:r>
      <w:r w:rsidRPr="00A576AD">
        <w:rPr>
          <w:lang w:val="fr-CH"/>
        </w:rPr>
        <w:t>“</w:t>
      </w:r>
      <w:r w:rsidR="00D3292A" w:rsidRPr="00A576AD">
        <w:rPr>
          <w:lang w:val="fr-CH"/>
        </w:rPr>
        <w:t>Chargeur</w:t>
      </w:r>
      <w:r w:rsidRPr="00A576AD">
        <w:rPr>
          <w:lang w:val="fr-CH"/>
        </w:rPr>
        <w:t>”</w:t>
      </w:r>
      <w:r w:rsidR="00D3292A" w:rsidRPr="00A576AD">
        <w:rPr>
          <w:lang w:val="fr-CH"/>
        </w:rPr>
        <w:t>, l’entreprise qui</w:t>
      </w:r>
      <w:r w:rsidR="006B5F56" w:rsidRPr="00A576AD">
        <w:rPr>
          <w:lang w:val="fr-CH"/>
        </w:rPr>
        <w:t> :</w:t>
      </w:r>
      <w:r w:rsidR="00D3292A" w:rsidRPr="00A576AD">
        <w:rPr>
          <w:lang w:val="fr-CH"/>
        </w:rPr>
        <w:t xml:space="preserve"> </w:t>
      </w:r>
    </w:p>
    <w:p w:rsidR="00D3292A" w:rsidRPr="00A576AD" w:rsidRDefault="00327A2C" w:rsidP="00C1706C">
      <w:pPr>
        <w:pStyle w:val="SingleTxt"/>
        <w:ind w:left="2693" w:hanging="1426"/>
        <w:rPr>
          <w:lang w:val="fr-CH"/>
        </w:rPr>
      </w:pPr>
      <w:r w:rsidRPr="00A576AD">
        <w:rPr>
          <w:lang w:val="fr-CH"/>
        </w:rPr>
        <w:tab/>
      </w:r>
      <w:r w:rsidRPr="00A576AD">
        <w:rPr>
          <w:lang w:val="fr-CH"/>
        </w:rPr>
        <w:tab/>
      </w:r>
      <w:r w:rsidR="00D3292A" w:rsidRPr="00A576AD">
        <w:rPr>
          <w:lang w:val="fr-CH"/>
        </w:rPr>
        <w:t>a)</w:t>
      </w:r>
      <w:r w:rsidR="00D3292A" w:rsidRPr="00A576AD">
        <w:rPr>
          <w:lang w:val="fr-CH"/>
        </w:rPr>
        <w:tab/>
        <w:t>Charge les marchandises dangereuses emballées, les petits conteneurs ou les citernes mobiles dans ou sur un wagon/véhicule ou un conteneur; ou</w:t>
      </w:r>
    </w:p>
    <w:p w:rsidR="00D3292A" w:rsidRPr="00A576AD" w:rsidRDefault="00327A2C" w:rsidP="00C1706C">
      <w:pPr>
        <w:pStyle w:val="SingleTxt"/>
        <w:ind w:left="2693" w:hanging="1426"/>
        <w:rPr>
          <w:lang w:val="fr-CH"/>
        </w:rPr>
      </w:pPr>
      <w:r w:rsidRPr="00A576AD">
        <w:rPr>
          <w:lang w:val="fr-CH"/>
        </w:rPr>
        <w:tab/>
      </w:r>
      <w:r w:rsidRPr="00A576AD">
        <w:rPr>
          <w:lang w:val="fr-CH"/>
        </w:rPr>
        <w:tab/>
      </w:r>
      <w:r w:rsidR="00D3292A" w:rsidRPr="00A576AD">
        <w:rPr>
          <w:lang w:val="fr-CH"/>
        </w:rPr>
        <w:t>b)</w:t>
      </w:r>
      <w:r w:rsidR="00D3292A" w:rsidRPr="00A576AD">
        <w:rPr>
          <w:lang w:val="fr-CH"/>
        </w:rPr>
        <w:tab/>
        <w:t>Charge un conteneur, un conteneur pour vrac, un CGEM, ou un conteneur-citerne</w:t>
      </w:r>
      <w:r w:rsidR="00D3292A" w:rsidRPr="00A576AD">
        <w:rPr>
          <w:u w:val="single"/>
          <w:lang w:val="fr-CH"/>
        </w:rPr>
        <w:t xml:space="preserve">, </w:t>
      </w:r>
      <w:r w:rsidR="00D3292A" w:rsidRPr="00A576AD">
        <w:rPr>
          <w:strike/>
          <w:u w:val="single"/>
          <w:lang w:val="fr-CH"/>
        </w:rPr>
        <w:t>ou</w:t>
      </w:r>
      <w:r w:rsidR="00D3292A" w:rsidRPr="00A576AD">
        <w:rPr>
          <w:lang w:val="fr-CH"/>
        </w:rPr>
        <w:t xml:space="preserve"> une citerne mobile </w:t>
      </w:r>
      <w:r w:rsidR="00D3292A" w:rsidRPr="00A576AD">
        <w:rPr>
          <w:u w:val="single"/>
          <w:lang w:val="fr-CH"/>
        </w:rPr>
        <w:t>ou un véhicule routier</w:t>
      </w:r>
      <w:r w:rsidR="00D3292A" w:rsidRPr="00A576AD">
        <w:rPr>
          <w:lang w:val="fr-CH"/>
        </w:rPr>
        <w:t xml:space="preserve"> sur un wagon/véhicule</w:t>
      </w:r>
      <w:r w:rsidR="00A72163">
        <w:rPr>
          <w:lang w:val="fr-CH"/>
        </w:rPr>
        <w:t>.</w:t>
      </w:r>
      <w:r w:rsidR="00D3292A" w:rsidRPr="00A576AD">
        <w:rPr>
          <w:lang w:val="fr-CH"/>
        </w:rPr>
        <w:t xml:space="preserve"> </w:t>
      </w:r>
    </w:p>
    <w:p w:rsidR="00D3292A" w:rsidRPr="00A576AD" w:rsidRDefault="00327A2C" w:rsidP="00D3292A">
      <w:pPr>
        <w:pStyle w:val="SingleTxt"/>
        <w:rPr>
          <w:lang w:val="fr-CH"/>
        </w:rPr>
      </w:pPr>
      <w:r w:rsidRPr="00A576AD">
        <w:rPr>
          <w:lang w:val="fr-CH"/>
        </w:rPr>
        <w:tab/>
      </w:r>
      <w:r w:rsidRPr="00A576AD">
        <w:rPr>
          <w:lang w:val="fr-CH"/>
        </w:rPr>
        <w:tab/>
        <w:t>“</w:t>
      </w:r>
      <w:r w:rsidR="00D3292A" w:rsidRPr="00A576AD">
        <w:rPr>
          <w:lang w:val="fr-CH"/>
        </w:rPr>
        <w:t>Déchargeur</w:t>
      </w:r>
      <w:r w:rsidRPr="00A576AD">
        <w:rPr>
          <w:lang w:val="fr-CH"/>
        </w:rPr>
        <w:t>”</w:t>
      </w:r>
      <w:r w:rsidR="00D3292A" w:rsidRPr="00A576AD">
        <w:rPr>
          <w:lang w:val="fr-CH"/>
        </w:rPr>
        <w:t>, l’entreprise qui</w:t>
      </w:r>
      <w:r w:rsidR="006B5F56" w:rsidRPr="00A576AD">
        <w:rPr>
          <w:lang w:val="fr-CH"/>
        </w:rPr>
        <w:t> :</w:t>
      </w:r>
    </w:p>
    <w:p w:rsidR="00D3292A" w:rsidRPr="00A576AD" w:rsidRDefault="00327A2C" w:rsidP="00C1706C">
      <w:pPr>
        <w:pStyle w:val="SingleTxt"/>
        <w:ind w:left="2693" w:hanging="1426"/>
        <w:rPr>
          <w:lang w:val="fr-CH"/>
        </w:rPr>
      </w:pPr>
      <w:r w:rsidRPr="00A576AD">
        <w:rPr>
          <w:lang w:val="fr-CH"/>
        </w:rPr>
        <w:tab/>
      </w:r>
      <w:r w:rsidRPr="00A576AD">
        <w:rPr>
          <w:lang w:val="fr-CH"/>
        </w:rPr>
        <w:tab/>
      </w:r>
      <w:r w:rsidR="00D3292A" w:rsidRPr="00A576AD">
        <w:rPr>
          <w:lang w:val="fr-CH"/>
        </w:rPr>
        <w:t>a)</w:t>
      </w:r>
      <w:r w:rsidR="00D3292A" w:rsidRPr="00A576AD">
        <w:rPr>
          <w:lang w:val="fr-CH"/>
        </w:rPr>
        <w:tab/>
        <w:t>Enlève un conteneur, un conteneur pour vrac, un CGEM, un conteneur-citerne</w:t>
      </w:r>
      <w:r w:rsidR="00D3292A" w:rsidRPr="00A576AD">
        <w:rPr>
          <w:u w:val="single"/>
          <w:lang w:val="fr-CH"/>
        </w:rPr>
        <w:t xml:space="preserve">, </w:t>
      </w:r>
      <w:r w:rsidR="00D3292A" w:rsidRPr="00A576AD">
        <w:rPr>
          <w:strike/>
          <w:u w:val="single"/>
          <w:lang w:val="fr-CH"/>
        </w:rPr>
        <w:t>ou</w:t>
      </w:r>
      <w:r w:rsidR="00D3292A" w:rsidRPr="00A576AD">
        <w:rPr>
          <w:lang w:val="fr-CH"/>
        </w:rPr>
        <w:t xml:space="preserve"> une citerne mobile </w:t>
      </w:r>
      <w:r w:rsidR="00D3292A" w:rsidRPr="00A576AD">
        <w:rPr>
          <w:u w:val="single"/>
          <w:lang w:val="fr-CH"/>
        </w:rPr>
        <w:t>ou un véhicule routier</w:t>
      </w:r>
      <w:r w:rsidR="00D3292A" w:rsidRPr="00A576AD">
        <w:rPr>
          <w:lang w:val="fr-CH"/>
        </w:rPr>
        <w:t xml:space="preserve"> d’un wagon/véhicule; ou </w:t>
      </w:r>
    </w:p>
    <w:p w:rsidR="00D3292A" w:rsidRPr="00A576AD" w:rsidRDefault="00327A2C" w:rsidP="00C1706C">
      <w:pPr>
        <w:pStyle w:val="SingleTxt"/>
        <w:ind w:left="2693" w:hanging="1426"/>
        <w:rPr>
          <w:lang w:val="fr-CH"/>
        </w:rPr>
      </w:pPr>
      <w:r w:rsidRPr="00A576AD">
        <w:rPr>
          <w:lang w:val="fr-CH"/>
        </w:rPr>
        <w:tab/>
      </w:r>
      <w:r w:rsidRPr="00A576AD">
        <w:rPr>
          <w:lang w:val="fr-CH"/>
        </w:rPr>
        <w:tab/>
      </w:r>
      <w:r w:rsidR="00D3292A" w:rsidRPr="00A576AD">
        <w:rPr>
          <w:lang w:val="fr-CH"/>
        </w:rPr>
        <w:t>b)</w:t>
      </w:r>
      <w:r w:rsidR="00D3292A" w:rsidRPr="00A576AD">
        <w:rPr>
          <w:lang w:val="fr-CH"/>
        </w:rPr>
        <w:tab/>
        <w:t>Décharge des marchandises dangereuses emballées, des petits conteneurs ou des citernes mobiles d’un wagon/véhicule ou d’un conteneur; ou</w:t>
      </w:r>
    </w:p>
    <w:p w:rsidR="00D3292A" w:rsidRPr="00A576AD" w:rsidRDefault="00327A2C" w:rsidP="00C1706C">
      <w:pPr>
        <w:pStyle w:val="SingleTxt"/>
        <w:ind w:left="2693" w:hanging="1426"/>
        <w:rPr>
          <w:lang w:val="fr-CH"/>
        </w:rPr>
      </w:pPr>
      <w:r w:rsidRPr="00A576AD">
        <w:rPr>
          <w:lang w:val="fr-CH"/>
        </w:rPr>
        <w:tab/>
      </w:r>
      <w:r w:rsidRPr="00A576AD">
        <w:rPr>
          <w:lang w:val="fr-CH"/>
        </w:rPr>
        <w:tab/>
      </w:r>
      <w:r w:rsidR="00D3292A" w:rsidRPr="00A576AD">
        <w:rPr>
          <w:lang w:val="fr-CH"/>
        </w:rPr>
        <w:t>c)</w:t>
      </w:r>
      <w:r w:rsidR="00D3292A" w:rsidRPr="00A576AD">
        <w:rPr>
          <w:lang w:val="fr-CH"/>
        </w:rPr>
        <w:tab/>
        <w:t xml:space="preserve">Vidange des marchandises dangereuses d’une citerne (wagon-citerne/véhicule citerne, citerne démontable, citerne mobile ou conteneur-citerne) ou </w:t>
      </w:r>
      <w:proofErr w:type="gramStart"/>
      <w:r w:rsidR="00D3292A" w:rsidRPr="00A576AD">
        <w:rPr>
          <w:lang w:val="fr-CH"/>
        </w:rPr>
        <w:t>d’un</w:t>
      </w:r>
      <w:proofErr w:type="gramEnd"/>
      <w:r w:rsidR="00D3292A" w:rsidRPr="00A576AD">
        <w:rPr>
          <w:lang w:val="fr-CH"/>
        </w:rPr>
        <w:t xml:space="preserve"> wagon-batterie/véhicule batterie (ADN seulement), d’une MEMU, d’un CGEM ou d’un wagon/véhicule, d’un grand conteneur ou d’un petit conteneur pour le transport en vr</w:t>
      </w:r>
      <w:r w:rsidR="00687834" w:rsidRPr="00A576AD">
        <w:rPr>
          <w:lang w:val="fr-CH"/>
        </w:rPr>
        <w:t>ac ou d’un conteneur pour vrac. »</w:t>
      </w:r>
      <w:r w:rsidR="00A908B0" w:rsidRPr="00A576AD">
        <w:rPr>
          <w:lang w:val="fr-CH"/>
        </w:rPr>
        <w:t>.</w:t>
      </w:r>
    </w:p>
    <w:p w:rsidR="00D3292A" w:rsidRPr="00A576AD" w:rsidRDefault="00D3292A" w:rsidP="00CB1E93">
      <w:pPr>
        <w:pStyle w:val="SingleTxt"/>
        <w:numPr>
          <w:ilvl w:val="0"/>
          <w:numId w:val="8"/>
        </w:numPr>
        <w:tabs>
          <w:tab w:val="clear" w:pos="475"/>
          <w:tab w:val="num" w:pos="1742"/>
        </w:tabs>
        <w:ind w:left="1267"/>
        <w:rPr>
          <w:w w:val="102"/>
          <w:lang w:val="fr-CH"/>
        </w:rPr>
      </w:pPr>
      <w:r w:rsidRPr="00A576AD">
        <w:rPr>
          <w:w w:val="102"/>
          <w:lang w:val="fr-CH"/>
        </w:rPr>
        <w:lastRenderedPageBreak/>
        <w:t xml:space="preserve">La corrélation entre chargeur et chargement peut paraître évidente, mais elle n’est pas si claire en ce qui concerne le déchargeur et le déchargement, car dans la définition du mot </w:t>
      </w:r>
      <w:r w:rsidR="00687834" w:rsidRPr="00A576AD">
        <w:rPr>
          <w:w w:val="102"/>
          <w:lang w:val="fr-CH"/>
        </w:rPr>
        <w:t>« </w:t>
      </w:r>
      <w:r w:rsidRPr="00A576AD">
        <w:rPr>
          <w:w w:val="102"/>
          <w:lang w:val="fr-CH"/>
        </w:rPr>
        <w:t>déchargeur</w:t>
      </w:r>
      <w:r w:rsidR="00687834" w:rsidRPr="00A576AD">
        <w:rPr>
          <w:w w:val="102"/>
          <w:lang w:val="fr-CH"/>
        </w:rPr>
        <w:t> »</w:t>
      </w:r>
      <w:r w:rsidRPr="00A576AD">
        <w:rPr>
          <w:w w:val="102"/>
          <w:lang w:val="fr-CH"/>
        </w:rPr>
        <w:t xml:space="preserve"> le verbe </w:t>
      </w:r>
      <w:r w:rsidR="00687834" w:rsidRPr="00A576AD">
        <w:rPr>
          <w:w w:val="102"/>
          <w:lang w:val="fr-CH"/>
        </w:rPr>
        <w:t>« </w:t>
      </w:r>
      <w:r w:rsidRPr="00A576AD">
        <w:rPr>
          <w:w w:val="102"/>
          <w:lang w:val="fr-CH"/>
        </w:rPr>
        <w:t>décharger</w:t>
      </w:r>
      <w:r w:rsidR="00687834" w:rsidRPr="00A576AD">
        <w:rPr>
          <w:w w:val="102"/>
          <w:lang w:val="fr-CH"/>
        </w:rPr>
        <w:t> »</w:t>
      </w:r>
      <w:r w:rsidRPr="00A576AD">
        <w:rPr>
          <w:w w:val="102"/>
          <w:lang w:val="fr-CH"/>
        </w:rPr>
        <w:t xml:space="preserve"> n’apparaît que dans un seul des trois alinéas. Ce fait semble corroboré par le nota du paragraphe 1.4.3.7 (</w:t>
      </w:r>
      <w:r w:rsidR="00687834" w:rsidRPr="00A576AD">
        <w:rPr>
          <w:w w:val="102"/>
          <w:lang w:val="fr-CH"/>
        </w:rPr>
        <w:t>« </w:t>
      </w:r>
      <w:r w:rsidRPr="00A576AD">
        <w:rPr>
          <w:w w:val="102"/>
          <w:lang w:val="fr-CH"/>
        </w:rPr>
        <w:t>NOTA</w:t>
      </w:r>
      <w:r w:rsidR="006B5F56" w:rsidRPr="00A576AD">
        <w:rPr>
          <w:w w:val="102"/>
          <w:lang w:val="fr-CH"/>
        </w:rPr>
        <w:t> :</w:t>
      </w:r>
      <w:r w:rsidRPr="00A576AD">
        <w:rPr>
          <w:w w:val="102"/>
          <w:lang w:val="fr-CH"/>
        </w:rPr>
        <w:t xml:space="preserve"> Dans cette sous-section, le déchargement englobe l’enlèvement, le déchargement et la vidange comme indiqué dans la définition du déchargeur sous 1.2.1.</w:t>
      </w:r>
      <w:r w:rsidR="00687834" w:rsidRPr="00A576AD">
        <w:rPr>
          <w:w w:val="102"/>
          <w:lang w:val="fr-CH"/>
        </w:rPr>
        <w:t> »</w:t>
      </w:r>
      <w:r w:rsidRPr="00A576AD">
        <w:rPr>
          <w:w w:val="102"/>
          <w:lang w:val="fr-CH"/>
        </w:rPr>
        <w:t>).</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Une solution consisterait à introduire les formulations suivantes en tant que nouvelles définitions de </w:t>
      </w:r>
      <w:r w:rsidR="00687834" w:rsidRPr="00A576AD">
        <w:rPr>
          <w:lang w:val="fr-CH"/>
        </w:rPr>
        <w:t>« </w:t>
      </w:r>
      <w:r w:rsidRPr="00A576AD">
        <w:rPr>
          <w:lang w:val="fr-CH"/>
        </w:rPr>
        <w:t>chargement</w:t>
      </w:r>
      <w:r w:rsidR="00687834" w:rsidRPr="00A576AD">
        <w:rPr>
          <w:lang w:val="fr-CH"/>
        </w:rPr>
        <w:t> »</w:t>
      </w:r>
      <w:r w:rsidRPr="00A576AD">
        <w:rPr>
          <w:lang w:val="fr-CH"/>
        </w:rPr>
        <w:t xml:space="preserve"> et </w:t>
      </w:r>
      <w:r w:rsidR="00687834" w:rsidRPr="00A576AD">
        <w:rPr>
          <w:lang w:val="fr-CH"/>
        </w:rPr>
        <w:t>« </w:t>
      </w:r>
      <w:r w:rsidRPr="00A576AD">
        <w:rPr>
          <w:lang w:val="fr-CH"/>
        </w:rPr>
        <w:t>déchargement</w:t>
      </w:r>
      <w:r w:rsidR="00687834" w:rsidRPr="00A576AD">
        <w:rPr>
          <w:lang w:val="fr-CH"/>
        </w:rPr>
        <w:t> »</w:t>
      </w:r>
      <w:r w:rsidRPr="00A576AD">
        <w:rPr>
          <w:lang w:val="fr-CH"/>
        </w:rPr>
        <w:t xml:space="preserve"> à la section 1.2.1</w:t>
      </w:r>
      <w:r w:rsidR="006B5F56" w:rsidRPr="00A576AD">
        <w:rPr>
          <w:lang w:val="fr-CH"/>
        </w:rPr>
        <w:t> :</w:t>
      </w:r>
    </w:p>
    <w:p w:rsidR="00D3292A" w:rsidRPr="00A576AD" w:rsidRDefault="00687834" w:rsidP="00D3292A">
      <w:pPr>
        <w:pStyle w:val="SingleTxt"/>
        <w:rPr>
          <w:lang w:val="fr-CH"/>
        </w:rPr>
      </w:pPr>
      <w:r w:rsidRPr="00A576AD">
        <w:rPr>
          <w:lang w:val="fr-CH"/>
        </w:rPr>
        <w:tab/>
        <w:t>« </w:t>
      </w:r>
      <w:r w:rsidR="00D3292A" w:rsidRPr="00A576AD">
        <w:rPr>
          <w:lang w:val="fr-CH"/>
        </w:rPr>
        <w:t>Chargement</w:t>
      </w:r>
      <w:r w:rsidRPr="00A576AD">
        <w:rPr>
          <w:lang w:val="fr-CH"/>
        </w:rPr>
        <w:t> »</w:t>
      </w:r>
      <w:r w:rsidR="00D3292A" w:rsidRPr="00A576AD">
        <w:rPr>
          <w:lang w:val="fr-CH"/>
        </w:rPr>
        <w:t xml:space="preserve">, toutes les actions effectuées par le </w:t>
      </w:r>
      <w:r w:rsidRPr="00A576AD">
        <w:rPr>
          <w:lang w:val="fr-CH"/>
        </w:rPr>
        <w:t>« </w:t>
      </w:r>
      <w:r w:rsidR="00D3292A" w:rsidRPr="00A576AD">
        <w:rPr>
          <w:lang w:val="fr-CH"/>
        </w:rPr>
        <w:t>chargeur</w:t>
      </w:r>
      <w:r w:rsidRPr="00A576AD">
        <w:rPr>
          <w:lang w:val="fr-CH"/>
        </w:rPr>
        <w:t> »;</w:t>
      </w:r>
    </w:p>
    <w:p w:rsidR="00D3292A" w:rsidRPr="00A576AD" w:rsidRDefault="00687834" w:rsidP="00D3292A">
      <w:pPr>
        <w:pStyle w:val="SingleTxt"/>
        <w:rPr>
          <w:lang w:val="fr-CH"/>
        </w:rPr>
      </w:pPr>
      <w:r w:rsidRPr="00A576AD">
        <w:rPr>
          <w:lang w:val="fr-CH"/>
        </w:rPr>
        <w:tab/>
        <w:t>« </w:t>
      </w:r>
      <w:r w:rsidR="00D3292A" w:rsidRPr="00A576AD">
        <w:rPr>
          <w:lang w:val="fr-CH"/>
        </w:rPr>
        <w:t>Déchargement</w:t>
      </w:r>
      <w:r w:rsidRPr="00A576AD">
        <w:rPr>
          <w:lang w:val="fr-CH"/>
        </w:rPr>
        <w:t> »</w:t>
      </w:r>
      <w:r w:rsidR="00D3292A" w:rsidRPr="00A576AD">
        <w:rPr>
          <w:lang w:val="fr-CH"/>
        </w:rPr>
        <w:t xml:space="preserve">, toutes les actions effectuées par le </w:t>
      </w:r>
      <w:r w:rsidRPr="00A576AD">
        <w:rPr>
          <w:lang w:val="fr-CH"/>
        </w:rPr>
        <w:t>« </w:t>
      </w:r>
      <w:r w:rsidR="00D3292A" w:rsidRPr="00A576AD">
        <w:rPr>
          <w:lang w:val="fr-CH"/>
        </w:rPr>
        <w:t>déchargeur</w:t>
      </w:r>
      <w:r w:rsidRPr="00A576AD">
        <w:rPr>
          <w:lang w:val="fr-CH"/>
        </w:rPr>
        <w:t> »</w:t>
      </w:r>
      <w:r w:rsidR="00D3292A" w:rsidRPr="00A576AD">
        <w:rPr>
          <w:lang w:val="fr-CH"/>
        </w:rPr>
        <w:t>.</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Les termes </w:t>
      </w:r>
      <w:r w:rsidR="00687834" w:rsidRPr="00A576AD">
        <w:rPr>
          <w:lang w:val="fr-CH"/>
        </w:rPr>
        <w:t>« </w:t>
      </w:r>
      <w:r w:rsidRPr="00A576AD">
        <w:rPr>
          <w:lang w:val="fr-CH"/>
        </w:rPr>
        <w:t>chargement</w:t>
      </w:r>
      <w:r w:rsidR="00687834" w:rsidRPr="00A576AD">
        <w:rPr>
          <w:lang w:val="fr-CH"/>
        </w:rPr>
        <w:t> »</w:t>
      </w:r>
      <w:r w:rsidRPr="00A576AD">
        <w:rPr>
          <w:lang w:val="fr-CH"/>
        </w:rPr>
        <w:t xml:space="preserve"> et </w:t>
      </w:r>
      <w:r w:rsidR="00687834" w:rsidRPr="00A576AD">
        <w:rPr>
          <w:lang w:val="fr-CH"/>
        </w:rPr>
        <w:t>« </w:t>
      </w:r>
      <w:r w:rsidRPr="00A576AD">
        <w:rPr>
          <w:lang w:val="fr-CH"/>
        </w:rPr>
        <w:t>déchargement</w:t>
      </w:r>
      <w:r w:rsidR="00687834" w:rsidRPr="00A576AD">
        <w:rPr>
          <w:lang w:val="fr-CH"/>
        </w:rPr>
        <w:t> »</w:t>
      </w:r>
      <w:r w:rsidRPr="00A576AD">
        <w:rPr>
          <w:lang w:val="fr-CH"/>
        </w:rPr>
        <w:t xml:space="preserve"> sont très utilisés dans le RID/ADR, alors que ceux de </w:t>
      </w:r>
      <w:r w:rsidR="00687834" w:rsidRPr="00A576AD">
        <w:rPr>
          <w:lang w:val="fr-CH"/>
        </w:rPr>
        <w:t>« </w:t>
      </w:r>
      <w:r w:rsidRPr="00A576AD">
        <w:rPr>
          <w:lang w:val="fr-CH"/>
        </w:rPr>
        <w:t>chargeur</w:t>
      </w:r>
      <w:r w:rsidR="00687834" w:rsidRPr="00A576AD">
        <w:rPr>
          <w:lang w:val="fr-CH"/>
        </w:rPr>
        <w:t> »</w:t>
      </w:r>
      <w:r w:rsidRPr="00A576AD">
        <w:rPr>
          <w:lang w:val="fr-CH"/>
        </w:rPr>
        <w:t xml:space="preserve"> et de </w:t>
      </w:r>
      <w:r w:rsidR="00687834" w:rsidRPr="00A576AD">
        <w:rPr>
          <w:lang w:val="fr-CH"/>
        </w:rPr>
        <w:t>« </w:t>
      </w:r>
      <w:r w:rsidRPr="00A576AD">
        <w:rPr>
          <w:lang w:val="fr-CH"/>
        </w:rPr>
        <w:t>déchargeur</w:t>
      </w:r>
      <w:r w:rsidR="00687834" w:rsidRPr="00A576AD">
        <w:rPr>
          <w:lang w:val="fr-CH"/>
        </w:rPr>
        <w:t> »</w:t>
      </w:r>
      <w:r w:rsidRPr="00A576AD">
        <w:rPr>
          <w:lang w:val="fr-CH"/>
        </w:rPr>
        <w:t xml:space="preserve"> ne le sont qu’à quelques reprises. Dans la plupart des cas, lorsqu’il est question de chargement et de déchargement, c’est pour évoquer toutes les actions énumérées dans les descriptions respectives, c’est-à-dire celles des alinéas a)</w:t>
      </w:r>
      <w:r w:rsidR="00687834" w:rsidRPr="00A576AD">
        <w:rPr>
          <w:lang w:val="fr-CH"/>
        </w:rPr>
        <w:t>-</w:t>
      </w:r>
      <w:r w:rsidRPr="00A576AD">
        <w:rPr>
          <w:lang w:val="fr-CH"/>
        </w:rPr>
        <w:t xml:space="preserve">b) sous </w:t>
      </w:r>
      <w:r w:rsidR="00687834" w:rsidRPr="00A576AD">
        <w:rPr>
          <w:lang w:val="fr-CH"/>
        </w:rPr>
        <w:t>« </w:t>
      </w:r>
      <w:r w:rsidRPr="00A576AD">
        <w:rPr>
          <w:lang w:val="fr-CH"/>
        </w:rPr>
        <w:t>chargeur</w:t>
      </w:r>
      <w:r w:rsidR="00687834" w:rsidRPr="00A576AD">
        <w:rPr>
          <w:lang w:val="fr-CH"/>
        </w:rPr>
        <w:t> »</w:t>
      </w:r>
      <w:r w:rsidRPr="00A576AD">
        <w:rPr>
          <w:lang w:val="fr-CH"/>
        </w:rPr>
        <w:t xml:space="preserve"> et a)</w:t>
      </w:r>
      <w:r w:rsidR="00687834" w:rsidRPr="00A576AD">
        <w:rPr>
          <w:lang w:val="fr-CH"/>
        </w:rPr>
        <w:t>-</w:t>
      </w:r>
      <w:r w:rsidRPr="00A576AD">
        <w:rPr>
          <w:lang w:val="fr-CH"/>
        </w:rPr>
        <w:t xml:space="preserve">c) sous </w:t>
      </w:r>
      <w:r w:rsidR="00687834" w:rsidRPr="00A576AD">
        <w:rPr>
          <w:lang w:val="fr-CH"/>
        </w:rPr>
        <w:t>« </w:t>
      </w:r>
      <w:r w:rsidRPr="00A576AD">
        <w:rPr>
          <w:lang w:val="fr-CH"/>
        </w:rPr>
        <w:t>déchargeur</w:t>
      </w:r>
      <w:r w:rsidR="00687834" w:rsidRPr="00A576AD">
        <w:rPr>
          <w:lang w:val="fr-CH"/>
        </w:rPr>
        <w:t> »</w:t>
      </w:r>
      <w:r w:rsidRPr="00A576AD">
        <w:rPr>
          <w:lang w:val="fr-CH"/>
        </w:rPr>
        <w:t xml:space="preserve">. </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S’agissant du terme </w:t>
      </w:r>
      <w:r w:rsidR="00687834" w:rsidRPr="00A576AD">
        <w:rPr>
          <w:lang w:val="fr-CH"/>
        </w:rPr>
        <w:t>« </w:t>
      </w:r>
      <w:r w:rsidRPr="00A576AD">
        <w:rPr>
          <w:lang w:val="fr-CH"/>
        </w:rPr>
        <w:t>déchargement</w:t>
      </w:r>
      <w:r w:rsidR="00687834" w:rsidRPr="00A576AD">
        <w:rPr>
          <w:lang w:val="fr-CH"/>
        </w:rPr>
        <w:t> »</w:t>
      </w:r>
      <w:r w:rsidRPr="00A576AD">
        <w:rPr>
          <w:lang w:val="fr-CH"/>
        </w:rPr>
        <w:t xml:space="preserve">, le seul moyen de différencier les actions évoquées aux alinéas a) et b) de la définition de </w:t>
      </w:r>
      <w:r w:rsidR="00687834" w:rsidRPr="00A576AD">
        <w:rPr>
          <w:lang w:val="fr-CH"/>
        </w:rPr>
        <w:t>« </w:t>
      </w:r>
      <w:r w:rsidRPr="00A576AD">
        <w:rPr>
          <w:lang w:val="fr-CH"/>
        </w:rPr>
        <w:t>chargeur</w:t>
      </w:r>
      <w:r w:rsidR="00687834" w:rsidRPr="00A576AD">
        <w:rPr>
          <w:lang w:val="fr-CH"/>
        </w:rPr>
        <w:t> »</w:t>
      </w:r>
      <w:r w:rsidRPr="00A576AD">
        <w:rPr>
          <w:lang w:val="fr-CH"/>
        </w:rPr>
        <w:t xml:space="preserve"> est de compléter le texte, ce qui a été fait en l’occurrence dans le présent document pour les différentes parties du RID/ADR.</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Dans le texte actuel, le terme </w:t>
      </w:r>
      <w:r w:rsidR="00687834" w:rsidRPr="00A576AD">
        <w:rPr>
          <w:lang w:val="fr-CH"/>
        </w:rPr>
        <w:t>« </w:t>
      </w:r>
      <w:r w:rsidRPr="00A576AD">
        <w:rPr>
          <w:lang w:val="fr-CH"/>
        </w:rPr>
        <w:t>déchargement</w:t>
      </w:r>
      <w:r w:rsidR="00687834" w:rsidRPr="00A576AD">
        <w:rPr>
          <w:lang w:val="fr-CH"/>
        </w:rPr>
        <w:t> »</w:t>
      </w:r>
      <w:r w:rsidRPr="00A576AD">
        <w:rPr>
          <w:lang w:val="fr-CH"/>
        </w:rPr>
        <w:t xml:space="preserve"> est utilisé selon les circonstances pour évoquer tout ou partie de ces activités.</w:t>
      </w: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 xml:space="preserve">On a recherché et analysé les termes </w:t>
      </w:r>
      <w:r w:rsidR="00687834" w:rsidRPr="00A576AD">
        <w:rPr>
          <w:lang w:val="fr-CH"/>
        </w:rPr>
        <w:t>« </w:t>
      </w:r>
      <w:r w:rsidRPr="00A576AD">
        <w:rPr>
          <w:lang w:val="fr-CH"/>
        </w:rPr>
        <w:t>décharges</w:t>
      </w:r>
      <w:r w:rsidR="00687834" w:rsidRPr="00A576AD">
        <w:rPr>
          <w:lang w:val="fr-CH"/>
        </w:rPr>
        <w:t> »</w:t>
      </w:r>
      <w:r w:rsidRPr="00A576AD">
        <w:rPr>
          <w:lang w:val="fr-CH"/>
        </w:rPr>
        <w:t xml:space="preserve"> et </w:t>
      </w:r>
      <w:r w:rsidR="00687834" w:rsidRPr="00A576AD">
        <w:rPr>
          <w:lang w:val="fr-CH"/>
        </w:rPr>
        <w:t>« </w:t>
      </w:r>
      <w:r w:rsidRPr="00A576AD">
        <w:rPr>
          <w:lang w:val="fr-CH"/>
        </w:rPr>
        <w:t>déchargement</w:t>
      </w:r>
      <w:r w:rsidR="00687834" w:rsidRPr="00A576AD">
        <w:rPr>
          <w:lang w:val="fr-CH"/>
        </w:rPr>
        <w:t> »</w:t>
      </w:r>
      <w:r w:rsidRPr="00A576AD">
        <w:rPr>
          <w:lang w:val="fr-CH"/>
        </w:rPr>
        <w:t xml:space="preserve"> pour voir s’ils couvrent toutes les actions décrites sous a)</w:t>
      </w:r>
      <w:r w:rsidR="001110FE">
        <w:rPr>
          <w:lang w:val="fr-CH"/>
        </w:rPr>
        <w:t>-</w:t>
      </w:r>
      <w:r w:rsidRPr="00A576AD">
        <w:rPr>
          <w:lang w:val="fr-CH"/>
        </w:rPr>
        <w:t xml:space="preserve">c) dans la définition de </w:t>
      </w:r>
      <w:r w:rsidR="00687834" w:rsidRPr="00A576AD">
        <w:rPr>
          <w:lang w:val="fr-CH"/>
        </w:rPr>
        <w:t>« </w:t>
      </w:r>
      <w:r w:rsidRPr="00A576AD">
        <w:rPr>
          <w:lang w:val="fr-CH"/>
        </w:rPr>
        <w:t>déchargeur</w:t>
      </w:r>
      <w:r w:rsidR="00687834" w:rsidRPr="00A576AD">
        <w:rPr>
          <w:lang w:val="fr-CH"/>
        </w:rPr>
        <w:t> »</w:t>
      </w:r>
      <w:r w:rsidRPr="00A576AD">
        <w:rPr>
          <w:lang w:val="fr-CH"/>
        </w:rPr>
        <w:t>, comme le montre l’annexe. Plusieurs modifications corollaires pourraient être apportées pour améliorer la clarté du texte, mais elles ne sont pas jugées strictement nécessaires</w:t>
      </w:r>
      <w:r w:rsidR="006B5F56" w:rsidRPr="00A576AD">
        <w:rPr>
          <w:lang w:val="fr-CH"/>
        </w:rPr>
        <w:t> :</w:t>
      </w:r>
    </w:p>
    <w:p w:rsidR="00D3292A" w:rsidRPr="00A576AD" w:rsidRDefault="00C62DD2" w:rsidP="00C1706C">
      <w:pPr>
        <w:pStyle w:val="SingleTxt"/>
        <w:ind w:left="2218" w:hanging="951"/>
        <w:rPr>
          <w:lang w:val="fr-CH"/>
        </w:rPr>
      </w:pPr>
      <w:r w:rsidRPr="00A576AD">
        <w:rPr>
          <w:lang w:val="fr-CH"/>
        </w:rPr>
        <w:tab/>
        <w:t>–</w:t>
      </w:r>
      <w:r w:rsidRPr="00A576AD">
        <w:rPr>
          <w:lang w:val="fr-CH"/>
        </w:rPr>
        <w:tab/>
      </w:r>
      <w:r w:rsidR="00D3292A" w:rsidRPr="00A576AD">
        <w:rPr>
          <w:lang w:val="fr-CH"/>
        </w:rPr>
        <w:t>Section 1.2.1</w:t>
      </w:r>
      <w:r w:rsidR="006B5F56" w:rsidRPr="00A576AD">
        <w:rPr>
          <w:lang w:val="fr-CH"/>
        </w:rPr>
        <w:t> :</w:t>
      </w:r>
      <w:r w:rsidR="00D3292A" w:rsidRPr="00A576AD">
        <w:rPr>
          <w:lang w:val="fr-CH"/>
        </w:rPr>
        <w:t xml:space="preserve"> dans la définition de </w:t>
      </w:r>
      <w:r w:rsidR="00D3292A" w:rsidRPr="00A576AD">
        <w:rPr>
          <w:i/>
          <w:lang w:val="fr-CH"/>
        </w:rPr>
        <w:t xml:space="preserve">citerne </w:t>
      </w:r>
      <w:r w:rsidR="00A72163">
        <w:rPr>
          <w:i/>
          <w:lang w:val="fr-CH"/>
        </w:rPr>
        <w:t>à</w:t>
      </w:r>
      <w:r w:rsidR="00D3292A" w:rsidRPr="00A576AD">
        <w:rPr>
          <w:i/>
          <w:lang w:val="fr-CH"/>
        </w:rPr>
        <w:t xml:space="preserve"> déchets opérant sous vide</w:t>
      </w:r>
      <w:r w:rsidR="00D3292A" w:rsidRPr="00A576AD">
        <w:rPr>
          <w:i/>
          <w:iCs/>
          <w:lang w:val="fr-CH"/>
        </w:rPr>
        <w:t xml:space="preserve">, </w:t>
      </w:r>
      <w:proofErr w:type="gramStart"/>
      <w:r w:rsidR="00D3292A" w:rsidRPr="00A576AD">
        <w:rPr>
          <w:lang w:val="fr-CH"/>
        </w:rPr>
        <w:t>remplacer</w:t>
      </w:r>
      <w:proofErr w:type="gramEnd"/>
      <w:r w:rsidR="00D3292A" w:rsidRPr="00A576AD">
        <w:rPr>
          <w:lang w:val="fr-CH"/>
        </w:rPr>
        <w:t xml:space="preserve"> </w:t>
      </w:r>
      <w:r w:rsidRPr="00A576AD">
        <w:rPr>
          <w:lang w:val="fr-CH"/>
        </w:rPr>
        <w:t>« </w:t>
      </w:r>
      <w:r w:rsidR="00D3292A" w:rsidRPr="00A576AD">
        <w:rPr>
          <w:lang w:val="fr-CH"/>
        </w:rPr>
        <w:t>chargement</w:t>
      </w:r>
      <w:r w:rsidRPr="00A576AD">
        <w:rPr>
          <w:lang w:val="fr-CH"/>
        </w:rPr>
        <w:t> »</w:t>
      </w:r>
      <w:r w:rsidR="00D3292A" w:rsidRPr="00A576AD">
        <w:rPr>
          <w:lang w:val="fr-CH"/>
        </w:rPr>
        <w:t xml:space="preserve"> par </w:t>
      </w:r>
      <w:r w:rsidRPr="00A576AD">
        <w:rPr>
          <w:lang w:val="fr-CH"/>
        </w:rPr>
        <w:t>« </w:t>
      </w:r>
      <w:r w:rsidR="00D3292A" w:rsidRPr="00A576AD">
        <w:rPr>
          <w:lang w:val="fr-CH"/>
        </w:rPr>
        <w:t>remplissage</w:t>
      </w:r>
      <w:r w:rsidRPr="00A576AD">
        <w:rPr>
          <w:lang w:val="fr-CH"/>
        </w:rPr>
        <w:t> »</w:t>
      </w:r>
      <w:r w:rsidR="00D3292A" w:rsidRPr="00A576AD">
        <w:rPr>
          <w:lang w:val="fr-CH"/>
        </w:rPr>
        <w:t xml:space="preserve"> et </w:t>
      </w:r>
      <w:r w:rsidRPr="00A576AD">
        <w:rPr>
          <w:lang w:val="fr-CH"/>
        </w:rPr>
        <w:t>« </w:t>
      </w:r>
      <w:r w:rsidR="00D3292A" w:rsidRPr="00A576AD">
        <w:rPr>
          <w:lang w:val="fr-CH"/>
        </w:rPr>
        <w:t>déchargement</w:t>
      </w:r>
      <w:r w:rsidRPr="00A576AD">
        <w:rPr>
          <w:lang w:val="fr-CH"/>
        </w:rPr>
        <w:t> »</w:t>
      </w:r>
      <w:r w:rsidR="00D3292A" w:rsidRPr="00A576AD">
        <w:rPr>
          <w:lang w:val="fr-CH"/>
        </w:rPr>
        <w:t xml:space="preserve"> par </w:t>
      </w:r>
      <w:r w:rsidRPr="00A576AD">
        <w:rPr>
          <w:lang w:val="fr-CH"/>
        </w:rPr>
        <w:t>« </w:t>
      </w:r>
      <w:r w:rsidR="00D3292A" w:rsidRPr="00A576AD">
        <w:rPr>
          <w:lang w:val="fr-CH"/>
        </w:rPr>
        <w:t>vidange</w:t>
      </w:r>
      <w:r w:rsidRPr="00A576AD">
        <w:rPr>
          <w:lang w:val="fr-CH"/>
        </w:rPr>
        <w:t> »;</w:t>
      </w:r>
      <w:r w:rsidR="00D3292A" w:rsidRPr="00A576AD">
        <w:rPr>
          <w:lang w:val="fr-CH"/>
        </w:rPr>
        <w:t xml:space="preserve"> </w:t>
      </w:r>
    </w:p>
    <w:p w:rsidR="00D3292A" w:rsidRPr="00A576AD" w:rsidRDefault="00C62DD2" w:rsidP="00C1706C">
      <w:pPr>
        <w:pStyle w:val="SingleTxt"/>
        <w:ind w:left="2218" w:hanging="951"/>
        <w:rPr>
          <w:lang w:val="fr-CH"/>
        </w:rPr>
      </w:pPr>
      <w:r w:rsidRPr="00A576AD">
        <w:rPr>
          <w:lang w:val="fr-CH"/>
        </w:rPr>
        <w:tab/>
        <w:t>–</w:t>
      </w:r>
      <w:r w:rsidRPr="00A576AD">
        <w:rPr>
          <w:lang w:val="fr-CH"/>
        </w:rPr>
        <w:tab/>
      </w:r>
      <w:r w:rsidR="00D3292A" w:rsidRPr="00A576AD">
        <w:rPr>
          <w:lang w:val="fr-CH"/>
        </w:rPr>
        <w:t>Section 1.2.1</w:t>
      </w:r>
      <w:r w:rsidR="006B5F56" w:rsidRPr="00A576AD">
        <w:rPr>
          <w:lang w:val="fr-CH"/>
        </w:rPr>
        <w:t> :</w:t>
      </w:r>
      <w:r w:rsidR="00D3292A" w:rsidRPr="00A576AD">
        <w:rPr>
          <w:lang w:val="fr-CH"/>
        </w:rPr>
        <w:t xml:space="preserve"> dans la définition de </w:t>
      </w:r>
      <w:r w:rsidR="00D3292A" w:rsidRPr="00A576AD">
        <w:rPr>
          <w:i/>
          <w:lang w:val="fr-CH"/>
        </w:rPr>
        <w:t>remplisseur</w:t>
      </w:r>
      <w:r w:rsidR="006B5F56" w:rsidRPr="00A576AD">
        <w:rPr>
          <w:i/>
          <w:lang w:val="fr-CH"/>
        </w:rPr>
        <w:t> </w:t>
      </w:r>
      <w:r w:rsidR="006B5F56" w:rsidRPr="00A576AD">
        <w:rPr>
          <w:lang w:val="fr-CH"/>
        </w:rPr>
        <w:t>:</w:t>
      </w:r>
      <w:r w:rsidR="00D3292A" w:rsidRPr="00A576AD">
        <w:rPr>
          <w:lang w:val="fr-CH"/>
        </w:rPr>
        <w:t xml:space="preserve"> (</w:t>
      </w:r>
      <w:r w:rsidR="001110FE">
        <w:rPr>
          <w:lang w:val="fr-CH"/>
        </w:rPr>
        <w:t xml:space="preserve">modification </w:t>
      </w:r>
      <w:r w:rsidR="00D3292A" w:rsidRPr="00A576AD">
        <w:rPr>
          <w:lang w:val="fr-CH"/>
        </w:rPr>
        <w:t>sans objet en français)</w:t>
      </w:r>
      <w:r w:rsidRPr="00A576AD">
        <w:rPr>
          <w:lang w:val="fr-CH"/>
        </w:rPr>
        <w:t>;</w:t>
      </w:r>
    </w:p>
    <w:p w:rsidR="00D3292A" w:rsidRPr="00A576AD" w:rsidRDefault="00C62DD2" w:rsidP="00C1706C">
      <w:pPr>
        <w:pStyle w:val="SingleTxt"/>
        <w:ind w:left="2218" w:hanging="951"/>
        <w:rPr>
          <w:lang w:val="fr-CH"/>
        </w:rPr>
      </w:pPr>
      <w:r w:rsidRPr="00A576AD">
        <w:rPr>
          <w:lang w:val="fr-CH"/>
        </w:rPr>
        <w:tab/>
        <w:t>–</w:t>
      </w:r>
      <w:r w:rsidRPr="00A576AD">
        <w:rPr>
          <w:lang w:val="fr-CH"/>
        </w:rPr>
        <w:tab/>
      </w:r>
      <w:r w:rsidR="00D3292A" w:rsidRPr="00A576AD">
        <w:rPr>
          <w:lang w:val="fr-CH"/>
        </w:rPr>
        <w:t>Instruction d’emballage P 650, paragraphes 4.1.1.1, 4.1.3.8.1, 4.1.5.2 c), 6.7.2.2.12 d), 6.7.3.2.9 d), 6.7.4.2.12 d), 6.7.5.2.2, 6.7.5.2.8 d), 6.11.4.2</w:t>
      </w:r>
      <w:r w:rsidR="006B5F56" w:rsidRPr="00A576AD">
        <w:rPr>
          <w:lang w:val="fr-CH"/>
        </w:rPr>
        <w:t> :</w:t>
      </w:r>
      <w:r w:rsidR="00D3292A" w:rsidRPr="00A576AD">
        <w:rPr>
          <w:lang w:val="fr-CH"/>
        </w:rPr>
        <w:t xml:space="preserve"> remplacer, selon le cas, </w:t>
      </w:r>
      <w:r w:rsidRPr="00A576AD">
        <w:rPr>
          <w:lang w:val="fr-CH"/>
        </w:rPr>
        <w:t>« </w:t>
      </w:r>
      <w:r w:rsidR="00D3292A" w:rsidRPr="00A576AD">
        <w:rPr>
          <w:lang w:val="fr-CH"/>
        </w:rPr>
        <w:t>chargement</w:t>
      </w:r>
      <w:r w:rsidRPr="00A576AD">
        <w:rPr>
          <w:lang w:val="fr-CH"/>
        </w:rPr>
        <w:t> »</w:t>
      </w:r>
      <w:r w:rsidR="00D3292A" w:rsidRPr="00A576AD">
        <w:rPr>
          <w:lang w:val="fr-CH"/>
        </w:rPr>
        <w:t>/</w:t>
      </w:r>
      <w:r w:rsidRPr="00A576AD">
        <w:rPr>
          <w:lang w:val="fr-CH"/>
        </w:rPr>
        <w:t>« </w:t>
      </w:r>
      <w:r w:rsidR="00D3292A" w:rsidRPr="00A576AD">
        <w:rPr>
          <w:lang w:val="fr-CH"/>
        </w:rPr>
        <w:t>chargements</w:t>
      </w:r>
      <w:r w:rsidRPr="00A576AD">
        <w:rPr>
          <w:lang w:val="fr-CH"/>
        </w:rPr>
        <w:t> »</w:t>
      </w:r>
      <w:r w:rsidR="00D3292A" w:rsidRPr="00A576AD">
        <w:rPr>
          <w:lang w:val="fr-CH"/>
        </w:rPr>
        <w:t xml:space="preserve"> par </w:t>
      </w:r>
      <w:r w:rsidRPr="00A576AD">
        <w:rPr>
          <w:lang w:val="fr-CH"/>
        </w:rPr>
        <w:t>« </w:t>
      </w:r>
      <w:r w:rsidR="00D3292A" w:rsidRPr="00A576AD">
        <w:rPr>
          <w:lang w:val="fr-CH"/>
        </w:rPr>
        <w:t>force</w:t>
      </w:r>
      <w:r w:rsidRPr="00A576AD">
        <w:rPr>
          <w:lang w:val="fr-CH"/>
        </w:rPr>
        <w:t> »</w:t>
      </w:r>
      <w:r w:rsidR="00D3292A" w:rsidRPr="00A576AD">
        <w:rPr>
          <w:lang w:val="fr-CH"/>
        </w:rPr>
        <w:t>/</w:t>
      </w:r>
      <w:r w:rsidRPr="00A576AD">
        <w:rPr>
          <w:lang w:val="fr-CH"/>
        </w:rPr>
        <w:t>« </w:t>
      </w:r>
      <w:r w:rsidR="00D3292A" w:rsidRPr="00A576AD">
        <w:rPr>
          <w:lang w:val="fr-CH"/>
        </w:rPr>
        <w:t>forces</w:t>
      </w:r>
      <w:r w:rsidRPr="00A576AD">
        <w:rPr>
          <w:lang w:val="fr-CH"/>
        </w:rPr>
        <w:t> »</w:t>
      </w:r>
      <w:r w:rsidR="00D3292A" w:rsidRPr="00A576AD">
        <w:rPr>
          <w:lang w:val="fr-CH"/>
        </w:rPr>
        <w:t xml:space="preserve"> ou </w:t>
      </w:r>
      <w:r w:rsidRPr="00A576AD">
        <w:rPr>
          <w:lang w:val="fr-CH"/>
        </w:rPr>
        <w:t>« </w:t>
      </w:r>
      <w:r w:rsidR="00D3292A" w:rsidRPr="00A576AD">
        <w:rPr>
          <w:lang w:val="fr-CH"/>
        </w:rPr>
        <w:t>charge</w:t>
      </w:r>
      <w:r w:rsidRPr="00A576AD">
        <w:rPr>
          <w:lang w:val="fr-CH"/>
        </w:rPr>
        <w:t> »</w:t>
      </w:r>
      <w:r w:rsidR="00D3292A" w:rsidRPr="00A576AD">
        <w:rPr>
          <w:lang w:val="fr-CH"/>
        </w:rPr>
        <w:t>/</w:t>
      </w:r>
      <w:r w:rsidRPr="00A576AD">
        <w:rPr>
          <w:lang w:val="fr-CH"/>
        </w:rPr>
        <w:t>« </w:t>
      </w:r>
      <w:r w:rsidR="00D3292A" w:rsidRPr="00A576AD">
        <w:rPr>
          <w:lang w:val="fr-CH"/>
        </w:rPr>
        <w:t>charges</w:t>
      </w:r>
      <w:r w:rsidRPr="00A576AD">
        <w:rPr>
          <w:lang w:val="fr-CH"/>
        </w:rPr>
        <w:t> »;</w:t>
      </w:r>
      <w:r w:rsidR="00D3292A" w:rsidRPr="00A576AD">
        <w:rPr>
          <w:lang w:val="fr-CH"/>
        </w:rPr>
        <w:t xml:space="preserve"> </w:t>
      </w:r>
    </w:p>
    <w:p w:rsidR="00D3292A" w:rsidRPr="00A576AD" w:rsidRDefault="00C62DD2" w:rsidP="00C1706C">
      <w:pPr>
        <w:pStyle w:val="SingleTxt"/>
        <w:ind w:left="2218" w:hanging="951"/>
        <w:rPr>
          <w:lang w:val="fr-CH"/>
        </w:rPr>
      </w:pPr>
      <w:r w:rsidRPr="00A576AD">
        <w:rPr>
          <w:lang w:val="fr-CH"/>
        </w:rPr>
        <w:tab/>
        <w:t>–</w:t>
      </w:r>
      <w:r w:rsidRPr="00A576AD">
        <w:rPr>
          <w:lang w:val="fr-CH"/>
        </w:rPr>
        <w:tab/>
      </w:r>
      <w:r w:rsidR="00D3292A" w:rsidRPr="00A576AD">
        <w:rPr>
          <w:lang w:val="fr-CH"/>
        </w:rPr>
        <w:t>Paragraphe</w:t>
      </w:r>
      <w:r w:rsidR="00D3292A" w:rsidRPr="00A576AD">
        <w:rPr>
          <w:i/>
          <w:lang w:val="fr-CH"/>
        </w:rPr>
        <w:t xml:space="preserve"> </w:t>
      </w:r>
      <w:r w:rsidR="00D3292A" w:rsidRPr="00A576AD">
        <w:rPr>
          <w:lang w:val="fr-CH"/>
        </w:rPr>
        <w:t>5.5.2.3.4</w:t>
      </w:r>
      <w:r w:rsidR="006B5F56" w:rsidRPr="00A576AD">
        <w:rPr>
          <w:lang w:val="fr-CH"/>
        </w:rPr>
        <w:t> :</w:t>
      </w:r>
      <w:r w:rsidR="00D3292A" w:rsidRPr="00A576AD">
        <w:rPr>
          <w:i/>
          <w:lang w:val="fr-CH"/>
        </w:rPr>
        <w:t xml:space="preserve"> </w:t>
      </w:r>
      <w:proofErr w:type="gramStart"/>
      <w:r w:rsidR="00D3292A" w:rsidRPr="00A576AD">
        <w:rPr>
          <w:lang w:val="fr-CH"/>
        </w:rPr>
        <w:t>ajouter</w:t>
      </w:r>
      <w:proofErr w:type="gramEnd"/>
      <w:r w:rsidR="00D3292A" w:rsidRPr="00A576AD">
        <w:rPr>
          <w:lang w:val="fr-CH"/>
        </w:rPr>
        <w:t xml:space="preserve"> </w:t>
      </w:r>
      <w:r w:rsidRPr="00A576AD">
        <w:rPr>
          <w:lang w:val="fr-CH"/>
        </w:rPr>
        <w:t>« </w:t>
      </w:r>
      <w:r w:rsidR="00D3292A" w:rsidRPr="00A576AD">
        <w:rPr>
          <w:lang w:val="fr-CH"/>
        </w:rPr>
        <w:t>les marchandises ou matériaux ayant été soumis à la fumigation</w:t>
      </w:r>
      <w:r w:rsidRPr="00A576AD">
        <w:rPr>
          <w:lang w:val="fr-CH"/>
        </w:rPr>
        <w:t> »</w:t>
      </w:r>
      <w:r w:rsidR="00D3292A" w:rsidRPr="00A576AD">
        <w:rPr>
          <w:lang w:val="fr-CH"/>
        </w:rPr>
        <w:t xml:space="preserve"> avant </w:t>
      </w:r>
      <w:r w:rsidRPr="00A576AD">
        <w:rPr>
          <w:lang w:val="fr-CH"/>
        </w:rPr>
        <w:t>« </w:t>
      </w:r>
      <w:r w:rsidR="00D3292A" w:rsidRPr="00A576AD">
        <w:rPr>
          <w:lang w:val="fr-CH"/>
        </w:rPr>
        <w:t>déchargés</w:t>
      </w:r>
      <w:r w:rsidRPr="00A576AD">
        <w:rPr>
          <w:lang w:val="fr-CH"/>
        </w:rPr>
        <w:t> »;</w:t>
      </w:r>
    </w:p>
    <w:p w:rsidR="00D3292A" w:rsidRPr="00A576AD" w:rsidRDefault="00C62DD2" w:rsidP="00C1706C">
      <w:pPr>
        <w:pStyle w:val="SingleTxt"/>
        <w:ind w:left="2218" w:hanging="951"/>
        <w:rPr>
          <w:lang w:val="fr-CH"/>
        </w:rPr>
      </w:pPr>
      <w:r w:rsidRPr="00A576AD">
        <w:rPr>
          <w:lang w:val="fr-CH"/>
        </w:rPr>
        <w:tab/>
        <w:t>–</w:t>
      </w:r>
      <w:r w:rsidRPr="00A576AD">
        <w:rPr>
          <w:lang w:val="fr-CH"/>
        </w:rPr>
        <w:tab/>
      </w:r>
      <w:r w:rsidR="00D3292A" w:rsidRPr="00A576AD">
        <w:rPr>
          <w:lang w:val="fr-CH"/>
        </w:rPr>
        <w:t>Paragraphe 7.3.3.2.3</w:t>
      </w:r>
      <w:r w:rsidR="006B5F56" w:rsidRPr="00A576AD">
        <w:rPr>
          <w:lang w:val="fr-CH"/>
        </w:rPr>
        <w:t> :</w:t>
      </w:r>
      <w:r w:rsidR="00D3292A" w:rsidRPr="00A576AD">
        <w:rPr>
          <w:lang w:val="fr-CH"/>
        </w:rPr>
        <w:t xml:space="preserve"> dans la disposition supplémentaire AP4, </w:t>
      </w:r>
      <w:proofErr w:type="gramStart"/>
      <w:r w:rsidR="00D3292A" w:rsidRPr="00A576AD">
        <w:rPr>
          <w:lang w:val="fr-CH"/>
        </w:rPr>
        <w:t>remplacer</w:t>
      </w:r>
      <w:proofErr w:type="gramEnd"/>
      <w:r w:rsidR="00D3292A" w:rsidRPr="00A576AD">
        <w:rPr>
          <w:lang w:val="fr-CH"/>
        </w:rPr>
        <w:t xml:space="preserve"> </w:t>
      </w:r>
      <w:r w:rsidRPr="00A576AD">
        <w:rPr>
          <w:lang w:val="fr-CH"/>
        </w:rPr>
        <w:t>« </w:t>
      </w:r>
      <w:r w:rsidR="00D3292A" w:rsidRPr="00A576AD">
        <w:rPr>
          <w:lang w:val="fr-CH"/>
        </w:rPr>
        <w:t>au chargement et au déchargement</w:t>
      </w:r>
      <w:r w:rsidRPr="00A576AD">
        <w:rPr>
          <w:lang w:val="fr-CH"/>
        </w:rPr>
        <w:t> »</w:t>
      </w:r>
      <w:r w:rsidR="00D3292A" w:rsidRPr="00A576AD">
        <w:rPr>
          <w:lang w:val="fr-CH"/>
        </w:rPr>
        <w:t xml:space="preserve"> par </w:t>
      </w:r>
      <w:r w:rsidRPr="00A576AD">
        <w:rPr>
          <w:lang w:val="fr-CH"/>
        </w:rPr>
        <w:t>« </w:t>
      </w:r>
      <w:r w:rsidR="00D3292A" w:rsidRPr="00A576AD">
        <w:rPr>
          <w:lang w:val="fr-CH"/>
        </w:rPr>
        <w:t>au remplissage et à la vidange</w:t>
      </w:r>
      <w:r w:rsidRPr="00A576AD">
        <w:rPr>
          <w:lang w:val="fr-CH"/>
        </w:rPr>
        <w:t> »;</w:t>
      </w:r>
    </w:p>
    <w:p w:rsidR="00D3292A" w:rsidRPr="00A576AD" w:rsidRDefault="00C62DD2" w:rsidP="00D3292A">
      <w:pPr>
        <w:pStyle w:val="SingleTxt"/>
        <w:rPr>
          <w:lang w:val="fr-CH"/>
        </w:rPr>
      </w:pPr>
      <w:r w:rsidRPr="00A576AD">
        <w:rPr>
          <w:lang w:val="fr-CH"/>
        </w:rPr>
        <w:tab/>
        <w:t>–</w:t>
      </w:r>
      <w:r w:rsidRPr="00A576AD">
        <w:rPr>
          <w:lang w:val="fr-CH"/>
        </w:rPr>
        <w:tab/>
      </w:r>
      <w:r w:rsidR="00D3292A" w:rsidRPr="00A576AD">
        <w:rPr>
          <w:lang w:val="fr-CH"/>
        </w:rPr>
        <w:t>Paragraphe 7.5.7.4 de l’ADR</w:t>
      </w:r>
      <w:r w:rsidR="006B5F56" w:rsidRPr="00A576AD">
        <w:rPr>
          <w:lang w:val="fr-CH"/>
        </w:rPr>
        <w:t> :</w:t>
      </w:r>
      <w:r w:rsidR="00D3292A" w:rsidRPr="00A576AD">
        <w:rPr>
          <w:lang w:val="fr-CH"/>
        </w:rPr>
        <w:t xml:space="preserve"> </w:t>
      </w:r>
      <w:r w:rsidR="001110FE" w:rsidRPr="00A576AD">
        <w:rPr>
          <w:lang w:val="fr-CH"/>
        </w:rPr>
        <w:t>(</w:t>
      </w:r>
      <w:r w:rsidR="001110FE">
        <w:rPr>
          <w:lang w:val="fr-CH"/>
        </w:rPr>
        <w:t xml:space="preserve">modification </w:t>
      </w:r>
      <w:r w:rsidR="001110FE" w:rsidRPr="00A576AD">
        <w:rPr>
          <w:lang w:val="fr-CH"/>
        </w:rPr>
        <w:t>sans objet en français)</w:t>
      </w:r>
      <w:r w:rsidRPr="00A576AD">
        <w:rPr>
          <w:lang w:val="fr-CH"/>
        </w:rPr>
        <w:t>.</w:t>
      </w:r>
    </w:p>
    <w:p w:rsidR="00D3292A" w:rsidRPr="00A576AD" w:rsidRDefault="00D3292A" w:rsidP="00D3292A">
      <w:pPr>
        <w:pStyle w:val="SingleTxt"/>
        <w:rPr>
          <w:lang w:val="fr-CH"/>
        </w:rPr>
      </w:pPr>
      <w:r w:rsidRPr="00A576AD">
        <w:rPr>
          <w:lang w:val="fr-CH"/>
        </w:rPr>
        <w:t xml:space="preserve">Certaines de ces modifications concernent toutefois des textes provenant des recommandations de l’ONU et doivent donc être traitées d’abord par le </w:t>
      </w:r>
      <w:proofErr w:type="spellStart"/>
      <w:r w:rsidRPr="00A576AD">
        <w:rPr>
          <w:lang w:val="fr-CH"/>
        </w:rPr>
        <w:t>Sous-Comité</w:t>
      </w:r>
      <w:proofErr w:type="spellEnd"/>
      <w:r w:rsidRPr="00A576AD">
        <w:rPr>
          <w:lang w:val="fr-CH"/>
        </w:rPr>
        <w:t xml:space="preserve"> d’experts du transport des marchandises dangereuses de l’ONU.</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lastRenderedPageBreak/>
        <w:tab/>
      </w:r>
      <w:r w:rsidRPr="00A576AD">
        <w:rPr>
          <w:lang w:val="fr-CH"/>
        </w:rPr>
        <w:tab/>
        <w:t>Propositions</w:t>
      </w:r>
    </w:p>
    <w:p w:rsidR="00CB1E93" w:rsidRPr="00A576AD" w:rsidRDefault="00CB1E93" w:rsidP="00CB1E93">
      <w:pPr>
        <w:pStyle w:val="SingleTxt"/>
        <w:spacing w:after="0" w:line="120" w:lineRule="exact"/>
        <w:rPr>
          <w:sz w:val="10"/>
          <w:lang w:val="fr-CH"/>
        </w:rPr>
      </w:pPr>
    </w:p>
    <w:p w:rsidR="00CB1E93" w:rsidRPr="00A576AD" w:rsidRDefault="00CB1E93" w:rsidP="00CB1E93">
      <w:pPr>
        <w:pStyle w:val="SingleTxt"/>
        <w:spacing w:after="0" w:line="120" w:lineRule="exact"/>
        <w:rPr>
          <w:sz w:val="10"/>
          <w:lang w:val="fr-CH"/>
        </w:rPr>
      </w:pPr>
    </w:p>
    <w:p w:rsidR="00D3292A" w:rsidRPr="00A576AD" w:rsidRDefault="00D3292A" w:rsidP="00CB1E93">
      <w:pPr>
        <w:pStyle w:val="SingleTxt"/>
        <w:numPr>
          <w:ilvl w:val="0"/>
          <w:numId w:val="8"/>
        </w:numPr>
        <w:tabs>
          <w:tab w:val="clear" w:pos="475"/>
          <w:tab w:val="num" w:pos="1742"/>
        </w:tabs>
        <w:ind w:left="1267"/>
        <w:rPr>
          <w:lang w:val="fr-CH"/>
        </w:rPr>
      </w:pPr>
      <w:r w:rsidRPr="00A576AD">
        <w:rPr>
          <w:lang w:val="fr-CH"/>
        </w:rPr>
        <w:t>Les modifications proposées se résument aux quatre propositions suivantes</w:t>
      </w:r>
      <w:r w:rsidR="006B5F56" w:rsidRPr="00A576AD">
        <w:rPr>
          <w:lang w:val="fr-CH"/>
        </w:rPr>
        <w:t> :</w:t>
      </w:r>
      <w:r w:rsidRPr="00A576AD">
        <w:rPr>
          <w:lang w:val="fr-CH"/>
        </w:rPr>
        <w:t xml:space="preserve"> </w:t>
      </w:r>
    </w:p>
    <w:p w:rsidR="00D3292A" w:rsidRPr="00A576AD" w:rsidRDefault="00D3292A" w:rsidP="00CA33C3">
      <w:pPr>
        <w:pStyle w:val="Bullet1G"/>
        <w:numPr>
          <w:ilvl w:val="0"/>
          <w:numId w:val="3"/>
        </w:numPr>
        <w:tabs>
          <w:tab w:val="num" w:pos="1701"/>
        </w:tabs>
        <w:ind w:left="1701" w:hanging="170"/>
        <w:rPr>
          <w:lang w:val="fr-CH"/>
        </w:rPr>
      </w:pPr>
      <w:r w:rsidRPr="00A576AD">
        <w:rPr>
          <w:lang w:val="fr-CH"/>
        </w:rPr>
        <w:t xml:space="preserve">Ajouter à la section 1.2.1 les définitions de </w:t>
      </w:r>
      <w:r w:rsidR="00C62DD2" w:rsidRPr="00A576AD">
        <w:rPr>
          <w:lang w:val="fr-CH"/>
        </w:rPr>
        <w:t>« </w:t>
      </w:r>
      <w:r w:rsidRPr="00A576AD">
        <w:rPr>
          <w:lang w:val="fr-CH"/>
        </w:rPr>
        <w:t>chargement</w:t>
      </w:r>
      <w:r w:rsidR="00C62DD2" w:rsidRPr="00A576AD">
        <w:rPr>
          <w:lang w:val="fr-CH"/>
        </w:rPr>
        <w:t> »</w:t>
      </w:r>
      <w:r w:rsidRPr="00A576AD">
        <w:rPr>
          <w:lang w:val="fr-CH"/>
        </w:rPr>
        <w:t xml:space="preserve"> et </w:t>
      </w:r>
      <w:r w:rsidR="00C62DD2" w:rsidRPr="00A576AD">
        <w:rPr>
          <w:lang w:val="fr-CH"/>
        </w:rPr>
        <w:t>« </w:t>
      </w:r>
      <w:r w:rsidRPr="00A576AD">
        <w:rPr>
          <w:lang w:val="fr-CH"/>
        </w:rPr>
        <w:t>déchargement</w:t>
      </w:r>
      <w:r w:rsidR="00C62DD2" w:rsidRPr="00A576AD">
        <w:rPr>
          <w:lang w:val="fr-CH"/>
        </w:rPr>
        <w:t> »;</w:t>
      </w:r>
      <w:r w:rsidRPr="00A576AD">
        <w:rPr>
          <w:lang w:val="fr-CH"/>
        </w:rPr>
        <w:t xml:space="preserve"> </w:t>
      </w:r>
    </w:p>
    <w:p w:rsidR="00D3292A" w:rsidRPr="00A576AD" w:rsidRDefault="00D3292A" w:rsidP="00CA33C3">
      <w:pPr>
        <w:pStyle w:val="Bullet1G"/>
        <w:numPr>
          <w:ilvl w:val="0"/>
          <w:numId w:val="3"/>
        </w:numPr>
        <w:tabs>
          <w:tab w:val="num" w:pos="1701"/>
        </w:tabs>
        <w:ind w:left="1701" w:hanging="170"/>
        <w:rPr>
          <w:lang w:val="fr-CH"/>
        </w:rPr>
      </w:pPr>
      <w:r w:rsidRPr="00A576AD">
        <w:rPr>
          <w:lang w:val="fr-CH"/>
        </w:rPr>
        <w:t>Ajouter du texte pour simplifier les paragraphes 1.4.3.1 et 1.4.3.7</w:t>
      </w:r>
      <w:r w:rsidR="00C62DD2" w:rsidRPr="00A576AD">
        <w:rPr>
          <w:lang w:val="fr-CH"/>
        </w:rPr>
        <w:t>;</w:t>
      </w:r>
    </w:p>
    <w:p w:rsidR="00D3292A" w:rsidRPr="00A576AD" w:rsidRDefault="00D3292A" w:rsidP="00CA33C3">
      <w:pPr>
        <w:pStyle w:val="Bullet1G"/>
        <w:numPr>
          <w:ilvl w:val="0"/>
          <w:numId w:val="3"/>
        </w:numPr>
        <w:tabs>
          <w:tab w:val="num" w:pos="1701"/>
        </w:tabs>
        <w:ind w:left="1701" w:hanging="170"/>
        <w:rPr>
          <w:lang w:val="fr-CH"/>
        </w:rPr>
      </w:pPr>
      <w:r w:rsidRPr="00A576AD">
        <w:rPr>
          <w:lang w:val="fr-CH"/>
        </w:rPr>
        <w:t>Modifier le chapitre 7.5 pour spécifier tous les moyens de confinement définis à la section 1.2.1</w:t>
      </w:r>
      <w:r w:rsidR="00C62DD2" w:rsidRPr="00A576AD">
        <w:rPr>
          <w:lang w:val="fr-CH"/>
        </w:rPr>
        <w:t>;</w:t>
      </w:r>
      <w:r w:rsidRPr="00A576AD">
        <w:rPr>
          <w:lang w:val="fr-CH"/>
        </w:rPr>
        <w:t xml:space="preserve"> et </w:t>
      </w:r>
    </w:p>
    <w:p w:rsidR="00D3292A" w:rsidRPr="00A576AD" w:rsidRDefault="00D3292A" w:rsidP="00CA33C3">
      <w:pPr>
        <w:pStyle w:val="Bullet1G"/>
        <w:numPr>
          <w:ilvl w:val="0"/>
          <w:numId w:val="3"/>
        </w:numPr>
        <w:tabs>
          <w:tab w:val="num" w:pos="1701"/>
        </w:tabs>
        <w:ind w:left="1701" w:hanging="170"/>
        <w:rPr>
          <w:lang w:val="fr-CH"/>
        </w:rPr>
      </w:pPr>
      <w:r w:rsidRPr="00A576AD">
        <w:rPr>
          <w:lang w:val="fr-CH"/>
        </w:rPr>
        <w:t>Introduire d’éventuelles modifications corollaires.</w:t>
      </w:r>
    </w:p>
    <w:p w:rsidR="00D3292A" w:rsidRPr="00A576AD" w:rsidRDefault="00D3292A" w:rsidP="00D3292A">
      <w:pPr>
        <w:pStyle w:val="SingleTxt"/>
        <w:rPr>
          <w:lang w:val="fr-CH"/>
        </w:rPr>
      </w:pPr>
      <w:r w:rsidRPr="00A576AD">
        <w:rPr>
          <w:lang w:val="fr-CH"/>
        </w:rPr>
        <w:t xml:space="preserve">Dans ces propositions, les modifications apparaissent grisées, le texte nouveau étant en italiques et les suppressions biffées. </w:t>
      </w:r>
    </w:p>
    <w:p w:rsidR="00CB1E93" w:rsidRPr="00A576AD" w:rsidRDefault="00CB1E93" w:rsidP="00CA33C3">
      <w:pPr>
        <w:pStyle w:val="SingleTxt"/>
        <w:spacing w:after="0" w:line="120" w:lineRule="exact"/>
        <w:rPr>
          <w:sz w:val="10"/>
          <w:lang w:val="fr-CH"/>
        </w:rPr>
      </w:pPr>
    </w:p>
    <w:p w:rsidR="00CA33C3" w:rsidRPr="00A576AD" w:rsidRDefault="00CA33C3" w:rsidP="00CB1E93">
      <w:pPr>
        <w:pStyle w:val="SingleTxt"/>
        <w:spacing w:after="0" w:line="120" w:lineRule="exact"/>
        <w:rPr>
          <w:sz w:val="10"/>
          <w:lang w:val="fr-CH"/>
        </w:rPr>
      </w:pPr>
    </w:p>
    <w:p w:rsidR="00D3292A" w:rsidRPr="00A576AD" w:rsidRDefault="00D3292A" w:rsidP="00CB1E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Proposition 1</w:t>
      </w:r>
    </w:p>
    <w:p w:rsidR="00CB1E93" w:rsidRPr="00A576AD" w:rsidRDefault="00CB1E93" w:rsidP="00CA33C3">
      <w:pPr>
        <w:pStyle w:val="SingleTxt"/>
        <w:spacing w:after="0" w:line="120" w:lineRule="exact"/>
        <w:rPr>
          <w:sz w:val="10"/>
          <w:lang w:val="fr-CH"/>
        </w:rPr>
      </w:pPr>
    </w:p>
    <w:p w:rsidR="00CA33C3" w:rsidRPr="00A576AD" w:rsidRDefault="00CA33C3" w:rsidP="00CB1E93">
      <w:pPr>
        <w:pStyle w:val="SingleTxt"/>
        <w:spacing w:after="0" w:line="120" w:lineRule="exact"/>
        <w:rPr>
          <w:sz w:val="10"/>
          <w:lang w:val="fr-CH"/>
        </w:rPr>
      </w:pP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Ajouter à la section 1.2.1 les deux nouvelles définitions suivantes</w:t>
      </w:r>
      <w:r w:rsidR="006B5F56" w:rsidRPr="00A576AD">
        <w:rPr>
          <w:lang w:val="fr-CH"/>
        </w:rPr>
        <w:t> :</w:t>
      </w:r>
    </w:p>
    <w:p w:rsidR="00D3292A" w:rsidRPr="001110FE" w:rsidRDefault="00D3292A" w:rsidP="00D3292A">
      <w:pPr>
        <w:pStyle w:val="SingleTxt"/>
        <w:rPr>
          <w:i/>
          <w:lang w:val="fr-CH"/>
        </w:rPr>
      </w:pPr>
      <w:r w:rsidRPr="001110FE">
        <w:rPr>
          <w:i/>
          <w:lang w:val="fr-CH"/>
        </w:rPr>
        <w:tab/>
      </w:r>
      <w:r w:rsidR="00C62DD2" w:rsidRPr="001110FE">
        <w:rPr>
          <w:i/>
          <w:lang w:val="fr-CH"/>
        </w:rPr>
        <w:t>« </w:t>
      </w:r>
      <w:r w:rsidRPr="001110FE">
        <w:rPr>
          <w:i/>
          <w:lang w:val="fr-CH"/>
        </w:rPr>
        <w:t>Chargement</w:t>
      </w:r>
      <w:r w:rsidR="00C62DD2" w:rsidRPr="001110FE">
        <w:rPr>
          <w:i/>
          <w:lang w:val="fr-CH"/>
        </w:rPr>
        <w:t> »</w:t>
      </w:r>
      <w:r w:rsidRPr="001110FE">
        <w:rPr>
          <w:i/>
          <w:lang w:val="fr-CH"/>
        </w:rPr>
        <w:t xml:space="preserve">, toutes les actions effectuées par le </w:t>
      </w:r>
      <w:r w:rsidR="00C62DD2" w:rsidRPr="001110FE">
        <w:rPr>
          <w:i/>
          <w:lang w:val="fr-CH"/>
        </w:rPr>
        <w:t>« </w:t>
      </w:r>
      <w:r w:rsidRPr="001110FE">
        <w:rPr>
          <w:i/>
          <w:lang w:val="fr-CH"/>
        </w:rPr>
        <w:t>chargeur</w:t>
      </w:r>
      <w:r w:rsidR="00C62DD2" w:rsidRPr="001110FE">
        <w:rPr>
          <w:i/>
          <w:lang w:val="fr-CH"/>
        </w:rPr>
        <w:t> »;</w:t>
      </w:r>
    </w:p>
    <w:p w:rsidR="00D3292A" w:rsidRPr="001110FE" w:rsidRDefault="00D3292A" w:rsidP="00D3292A">
      <w:pPr>
        <w:pStyle w:val="SingleTxt"/>
        <w:rPr>
          <w:i/>
          <w:lang w:val="fr-CH"/>
        </w:rPr>
      </w:pPr>
      <w:r w:rsidRPr="001110FE">
        <w:rPr>
          <w:i/>
          <w:lang w:val="fr-CH"/>
        </w:rPr>
        <w:tab/>
      </w:r>
      <w:r w:rsidR="00C62DD2" w:rsidRPr="001110FE">
        <w:rPr>
          <w:i/>
          <w:lang w:val="fr-CH"/>
        </w:rPr>
        <w:t>« </w:t>
      </w:r>
      <w:r w:rsidRPr="001110FE">
        <w:rPr>
          <w:i/>
          <w:lang w:val="fr-CH"/>
        </w:rPr>
        <w:t>Déchargement</w:t>
      </w:r>
      <w:r w:rsidR="00C62DD2" w:rsidRPr="001110FE">
        <w:rPr>
          <w:i/>
          <w:lang w:val="fr-CH"/>
        </w:rPr>
        <w:t> »</w:t>
      </w:r>
      <w:r w:rsidRPr="001110FE">
        <w:rPr>
          <w:i/>
          <w:lang w:val="fr-CH"/>
        </w:rPr>
        <w:t xml:space="preserve">, toutes les actions effectuées par le </w:t>
      </w:r>
      <w:r w:rsidR="00C62DD2" w:rsidRPr="001110FE">
        <w:rPr>
          <w:i/>
          <w:lang w:val="fr-CH"/>
        </w:rPr>
        <w:t>« </w:t>
      </w:r>
      <w:r w:rsidRPr="001110FE">
        <w:rPr>
          <w:i/>
          <w:lang w:val="fr-CH"/>
        </w:rPr>
        <w:t>déchargeur</w:t>
      </w:r>
      <w:r w:rsidR="00C62DD2" w:rsidRPr="001110FE">
        <w:rPr>
          <w:i/>
          <w:lang w:val="fr-CH"/>
        </w:rPr>
        <w:t> »</w:t>
      </w:r>
      <w:r w:rsidRPr="001110FE">
        <w:rPr>
          <w:i/>
          <w:lang w:val="fr-CH"/>
        </w:rPr>
        <w:t>.</w:t>
      </w:r>
    </w:p>
    <w:p w:rsidR="00CA33C3" w:rsidRPr="00A576AD" w:rsidRDefault="00CA33C3" w:rsidP="00CA33C3">
      <w:pPr>
        <w:pStyle w:val="SingleTxt"/>
        <w:spacing w:after="0" w:line="120" w:lineRule="exact"/>
        <w:rPr>
          <w:sz w:val="10"/>
          <w:lang w:val="fr-CH"/>
        </w:rPr>
      </w:pPr>
    </w:p>
    <w:p w:rsidR="00CA33C3" w:rsidRPr="00A576AD" w:rsidRDefault="00CA33C3" w:rsidP="00CA33C3">
      <w:pPr>
        <w:pStyle w:val="SingleTxt"/>
        <w:spacing w:after="0" w:line="120" w:lineRule="exact"/>
        <w:rPr>
          <w:sz w:val="10"/>
          <w:lang w:val="fr-CH"/>
        </w:rPr>
      </w:pPr>
    </w:p>
    <w:p w:rsidR="00D3292A" w:rsidRPr="00A576AD" w:rsidRDefault="00D3292A" w:rsidP="00CA33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Proposition 2</w:t>
      </w:r>
    </w:p>
    <w:p w:rsidR="00CA33C3" w:rsidRPr="00A576AD" w:rsidRDefault="00CA33C3" w:rsidP="00CA33C3">
      <w:pPr>
        <w:pStyle w:val="SingleTxt"/>
        <w:spacing w:after="0" w:line="120" w:lineRule="exact"/>
        <w:rPr>
          <w:sz w:val="10"/>
          <w:lang w:val="fr-CH"/>
        </w:rPr>
      </w:pPr>
    </w:p>
    <w:p w:rsidR="00CA33C3" w:rsidRPr="00A576AD" w:rsidRDefault="00CA33C3" w:rsidP="00CA33C3">
      <w:pPr>
        <w:pStyle w:val="SingleTxt"/>
        <w:spacing w:after="0" w:line="120" w:lineRule="exact"/>
        <w:rPr>
          <w:sz w:val="10"/>
          <w:lang w:val="fr-CH"/>
        </w:rPr>
      </w:pP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Modifier l’alinéa 1.4.3.1.1 c) du RID/ADR comme suit</w:t>
      </w:r>
      <w:r w:rsidR="006B5F56" w:rsidRPr="00A576AD">
        <w:rPr>
          <w:lang w:val="fr-CH"/>
        </w:rPr>
        <w:t> :</w:t>
      </w:r>
    </w:p>
    <w:p w:rsidR="00D3292A" w:rsidRPr="00A576AD" w:rsidRDefault="00C62DD2" w:rsidP="00C62DD2">
      <w:pPr>
        <w:pStyle w:val="SingleTxt"/>
        <w:ind w:left="1742" w:hanging="475"/>
        <w:rPr>
          <w:lang w:val="fr-CH"/>
        </w:rPr>
      </w:pPr>
      <w:r w:rsidRPr="00A576AD">
        <w:rPr>
          <w:lang w:val="fr-CH"/>
        </w:rPr>
        <w:tab/>
        <w:t>« </w:t>
      </w:r>
      <w:proofErr w:type="gramStart"/>
      <w:r w:rsidR="00D3292A" w:rsidRPr="00A576AD">
        <w:rPr>
          <w:lang w:val="fr-CH"/>
        </w:rPr>
        <w:t>c</w:t>
      </w:r>
      <w:proofErr w:type="gramEnd"/>
      <w:r w:rsidR="00D3292A" w:rsidRPr="00A576AD">
        <w:rPr>
          <w:lang w:val="fr-CH"/>
        </w:rPr>
        <w:t xml:space="preserve">) </w:t>
      </w:r>
      <w:r w:rsidR="00D3292A" w:rsidRPr="00A576AD">
        <w:rPr>
          <w:i/>
          <w:lang w:val="fr-CH"/>
        </w:rPr>
        <w:t>(RID)</w:t>
      </w:r>
      <w:r w:rsidR="00D3292A" w:rsidRPr="00A576AD">
        <w:rPr>
          <w:lang w:val="fr-CH"/>
        </w:rPr>
        <w:tab/>
        <w:t xml:space="preserve">Il doit, </w:t>
      </w:r>
      <w:r w:rsidR="00D3292A" w:rsidRPr="00A576AD">
        <w:rPr>
          <w:strike/>
          <w:highlight w:val="lightGray"/>
          <w:lang w:val="fr-CH"/>
        </w:rPr>
        <w:t>lorsqu’il charge des marchandises dangereuses dans un wagon, un grand conteneur ou un petit conteneur</w:t>
      </w:r>
      <w:r w:rsidR="00D3292A" w:rsidRPr="00A576AD">
        <w:rPr>
          <w:lang w:val="fr-CH"/>
        </w:rPr>
        <w:t>, observer les prescriptions relatives au chargement et à la manutention;</w:t>
      </w:r>
      <w:r w:rsidR="006B5F56" w:rsidRPr="00A576AD">
        <w:rPr>
          <w:lang w:val="fr-CH"/>
        </w:rPr>
        <w:t> »</w:t>
      </w:r>
    </w:p>
    <w:p w:rsidR="00D3292A" w:rsidRPr="00A576AD" w:rsidRDefault="00C62DD2" w:rsidP="00CA33C3">
      <w:pPr>
        <w:pStyle w:val="SingleTxt"/>
        <w:ind w:left="1742" w:hanging="475"/>
        <w:rPr>
          <w:lang w:val="fr-CH"/>
        </w:rPr>
      </w:pPr>
      <w:r w:rsidRPr="00A576AD">
        <w:rPr>
          <w:lang w:val="fr-CH"/>
        </w:rPr>
        <w:tab/>
      </w:r>
      <w:proofErr w:type="gramStart"/>
      <w:r w:rsidR="00D3292A" w:rsidRPr="00A576AD">
        <w:rPr>
          <w:lang w:val="fr-CH"/>
        </w:rPr>
        <w:t>c</w:t>
      </w:r>
      <w:proofErr w:type="gramEnd"/>
      <w:r w:rsidR="00D3292A" w:rsidRPr="00A576AD">
        <w:rPr>
          <w:lang w:val="fr-CH"/>
        </w:rPr>
        <w:t xml:space="preserve">) </w:t>
      </w:r>
      <w:r w:rsidR="00D3292A" w:rsidRPr="00A576AD">
        <w:rPr>
          <w:i/>
          <w:lang w:val="fr-CH"/>
        </w:rPr>
        <w:t>(ADR)</w:t>
      </w:r>
      <w:r w:rsidRPr="00A576AD">
        <w:rPr>
          <w:i/>
          <w:lang w:val="fr-CH"/>
        </w:rPr>
        <w:tab/>
      </w:r>
      <w:r w:rsidR="00D3292A" w:rsidRPr="00A576AD">
        <w:rPr>
          <w:lang w:val="fr-CH"/>
        </w:rPr>
        <w:t>Il doit</w:t>
      </w:r>
      <w:r w:rsidR="00D3292A" w:rsidRPr="00A576AD">
        <w:rPr>
          <w:strike/>
          <w:highlight w:val="lightGray"/>
          <w:lang w:val="fr-CH"/>
        </w:rPr>
        <w:t>, lorsqu’il charge des marchandises dangereuses dans un véhicule, un grand conteneur ou un petit conteneur,</w:t>
      </w:r>
      <w:r w:rsidR="00D3292A" w:rsidRPr="00A576AD">
        <w:rPr>
          <w:lang w:val="fr-CH"/>
        </w:rPr>
        <w:t xml:space="preserve"> observer les prescriptions relatives au chargement et à la manutention;</w:t>
      </w:r>
      <w:r w:rsidRPr="00A576AD">
        <w:rPr>
          <w:lang w:val="fr-CH"/>
        </w:rPr>
        <w:t> ».</w:t>
      </w: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Au paragraphe 1.4.3.7 du RID/ADR, supprimer le Nota après le titre</w:t>
      </w:r>
      <w:r w:rsidR="006B5F56" w:rsidRPr="00A576AD">
        <w:rPr>
          <w:lang w:val="fr-CH"/>
        </w:rPr>
        <w:t> :</w:t>
      </w:r>
    </w:p>
    <w:p w:rsidR="00D3292A" w:rsidRPr="00A576AD" w:rsidRDefault="00C62DD2" w:rsidP="00D3292A">
      <w:pPr>
        <w:pStyle w:val="SingleTxt"/>
        <w:rPr>
          <w:lang w:val="fr-CH"/>
        </w:rPr>
      </w:pPr>
      <w:r w:rsidRPr="00A576AD">
        <w:rPr>
          <w:lang w:val="fr-CH"/>
        </w:rPr>
        <w:tab/>
        <w:t>« </w:t>
      </w:r>
      <w:r w:rsidR="00D3292A" w:rsidRPr="00A576AD">
        <w:rPr>
          <w:lang w:val="fr-CH"/>
        </w:rPr>
        <w:t>1.4.3.7 Déchargeur</w:t>
      </w:r>
    </w:p>
    <w:p w:rsidR="00D3292A" w:rsidRPr="00A576AD" w:rsidRDefault="00C62DD2" w:rsidP="00C62DD2">
      <w:pPr>
        <w:pStyle w:val="SingleTxt"/>
        <w:ind w:left="1742" w:hanging="475"/>
        <w:rPr>
          <w:strike/>
          <w:lang w:val="fr-CH"/>
        </w:rPr>
      </w:pPr>
      <w:r w:rsidRPr="00A576AD">
        <w:rPr>
          <w:b/>
          <w:lang w:val="fr-CH"/>
        </w:rPr>
        <w:tab/>
      </w:r>
      <w:r w:rsidR="00D3292A" w:rsidRPr="00A576AD">
        <w:rPr>
          <w:b/>
          <w:strike/>
          <w:highlight w:val="lightGray"/>
          <w:lang w:val="fr-CH"/>
        </w:rPr>
        <w:t>NOTA</w:t>
      </w:r>
      <w:r w:rsidR="006B5F56" w:rsidRPr="00A576AD">
        <w:rPr>
          <w:b/>
          <w:strike/>
          <w:highlight w:val="lightGray"/>
          <w:lang w:val="fr-CH"/>
        </w:rPr>
        <w:t> :</w:t>
      </w:r>
      <w:r w:rsidR="00D3292A" w:rsidRPr="00A576AD">
        <w:rPr>
          <w:b/>
          <w:strike/>
          <w:highlight w:val="lightGray"/>
          <w:lang w:val="fr-CH"/>
        </w:rPr>
        <w:t xml:space="preserve"> </w:t>
      </w:r>
      <w:r w:rsidR="00D3292A" w:rsidRPr="00A576AD">
        <w:rPr>
          <w:strike/>
          <w:highlight w:val="lightGray"/>
          <w:lang w:val="fr-CH"/>
        </w:rPr>
        <w:t>Dans cette sous-section, le déchargement englobe l’enlèvement, le déchargement et la vidange comme indiqué dans la définition du déchargeur au 1.2.1.</w:t>
      </w:r>
      <w:r w:rsidRPr="00A576AD">
        <w:rPr>
          <w:strike/>
          <w:lang w:val="fr-CH"/>
        </w:rPr>
        <w:t> »</w:t>
      </w:r>
    </w:p>
    <w:p w:rsidR="00D3292A" w:rsidRPr="00A576AD" w:rsidRDefault="00CA33C3" w:rsidP="00D3292A">
      <w:pPr>
        <w:pStyle w:val="SingleTxt"/>
        <w:rPr>
          <w:lang w:val="fr-CH"/>
        </w:rPr>
      </w:pPr>
      <w:r w:rsidRPr="00A576AD">
        <w:rPr>
          <w:lang w:val="fr-CH"/>
        </w:rPr>
        <w:tab/>
      </w:r>
      <w:r w:rsidR="00D3292A" w:rsidRPr="00A576AD">
        <w:rPr>
          <w:lang w:val="fr-CH"/>
        </w:rPr>
        <w:t xml:space="preserve">Modifier l’alinéa 1.4.3.7.1 </w:t>
      </w:r>
      <w:proofErr w:type="gramStart"/>
      <w:r w:rsidR="00D3292A" w:rsidRPr="00A576AD">
        <w:rPr>
          <w:lang w:val="fr-CH"/>
        </w:rPr>
        <w:t>c )</w:t>
      </w:r>
      <w:proofErr w:type="gramEnd"/>
      <w:r w:rsidR="00D3292A" w:rsidRPr="00A576AD">
        <w:rPr>
          <w:lang w:val="fr-CH"/>
        </w:rPr>
        <w:t xml:space="preserve"> comme suit</w:t>
      </w:r>
      <w:r w:rsidR="006B5F56" w:rsidRPr="00A576AD">
        <w:rPr>
          <w:lang w:val="fr-CH"/>
        </w:rPr>
        <w:t> :</w:t>
      </w:r>
    </w:p>
    <w:p w:rsidR="00D3292A" w:rsidRPr="00A576AD" w:rsidRDefault="00C62DD2" w:rsidP="00C62DD2">
      <w:pPr>
        <w:pStyle w:val="SingleTxt"/>
        <w:ind w:left="1742" w:hanging="475"/>
        <w:rPr>
          <w:i/>
          <w:lang w:val="fr-CH"/>
        </w:rPr>
      </w:pPr>
      <w:r w:rsidRPr="00A576AD">
        <w:rPr>
          <w:lang w:val="fr-CH"/>
        </w:rPr>
        <w:tab/>
        <w:t>« </w:t>
      </w:r>
      <w:proofErr w:type="gramStart"/>
      <w:r w:rsidR="00D3292A" w:rsidRPr="00A576AD">
        <w:rPr>
          <w:lang w:val="fr-CH"/>
        </w:rPr>
        <w:t>c</w:t>
      </w:r>
      <w:proofErr w:type="gramEnd"/>
      <w:r w:rsidR="00D3292A" w:rsidRPr="00A576AD">
        <w:rPr>
          <w:lang w:val="fr-CH"/>
        </w:rPr>
        <w:t>)</w:t>
      </w:r>
      <w:r w:rsidR="00D3292A" w:rsidRPr="00A576AD">
        <w:rPr>
          <w:lang w:val="fr-CH"/>
        </w:rPr>
        <w:tab/>
      </w:r>
      <w:r w:rsidR="00C1706C" w:rsidRPr="00A576AD">
        <w:rPr>
          <w:lang w:val="fr-CH"/>
        </w:rPr>
        <w:t xml:space="preserve">Respecter </w:t>
      </w:r>
      <w:r w:rsidR="00D3292A" w:rsidRPr="00A576AD">
        <w:rPr>
          <w:lang w:val="fr-CH"/>
        </w:rPr>
        <w:t xml:space="preserve">toutes les prescriptions applicables au déchargement </w:t>
      </w:r>
      <w:r w:rsidR="00D3292A" w:rsidRPr="00A576AD">
        <w:rPr>
          <w:i/>
          <w:highlight w:val="lightGray"/>
          <w:lang w:val="fr-CH"/>
        </w:rPr>
        <w:t>et à la manutention</w:t>
      </w:r>
      <w:r w:rsidR="00D3292A" w:rsidRPr="00A576AD">
        <w:rPr>
          <w:lang w:val="fr-CH"/>
        </w:rPr>
        <w:t>;</w:t>
      </w:r>
      <w:r w:rsidRPr="00A576AD">
        <w:rPr>
          <w:lang w:val="fr-CH"/>
        </w:rPr>
        <w:t> »</w:t>
      </w:r>
      <w:r w:rsidR="00D3292A" w:rsidRPr="00A576AD">
        <w:rPr>
          <w:lang w:val="fr-CH"/>
        </w:rPr>
        <w:t>.</w:t>
      </w:r>
    </w:p>
    <w:p w:rsidR="00327A2C" w:rsidRPr="00A576AD" w:rsidRDefault="00327A2C" w:rsidP="00327A2C">
      <w:pPr>
        <w:pStyle w:val="SingleTxt"/>
        <w:spacing w:after="0" w:line="120" w:lineRule="exact"/>
        <w:rPr>
          <w:i/>
          <w:sz w:val="10"/>
          <w:lang w:val="fr-CH"/>
        </w:rPr>
      </w:pPr>
    </w:p>
    <w:p w:rsidR="00327A2C" w:rsidRPr="00A576AD" w:rsidRDefault="00327A2C" w:rsidP="00327A2C">
      <w:pPr>
        <w:pStyle w:val="SingleTxt"/>
        <w:spacing w:after="0" w:line="120" w:lineRule="exact"/>
        <w:rPr>
          <w:i/>
          <w:sz w:val="10"/>
          <w:lang w:val="fr-CH"/>
        </w:rPr>
      </w:pPr>
    </w:p>
    <w:p w:rsidR="00D3292A" w:rsidRPr="00A576AD" w:rsidRDefault="00D3292A" w:rsidP="00327A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Proposition 3</w:t>
      </w:r>
    </w:p>
    <w:p w:rsidR="00327A2C" w:rsidRPr="00A576AD" w:rsidRDefault="00327A2C" w:rsidP="00327A2C">
      <w:pPr>
        <w:pStyle w:val="SingleTxt"/>
        <w:spacing w:after="0" w:line="120" w:lineRule="exact"/>
        <w:rPr>
          <w:sz w:val="10"/>
          <w:lang w:val="fr-CH"/>
        </w:rPr>
      </w:pPr>
    </w:p>
    <w:p w:rsidR="00327A2C" w:rsidRPr="00A576AD" w:rsidRDefault="00327A2C" w:rsidP="00327A2C">
      <w:pPr>
        <w:pStyle w:val="SingleTxt"/>
        <w:spacing w:after="0" w:line="120" w:lineRule="exact"/>
        <w:rPr>
          <w:sz w:val="10"/>
          <w:lang w:val="fr-CH"/>
        </w:rPr>
      </w:pPr>
    </w:p>
    <w:p w:rsidR="00D3292A" w:rsidRPr="00A576AD" w:rsidRDefault="00D3292A" w:rsidP="00327A2C">
      <w:pPr>
        <w:pStyle w:val="SingleTxt"/>
        <w:numPr>
          <w:ilvl w:val="0"/>
          <w:numId w:val="8"/>
        </w:numPr>
        <w:tabs>
          <w:tab w:val="clear" w:pos="475"/>
          <w:tab w:val="num" w:pos="1742"/>
        </w:tabs>
        <w:ind w:left="1267"/>
        <w:rPr>
          <w:b/>
          <w:lang w:val="fr-CH"/>
        </w:rPr>
      </w:pPr>
      <w:r w:rsidRPr="00A576AD">
        <w:rPr>
          <w:lang w:val="fr-CH"/>
        </w:rPr>
        <w:t>Dans le chapitre 7.5 du RID, supprimer le Nota après le titre</w:t>
      </w:r>
      <w:r w:rsidR="006B5F56" w:rsidRPr="00A576AD">
        <w:rPr>
          <w:lang w:val="fr-CH"/>
        </w:rPr>
        <w:t> :</w:t>
      </w:r>
    </w:p>
    <w:p w:rsidR="00D3292A" w:rsidRPr="00A576AD" w:rsidRDefault="00C62DD2" w:rsidP="00C62DD2">
      <w:pPr>
        <w:pStyle w:val="SingleTxt"/>
        <w:ind w:left="1742" w:hanging="475"/>
        <w:rPr>
          <w:b/>
          <w:lang w:val="fr-CH"/>
        </w:rPr>
      </w:pPr>
      <w:r w:rsidRPr="00A576AD">
        <w:rPr>
          <w:lang w:val="fr-CH"/>
        </w:rPr>
        <w:tab/>
      </w:r>
      <w:r w:rsidR="00CA33C3" w:rsidRPr="00A576AD">
        <w:rPr>
          <w:lang w:val="fr-CH"/>
        </w:rPr>
        <w:t>« </w:t>
      </w:r>
      <w:r w:rsidR="00D3292A" w:rsidRPr="00A576AD">
        <w:rPr>
          <w:strike/>
          <w:highlight w:val="lightGray"/>
          <w:lang w:val="fr-CH"/>
        </w:rPr>
        <w:t>[</w:t>
      </w:r>
      <w:r w:rsidR="00D3292A" w:rsidRPr="00A576AD">
        <w:rPr>
          <w:b/>
          <w:i/>
          <w:strike/>
          <w:highlight w:val="lightGray"/>
          <w:lang w:val="fr-CH"/>
        </w:rPr>
        <w:t>NOTA</w:t>
      </w:r>
      <w:r w:rsidR="006B5F56" w:rsidRPr="00A576AD">
        <w:rPr>
          <w:b/>
          <w:i/>
          <w:strike/>
          <w:highlight w:val="lightGray"/>
          <w:lang w:val="fr-CH"/>
        </w:rPr>
        <w:t> </w:t>
      </w:r>
      <w:r w:rsidR="006B5F56" w:rsidRPr="00A576AD">
        <w:rPr>
          <w:i/>
          <w:strike/>
          <w:highlight w:val="lightGray"/>
          <w:lang w:val="fr-CH"/>
        </w:rPr>
        <w:t>:</w:t>
      </w:r>
      <w:r w:rsidR="00D3292A" w:rsidRPr="00A576AD">
        <w:rPr>
          <w:i/>
          <w:strike/>
          <w:highlight w:val="lightGray"/>
          <w:lang w:val="fr-CH"/>
        </w:rPr>
        <w:t xml:space="preserve"> Au sens de la présente section, le fait de placer un conteneur, un conteneur pour vrac, un conteneur-citerne ou une citerne mobile sur un véhicule est considéré comme chargement et le fait de l’enlever est considéré comme déchargement.</w:t>
      </w:r>
      <w:r w:rsidR="00CA33C3" w:rsidRPr="00A576AD">
        <w:rPr>
          <w:strike/>
          <w:lang w:val="fr-CH"/>
        </w:rPr>
        <w:t> </w:t>
      </w:r>
      <w:r w:rsidR="00CA33C3" w:rsidRPr="00C1706C">
        <w:rPr>
          <w:lang w:val="fr-CH"/>
        </w:rPr>
        <w:t>»</w:t>
      </w:r>
      <w:r w:rsidR="00D3292A" w:rsidRPr="00A576AD">
        <w:rPr>
          <w:lang w:val="fr-CH"/>
        </w:rPr>
        <w:t>.</w:t>
      </w:r>
    </w:p>
    <w:p w:rsidR="00D3292A" w:rsidRPr="00A576AD" w:rsidRDefault="00CA33C3" w:rsidP="00D3292A">
      <w:pPr>
        <w:pStyle w:val="SingleTxt"/>
        <w:rPr>
          <w:lang w:val="fr-CH"/>
        </w:rPr>
      </w:pPr>
      <w:r w:rsidRPr="00A576AD">
        <w:rPr>
          <w:lang w:val="fr-CH"/>
        </w:rPr>
        <w:tab/>
      </w:r>
      <w:r w:rsidR="00D3292A" w:rsidRPr="00A576AD">
        <w:rPr>
          <w:lang w:val="fr-CH"/>
        </w:rPr>
        <w:t>Modifier le paragraphe 7.5.1.2 du RID comme suit</w:t>
      </w:r>
      <w:r w:rsidR="006B5F56" w:rsidRPr="00A576AD">
        <w:rPr>
          <w:lang w:val="fr-CH"/>
        </w:rPr>
        <w:t> :</w:t>
      </w:r>
    </w:p>
    <w:p w:rsidR="00D3292A" w:rsidRPr="00A576AD" w:rsidRDefault="00CA33C3" w:rsidP="00CA33C3">
      <w:pPr>
        <w:pStyle w:val="SingleTxt"/>
        <w:ind w:left="1742" w:hanging="475"/>
        <w:rPr>
          <w:lang w:val="fr-CH"/>
        </w:rPr>
      </w:pPr>
      <w:r w:rsidRPr="00A576AD">
        <w:rPr>
          <w:lang w:val="fr-CH"/>
        </w:rPr>
        <w:lastRenderedPageBreak/>
        <w:tab/>
        <w:t>« </w:t>
      </w:r>
      <w:r w:rsidR="00D3292A" w:rsidRPr="00A576AD">
        <w:rPr>
          <w:lang w:val="fr-CH"/>
        </w:rPr>
        <w:t>7.5.1.2</w:t>
      </w:r>
      <w:r w:rsidR="00D3292A" w:rsidRPr="00A576AD">
        <w:rPr>
          <w:lang w:val="fr-CH"/>
        </w:rPr>
        <w:tab/>
        <w:t>Sauf prescription contraire de l’ADR, le chargement ne doit pas être effectué s’il s’avère</w:t>
      </w:r>
      <w:r w:rsidR="006B5F56" w:rsidRPr="00A576AD">
        <w:rPr>
          <w:lang w:val="fr-CH"/>
        </w:rPr>
        <w:t> :</w:t>
      </w:r>
      <w:r w:rsidR="00D3292A" w:rsidRPr="00A576AD">
        <w:rPr>
          <w:lang w:val="fr-CH"/>
        </w:rPr>
        <w:t xml:space="preserve"> </w:t>
      </w:r>
    </w:p>
    <w:p w:rsidR="00D3292A" w:rsidRPr="00A576AD" w:rsidRDefault="00CA33C3" w:rsidP="00D3292A">
      <w:pPr>
        <w:pStyle w:val="SingleTxt"/>
        <w:rPr>
          <w:lang w:val="fr-CH"/>
        </w:rPr>
      </w:pPr>
      <w:r w:rsidRPr="00A576AD">
        <w:rPr>
          <w:lang w:val="fr-CH"/>
        </w:rPr>
        <w:tab/>
        <w:t>–</w:t>
      </w:r>
      <w:r w:rsidRPr="00A576AD">
        <w:rPr>
          <w:lang w:val="fr-CH"/>
        </w:rPr>
        <w:tab/>
        <w:t xml:space="preserve">Par </w:t>
      </w:r>
      <w:r w:rsidR="00D3292A" w:rsidRPr="00A576AD">
        <w:rPr>
          <w:lang w:val="fr-CH"/>
        </w:rPr>
        <w:t xml:space="preserve">un contrôle des documents; ou </w:t>
      </w:r>
    </w:p>
    <w:p w:rsidR="00D3292A" w:rsidRPr="00A576AD" w:rsidRDefault="00CA33C3" w:rsidP="00C1706C">
      <w:pPr>
        <w:pStyle w:val="SingleTxt"/>
        <w:ind w:left="2218" w:hanging="951"/>
        <w:rPr>
          <w:lang w:val="fr-CH"/>
        </w:rPr>
      </w:pPr>
      <w:r w:rsidRPr="00A576AD">
        <w:rPr>
          <w:lang w:val="fr-CH"/>
        </w:rPr>
        <w:tab/>
        <w:t>–</w:t>
      </w:r>
      <w:r w:rsidRPr="00A576AD">
        <w:rPr>
          <w:lang w:val="fr-CH"/>
        </w:rPr>
        <w:tab/>
        <w:t xml:space="preserve">Par </w:t>
      </w:r>
      <w:r w:rsidR="00D3292A" w:rsidRPr="00A576AD">
        <w:rPr>
          <w:lang w:val="fr-CH"/>
        </w:rPr>
        <w:t xml:space="preserve">un examen visuel du véhicule ou, le cas échéant, du ou des </w:t>
      </w:r>
      <w:r w:rsidR="00D3292A" w:rsidRPr="00A576AD">
        <w:rPr>
          <w:strike/>
          <w:highlight w:val="lightGray"/>
          <w:lang w:val="fr-CH"/>
        </w:rPr>
        <w:t>grands</w:t>
      </w:r>
      <w:r w:rsidR="00D3292A" w:rsidRPr="00A576AD">
        <w:rPr>
          <w:lang w:val="fr-CH"/>
        </w:rPr>
        <w:t xml:space="preserve"> conteneurs, conteneurs pour vrac, </w:t>
      </w:r>
      <w:r w:rsidR="00D3292A" w:rsidRPr="00A576AD">
        <w:rPr>
          <w:i/>
          <w:highlight w:val="lightGray"/>
          <w:lang w:val="fr-CH"/>
        </w:rPr>
        <w:t>CGEM</w:t>
      </w:r>
      <w:r w:rsidR="00D3292A" w:rsidRPr="00A576AD">
        <w:rPr>
          <w:lang w:val="fr-CH"/>
        </w:rPr>
        <w:t xml:space="preserve">, conteneurs-citernes ou citernes mobiles, ainsi que de leurs équipements utilisés lors du chargement et du déchargement, </w:t>
      </w:r>
    </w:p>
    <w:p w:rsidR="00D3292A" w:rsidRPr="00A576AD" w:rsidRDefault="00CA33C3" w:rsidP="00CA33C3">
      <w:pPr>
        <w:pStyle w:val="SingleTxt"/>
        <w:ind w:left="1742" w:hanging="475"/>
        <w:rPr>
          <w:lang w:val="fr-CH"/>
        </w:rPr>
      </w:pPr>
      <w:r w:rsidRPr="00A576AD">
        <w:rPr>
          <w:lang w:val="fr-CH"/>
        </w:rPr>
        <w:tab/>
      </w:r>
      <w:proofErr w:type="gramStart"/>
      <w:r w:rsidR="00D3292A" w:rsidRPr="00A576AD">
        <w:rPr>
          <w:lang w:val="fr-CH"/>
        </w:rPr>
        <w:t>que</w:t>
      </w:r>
      <w:proofErr w:type="gramEnd"/>
      <w:r w:rsidR="00D3292A" w:rsidRPr="00A576AD">
        <w:rPr>
          <w:lang w:val="fr-CH"/>
        </w:rPr>
        <w:t xml:space="preserve"> le véhicule, le conducteur, un </w:t>
      </w:r>
      <w:r w:rsidR="00D3292A" w:rsidRPr="00A576AD">
        <w:rPr>
          <w:strike/>
          <w:highlight w:val="lightGray"/>
          <w:lang w:val="fr-CH"/>
        </w:rPr>
        <w:t>grand</w:t>
      </w:r>
      <w:r w:rsidR="00D3292A" w:rsidRPr="00A576AD">
        <w:rPr>
          <w:lang w:val="fr-CH"/>
        </w:rPr>
        <w:t xml:space="preserve"> conteneur, un conteneur pour vrac, un conteneur-citerne, </w:t>
      </w:r>
      <w:r w:rsidR="00D3292A" w:rsidRPr="00A576AD">
        <w:rPr>
          <w:i/>
          <w:highlight w:val="lightGray"/>
          <w:lang w:val="fr-CH"/>
        </w:rPr>
        <w:t>un CGEM</w:t>
      </w:r>
      <w:r w:rsidR="00D3292A" w:rsidRPr="00A576AD">
        <w:rPr>
          <w:lang w:val="fr-CH"/>
        </w:rPr>
        <w:t xml:space="preserve">, une citerne mobile, ou leurs équipements utilisés lors du chargement et du déchargement ne satisfont pas aux dispositions réglementaires. </w:t>
      </w:r>
    </w:p>
    <w:p w:rsidR="00D3292A" w:rsidRPr="00A576AD" w:rsidRDefault="00CA33C3" w:rsidP="00CA33C3">
      <w:pPr>
        <w:pStyle w:val="SingleTxt"/>
        <w:ind w:left="1742" w:hanging="475"/>
        <w:rPr>
          <w:lang w:val="fr-CH"/>
        </w:rPr>
      </w:pPr>
      <w:r w:rsidRPr="00A576AD">
        <w:rPr>
          <w:lang w:val="fr-CH"/>
        </w:rPr>
        <w:tab/>
      </w:r>
      <w:r w:rsidR="00D3292A" w:rsidRPr="00A576AD">
        <w:rPr>
          <w:lang w:val="fr-CH"/>
        </w:rPr>
        <w:t>L’intérieur et l’extérieur d’un wagon ou d’un conteneur doivent être inspectés avant le chargement, afin de s’assurer de l’absence de tout dommage susceptible d’affecter son intégrité ou celle des colis devant y être chargés.</w:t>
      </w:r>
      <w:r w:rsidR="006B5F56" w:rsidRPr="00A576AD">
        <w:rPr>
          <w:lang w:val="fr-CH"/>
        </w:rPr>
        <w:t> »</w:t>
      </w:r>
      <w:r w:rsidR="00D3292A" w:rsidRPr="00A576AD">
        <w:rPr>
          <w:lang w:val="fr-CH"/>
        </w:rPr>
        <w:t>.</w:t>
      </w: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Dans la section 7.5.1 de l’ADR, supprimer le Nota après le titre</w:t>
      </w:r>
      <w:r w:rsidR="006B5F56" w:rsidRPr="00A576AD">
        <w:rPr>
          <w:lang w:val="fr-CH"/>
        </w:rPr>
        <w:t> :</w:t>
      </w:r>
    </w:p>
    <w:p w:rsidR="00D3292A" w:rsidRPr="00A576AD" w:rsidRDefault="00CA33C3" w:rsidP="00CA33C3">
      <w:pPr>
        <w:pStyle w:val="SingleTxt"/>
        <w:ind w:left="1742" w:hanging="475"/>
        <w:rPr>
          <w:lang w:val="fr-CH"/>
        </w:rPr>
      </w:pPr>
      <w:r w:rsidRPr="00A576AD">
        <w:rPr>
          <w:i/>
          <w:lang w:val="fr-CH"/>
        </w:rPr>
        <w:tab/>
      </w:r>
      <w:r w:rsidRPr="00A576AD">
        <w:rPr>
          <w:lang w:val="fr-CH"/>
        </w:rPr>
        <w:t>«</w:t>
      </w:r>
      <w:r w:rsidRPr="00A576AD">
        <w:rPr>
          <w:i/>
          <w:lang w:val="fr-CH"/>
        </w:rPr>
        <w:t> </w:t>
      </w:r>
      <w:r w:rsidR="00D3292A" w:rsidRPr="00A576AD">
        <w:rPr>
          <w:strike/>
          <w:highlight w:val="lightGray"/>
          <w:lang w:val="fr-CH"/>
        </w:rPr>
        <w:t>[</w:t>
      </w:r>
      <w:r w:rsidR="00D3292A" w:rsidRPr="00A576AD">
        <w:rPr>
          <w:b/>
          <w:i/>
          <w:strike/>
          <w:highlight w:val="lightGray"/>
          <w:lang w:val="fr-CH"/>
        </w:rPr>
        <w:t>NOTA</w:t>
      </w:r>
      <w:r w:rsidR="006B5F56" w:rsidRPr="00A576AD">
        <w:rPr>
          <w:b/>
          <w:i/>
          <w:strike/>
          <w:highlight w:val="lightGray"/>
          <w:lang w:val="fr-CH"/>
        </w:rPr>
        <w:t> </w:t>
      </w:r>
      <w:r w:rsidR="006B5F56" w:rsidRPr="00A576AD">
        <w:rPr>
          <w:i/>
          <w:strike/>
          <w:highlight w:val="lightGray"/>
          <w:lang w:val="fr-CH"/>
        </w:rPr>
        <w:t>:</w:t>
      </w:r>
      <w:r w:rsidR="00D3292A" w:rsidRPr="00A576AD">
        <w:rPr>
          <w:i/>
          <w:strike/>
          <w:highlight w:val="lightGray"/>
          <w:lang w:val="fr-CH"/>
        </w:rPr>
        <w:t xml:space="preserve"> Au sens de la présente section, le fait de placer un conteneur, un conteneur pour vrac, un conteneur-citerne ou une citerne mobile sur un véhicule est considéré comme chargement et le fait de l’enlever est considéré comme déchargement.</w:t>
      </w:r>
      <w:r w:rsidRPr="00A576AD">
        <w:rPr>
          <w:strike/>
          <w:lang w:val="fr-CH"/>
        </w:rPr>
        <w:t> </w:t>
      </w:r>
      <w:r w:rsidRPr="00A576AD">
        <w:rPr>
          <w:lang w:val="fr-CH"/>
        </w:rPr>
        <w:t>»</w:t>
      </w:r>
      <w:r w:rsidR="00D3292A" w:rsidRPr="00A576AD">
        <w:rPr>
          <w:lang w:val="fr-CH"/>
        </w:rPr>
        <w:t>.</w:t>
      </w:r>
    </w:p>
    <w:p w:rsidR="00D3292A" w:rsidRPr="00A576AD" w:rsidRDefault="00CA33C3" w:rsidP="00D3292A">
      <w:pPr>
        <w:pStyle w:val="SingleTxt"/>
        <w:rPr>
          <w:lang w:val="fr-CH"/>
        </w:rPr>
      </w:pPr>
      <w:r w:rsidRPr="00A576AD">
        <w:rPr>
          <w:lang w:val="fr-CH"/>
        </w:rPr>
        <w:tab/>
      </w:r>
      <w:r w:rsidR="00D3292A" w:rsidRPr="00A576AD">
        <w:rPr>
          <w:lang w:val="fr-CH"/>
        </w:rPr>
        <w:t xml:space="preserve">Modifier </w:t>
      </w:r>
      <w:proofErr w:type="gramStart"/>
      <w:r w:rsidR="00D3292A" w:rsidRPr="00A576AD">
        <w:rPr>
          <w:lang w:val="fr-CH"/>
        </w:rPr>
        <w:t>les paragraphe</w:t>
      </w:r>
      <w:proofErr w:type="gramEnd"/>
      <w:r w:rsidR="00D3292A" w:rsidRPr="00A576AD">
        <w:rPr>
          <w:lang w:val="fr-CH"/>
        </w:rPr>
        <w:t xml:space="preserve"> 7.5.1.1 et 7.5.1.2 de l’ADR comme suit</w:t>
      </w:r>
      <w:r w:rsidR="006B5F56" w:rsidRPr="00A576AD">
        <w:rPr>
          <w:lang w:val="fr-CH"/>
        </w:rPr>
        <w:t> :</w:t>
      </w:r>
    </w:p>
    <w:p w:rsidR="00D3292A" w:rsidRPr="00A576AD" w:rsidRDefault="00CA33C3" w:rsidP="00CA33C3">
      <w:pPr>
        <w:pStyle w:val="SingleTxt"/>
        <w:ind w:left="1742" w:hanging="475"/>
        <w:rPr>
          <w:spacing w:val="2"/>
          <w:w w:val="101"/>
          <w:lang w:val="fr-CH"/>
        </w:rPr>
      </w:pPr>
      <w:r w:rsidRPr="00A576AD">
        <w:rPr>
          <w:spacing w:val="2"/>
          <w:w w:val="101"/>
          <w:lang w:val="fr-CH"/>
        </w:rPr>
        <w:tab/>
        <w:t>« </w:t>
      </w:r>
      <w:r w:rsidR="00D3292A" w:rsidRPr="00A576AD">
        <w:rPr>
          <w:spacing w:val="2"/>
          <w:w w:val="101"/>
          <w:lang w:val="fr-CH"/>
        </w:rPr>
        <w:t>7.5.1.1</w:t>
      </w:r>
      <w:r w:rsidR="00D3292A" w:rsidRPr="00A576AD">
        <w:rPr>
          <w:spacing w:val="2"/>
          <w:w w:val="101"/>
          <w:lang w:val="fr-CH"/>
        </w:rPr>
        <w:tab/>
        <w:t xml:space="preserve">À l’arrivée sur les lieux de chargement et de déchargement, ce qui comprend les terminaux pour conteneurs, le véhicule et son conducteur, ainsi que, le cas échéant, le ou les </w:t>
      </w:r>
      <w:r w:rsidR="00D3292A" w:rsidRPr="00A576AD">
        <w:rPr>
          <w:strike/>
          <w:spacing w:val="2"/>
          <w:w w:val="101"/>
          <w:highlight w:val="lightGray"/>
          <w:lang w:val="fr-CH"/>
        </w:rPr>
        <w:t>grands</w:t>
      </w:r>
      <w:r w:rsidR="00D3292A" w:rsidRPr="00A576AD">
        <w:rPr>
          <w:spacing w:val="2"/>
          <w:w w:val="101"/>
          <w:lang w:val="fr-CH"/>
        </w:rPr>
        <w:t xml:space="preserve"> conteneurs, conteneurs pour vrac, </w:t>
      </w:r>
      <w:r w:rsidR="00D3292A" w:rsidRPr="00A576AD">
        <w:rPr>
          <w:i/>
          <w:spacing w:val="2"/>
          <w:w w:val="101"/>
          <w:highlight w:val="lightGray"/>
          <w:lang w:val="fr-CH"/>
        </w:rPr>
        <w:t>CGEM</w:t>
      </w:r>
      <w:r w:rsidR="00D3292A" w:rsidRPr="00A576AD">
        <w:rPr>
          <w:spacing w:val="2"/>
          <w:w w:val="101"/>
          <w:lang w:val="fr-CH"/>
        </w:rPr>
        <w:t xml:space="preserve">, conteneurs-citernes ou citernes mobiles, doivent satisfaire aux dispositions réglementaires (notamment en ce qui concerne la sécurité, la sûreté, la propreté et le bon fonctionnement des équipements utilisés lors du chargement et du déchargement). </w:t>
      </w:r>
    </w:p>
    <w:p w:rsidR="00D3292A" w:rsidRPr="00A576AD" w:rsidRDefault="00CA33C3" w:rsidP="00CA33C3">
      <w:pPr>
        <w:pStyle w:val="SingleTxt"/>
        <w:ind w:left="1742" w:hanging="475"/>
        <w:rPr>
          <w:lang w:val="fr-CH"/>
        </w:rPr>
      </w:pPr>
      <w:r w:rsidRPr="00A576AD">
        <w:rPr>
          <w:lang w:val="fr-CH"/>
        </w:rPr>
        <w:tab/>
      </w:r>
      <w:r w:rsidR="00D3292A" w:rsidRPr="00A576AD">
        <w:rPr>
          <w:lang w:val="fr-CH"/>
        </w:rPr>
        <w:t>7.5.1.2</w:t>
      </w:r>
      <w:r w:rsidR="00D3292A" w:rsidRPr="00A576AD">
        <w:rPr>
          <w:lang w:val="fr-CH"/>
        </w:rPr>
        <w:tab/>
        <w:t xml:space="preserve"> Sauf prescription contraire du RID, le chargement ne doit pas être effectué s’il s’avère</w:t>
      </w:r>
      <w:r w:rsidR="006B5F56" w:rsidRPr="00A576AD">
        <w:rPr>
          <w:lang w:val="fr-CH"/>
        </w:rPr>
        <w:t> :</w:t>
      </w:r>
    </w:p>
    <w:p w:rsidR="00D3292A" w:rsidRPr="00A576AD" w:rsidRDefault="00CA33C3" w:rsidP="00D3292A">
      <w:pPr>
        <w:pStyle w:val="SingleTxt"/>
        <w:rPr>
          <w:lang w:val="fr-CH"/>
        </w:rPr>
      </w:pPr>
      <w:r w:rsidRPr="00A576AD">
        <w:rPr>
          <w:lang w:val="fr-CH"/>
        </w:rPr>
        <w:tab/>
      </w:r>
      <w:r w:rsidR="00D3292A" w:rsidRPr="00A576AD">
        <w:rPr>
          <w:lang w:val="fr-CH"/>
        </w:rPr>
        <w:t>a)</w:t>
      </w:r>
      <w:r w:rsidR="00D3292A" w:rsidRPr="00A576AD">
        <w:rPr>
          <w:lang w:val="fr-CH"/>
        </w:rPr>
        <w:tab/>
      </w:r>
      <w:r w:rsidRPr="00A576AD">
        <w:rPr>
          <w:lang w:val="fr-CH"/>
        </w:rPr>
        <w:t xml:space="preserve">Par </w:t>
      </w:r>
      <w:r w:rsidR="00D3292A" w:rsidRPr="00A576AD">
        <w:rPr>
          <w:lang w:val="fr-CH"/>
        </w:rPr>
        <w:t xml:space="preserve">un contrôle des documents, ou </w:t>
      </w:r>
    </w:p>
    <w:p w:rsidR="00D3292A" w:rsidRPr="00A576AD" w:rsidRDefault="00CA33C3" w:rsidP="00CA33C3">
      <w:pPr>
        <w:pStyle w:val="SingleTxt"/>
        <w:ind w:left="1742" w:hanging="475"/>
        <w:rPr>
          <w:lang w:val="fr-CH"/>
        </w:rPr>
      </w:pPr>
      <w:r w:rsidRPr="00A576AD">
        <w:rPr>
          <w:lang w:val="fr-CH"/>
        </w:rPr>
        <w:tab/>
      </w:r>
      <w:r w:rsidR="00D3292A" w:rsidRPr="00A576AD">
        <w:rPr>
          <w:lang w:val="fr-CH"/>
        </w:rPr>
        <w:t>b)</w:t>
      </w:r>
      <w:r w:rsidR="00D3292A" w:rsidRPr="00A576AD">
        <w:rPr>
          <w:lang w:val="fr-CH"/>
        </w:rPr>
        <w:tab/>
      </w:r>
      <w:r w:rsidRPr="00A576AD">
        <w:rPr>
          <w:lang w:val="fr-CH"/>
        </w:rPr>
        <w:t xml:space="preserve">Par </w:t>
      </w:r>
      <w:r w:rsidR="00D3292A" w:rsidRPr="00A576AD">
        <w:rPr>
          <w:lang w:val="fr-CH"/>
        </w:rPr>
        <w:t xml:space="preserve">un examen visuel du wagon ou, le cas échéant, du ou des </w:t>
      </w:r>
      <w:r w:rsidR="00D3292A" w:rsidRPr="00A576AD">
        <w:rPr>
          <w:strike/>
          <w:highlight w:val="lightGray"/>
          <w:lang w:val="fr-CH"/>
        </w:rPr>
        <w:t>grands</w:t>
      </w:r>
      <w:r w:rsidR="00D3292A" w:rsidRPr="00A576AD">
        <w:rPr>
          <w:lang w:val="fr-CH"/>
        </w:rPr>
        <w:t xml:space="preserve"> conteneurs, conteneurs pour vrac, </w:t>
      </w:r>
      <w:r w:rsidR="00D3292A" w:rsidRPr="00A576AD">
        <w:rPr>
          <w:i/>
          <w:highlight w:val="lightGray"/>
          <w:lang w:val="fr-CH"/>
        </w:rPr>
        <w:t>CGEM</w:t>
      </w:r>
      <w:r w:rsidR="00D3292A" w:rsidRPr="00A576AD">
        <w:rPr>
          <w:lang w:val="fr-CH"/>
        </w:rPr>
        <w:t xml:space="preserve">, conteneurs-citernes ou citernes mobiles, ainsi que de leurs équipements utilisés lors du chargement et du déchargement, </w:t>
      </w:r>
    </w:p>
    <w:p w:rsidR="00D3292A" w:rsidRPr="00A576AD" w:rsidRDefault="00CA33C3" w:rsidP="00CA33C3">
      <w:pPr>
        <w:pStyle w:val="SingleTxt"/>
        <w:ind w:left="1742" w:hanging="475"/>
        <w:rPr>
          <w:spacing w:val="2"/>
          <w:w w:val="102"/>
          <w:lang w:val="fr-CH"/>
        </w:rPr>
      </w:pPr>
      <w:r w:rsidRPr="00A576AD">
        <w:rPr>
          <w:spacing w:val="2"/>
          <w:w w:val="102"/>
          <w:lang w:val="fr-CH"/>
        </w:rPr>
        <w:tab/>
      </w:r>
      <w:proofErr w:type="gramStart"/>
      <w:r w:rsidR="00D3292A" w:rsidRPr="00A576AD">
        <w:rPr>
          <w:spacing w:val="2"/>
          <w:w w:val="102"/>
          <w:lang w:val="fr-CH"/>
        </w:rPr>
        <w:t>que</w:t>
      </w:r>
      <w:proofErr w:type="gramEnd"/>
      <w:r w:rsidR="00D3292A" w:rsidRPr="00A576AD">
        <w:rPr>
          <w:spacing w:val="2"/>
          <w:w w:val="102"/>
          <w:lang w:val="fr-CH"/>
        </w:rPr>
        <w:t xml:space="preserve"> le véhicule, le conducteur, un </w:t>
      </w:r>
      <w:r w:rsidR="00D3292A" w:rsidRPr="00A576AD">
        <w:rPr>
          <w:strike/>
          <w:spacing w:val="2"/>
          <w:w w:val="102"/>
          <w:highlight w:val="lightGray"/>
          <w:lang w:val="fr-CH"/>
        </w:rPr>
        <w:t>grand</w:t>
      </w:r>
      <w:r w:rsidR="00D3292A" w:rsidRPr="00A576AD">
        <w:rPr>
          <w:spacing w:val="2"/>
          <w:w w:val="102"/>
          <w:lang w:val="fr-CH"/>
        </w:rPr>
        <w:t xml:space="preserve"> conteneur, un conteneur pour vrac, un conteneur-citerne, </w:t>
      </w:r>
      <w:r w:rsidR="00D3292A" w:rsidRPr="00A576AD">
        <w:rPr>
          <w:i/>
          <w:spacing w:val="2"/>
          <w:w w:val="102"/>
          <w:highlight w:val="lightGray"/>
          <w:lang w:val="fr-CH"/>
        </w:rPr>
        <w:t>un CGEM</w:t>
      </w:r>
      <w:r w:rsidR="00D3292A" w:rsidRPr="00A576AD">
        <w:rPr>
          <w:spacing w:val="2"/>
          <w:w w:val="102"/>
          <w:lang w:val="fr-CH"/>
        </w:rPr>
        <w:t>, une citerne mobile, ou leurs équipements utilisés lors du chargement et du déchargement ne satisfont pas aux dispositions réglementaires. L’intérieur et l’extérieur d’un véhicule ou d’un conteneur doivent être inspectés avant le chargement, afin de s’assurer de l’absence de tout dommage susceptible d’affecter son intégrité ou celle des colis devant y être chargés.</w:t>
      </w:r>
      <w:r w:rsidRPr="00A576AD">
        <w:rPr>
          <w:spacing w:val="2"/>
          <w:w w:val="102"/>
          <w:lang w:val="fr-CH"/>
        </w:rPr>
        <w:t> »</w:t>
      </w:r>
      <w:r w:rsidR="00D3292A" w:rsidRPr="00A576AD">
        <w:rPr>
          <w:spacing w:val="2"/>
          <w:w w:val="102"/>
          <w:lang w:val="fr-CH"/>
        </w:rPr>
        <w:t>.</w:t>
      </w:r>
    </w:p>
    <w:p w:rsidR="00327A2C" w:rsidRPr="00A576AD" w:rsidRDefault="00327A2C" w:rsidP="00327A2C">
      <w:pPr>
        <w:pStyle w:val="SingleTxt"/>
        <w:spacing w:after="0" w:line="120" w:lineRule="exact"/>
        <w:rPr>
          <w:sz w:val="10"/>
          <w:lang w:val="fr-CH"/>
        </w:rPr>
      </w:pPr>
    </w:p>
    <w:p w:rsidR="00327A2C" w:rsidRPr="00A576AD" w:rsidRDefault="00327A2C" w:rsidP="00327A2C">
      <w:pPr>
        <w:pStyle w:val="SingleTxt"/>
        <w:spacing w:after="0" w:line="120" w:lineRule="exact"/>
        <w:rPr>
          <w:sz w:val="10"/>
          <w:lang w:val="fr-CH"/>
        </w:rPr>
      </w:pPr>
    </w:p>
    <w:p w:rsidR="00D3292A" w:rsidRPr="00A576AD" w:rsidRDefault="00D3292A" w:rsidP="00327A2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576AD">
        <w:rPr>
          <w:lang w:val="fr-CH"/>
        </w:rPr>
        <w:tab/>
      </w:r>
      <w:r w:rsidRPr="00A576AD">
        <w:rPr>
          <w:lang w:val="fr-CH"/>
        </w:rPr>
        <w:tab/>
        <w:t xml:space="preserve">Proposition 4 Modifications corollaires (facultative) </w:t>
      </w:r>
    </w:p>
    <w:p w:rsidR="00327A2C" w:rsidRPr="00A576AD" w:rsidRDefault="00327A2C" w:rsidP="00327A2C">
      <w:pPr>
        <w:pStyle w:val="SingleTxt"/>
        <w:spacing w:after="0" w:line="120" w:lineRule="exact"/>
        <w:rPr>
          <w:sz w:val="10"/>
          <w:lang w:val="fr-CH"/>
        </w:rPr>
      </w:pPr>
    </w:p>
    <w:p w:rsidR="00327A2C" w:rsidRPr="00A576AD" w:rsidRDefault="00327A2C" w:rsidP="00327A2C">
      <w:pPr>
        <w:pStyle w:val="SingleTxt"/>
        <w:spacing w:after="0" w:line="120" w:lineRule="exact"/>
        <w:rPr>
          <w:sz w:val="10"/>
          <w:lang w:val="fr-CH"/>
        </w:rPr>
      </w:pP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Modifier les définitions de la section 1.2.1 du RID/ADR comme suit</w:t>
      </w:r>
      <w:r w:rsidR="006B5F56" w:rsidRPr="00A576AD">
        <w:rPr>
          <w:lang w:val="fr-CH"/>
        </w:rPr>
        <w:t> :</w:t>
      </w:r>
      <w:r w:rsidRPr="00A576AD">
        <w:rPr>
          <w:lang w:val="fr-CH"/>
        </w:rPr>
        <w:t xml:space="preserve"> </w:t>
      </w:r>
    </w:p>
    <w:p w:rsidR="00D3292A" w:rsidRPr="00A576AD" w:rsidRDefault="00CA33C3" w:rsidP="00D3292A">
      <w:pPr>
        <w:pStyle w:val="SingleTxt"/>
        <w:rPr>
          <w:lang w:val="fr-CH"/>
        </w:rPr>
      </w:pPr>
      <w:r w:rsidRPr="00A576AD">
        <w:rPr>
          <w:lang w:val="fr-CH"/>
        </w:rPr>
        <w:tab/>
        <w:t>«</w:t>
      </w:r>
      <w:r w:rsidRPr="00A576AD">
        <w:rPr>
          <w:i/>
          <w:lang w:val="fr-CH"/>
        </w:rPr>
        <w:t> </w:t>
      </w:r>
      <w:r w:rsidR="00D3292A" w:rsidRPr="00A576AD">
        <w:rPr>
          <w:i/>
          <w:lang w:val="fr-CH"/>
        </w:rPr>
        <w:t>Remplisseur</w:t>
      </w:r>
      <w:r w:rsidRPr="00A576AD">
        <w:rPr>
          <w:i/>
          <w:lang w:val="fr-CH"/>
        </w:rPr>
        <w:t> </w:t>
      </w:r>
      <w:r w:rsidRPr="00A576AD">
        <w:rPr>
          <w:lang w:val="fr-CH"/>
        </w:rPr>
        <w:t>»</w:t>
      </w:r>
      <w:r w:rsidR="00D3292A" w:rsidRPr="006A0178">
        <w:rPr>
          <w:lang w:val="fr-CH"/>
        </w:rPr>
        <w:t>,</w:t>
      </w:r>
      <w:r w:rsidR="00D3292A" w:rsidRPr="00A576AD">
        <w:rPr>
          <w:i/>
          <w:lang w:val="fr-CH"/>
        </w:rPr>
        <w:t xml:space="preserve"> </w:t>
      </w:r>
      <w:r w:rsidR="00D3292A" w:rsidRPr="00A576AD">
        <w:rPr>
          <w:lang w:val="fr-CH"/>
        </w:rPr>
        <w:t>(modification sans objet en français).</w:t>
      </w:r>
    </w:p>
    <w:p w:rsidR="00D3292A" w:rsidRPr="00A576AD" w:rsidRDefault="00CA33C3" w:rsidP="00CA33C3">
      <w:pPr>
        <w:pStyle w:val="SingleTxt"/>
        <w:ind w:left="1742" w:hanging="475"/>
        <w:rPr>
          <w:lang w:val="fr-CH"/>
        </w:rPr>
      </w:pPr>
      <w:r w:rsidRPr="00A576AD">
        <w:rPr>
          <w:lang w:val="fr-CH"/>
        </w:rPr>
        <w:tab/>
        <w:t>« </w:t>
      </w:r>
      <w:r w:rsidR="00D3292A" w:rsidRPr="00A576AD">
        <w:rPr>
          <w:lang w:val="fr-CH"/>
        </w:rPr>
        <w:t>Citerne à déchets opérant sous vide</w:t>
      </w:r>
      <w:r w:rsidRPr="00A576AD">
        <w:rPr>
          <w:lang w:val="fr-CH"/>
        </w:rPr>
        <w:t> »</w:t>
      </w:r>
      <w:r w:rsidR="00D3292A" w:rsidRPr="00A576AD">
        <w:rPr>
          <w:lang w:val="fr-CH"/>
        </w:rPr>
        <w:t xml:space="preserve">, une citerne fixe, une citerne démontable, un conteneur-citerne ou une caisse mobile citerne principalement utilisée pour le transport de déchets dangereux, construite ou équipée de manière spéciale pour </w:t>
      </w:r>
      <w:r w:rsidR="00D3292A" w:rsidRPr="00A576AD">
        <w:rPr>
          <w:lang w:val="fr-CH"/>
        </w:rPr>
        <w:lastRenderedPageBreak/>
        <w:t xml:space="preserve">faciliter le </w:t>
      </w:r>
      <w:r w:rsidR="00D3292A" w:rsidRPr="00A576AD">
        <w:rPr>
          <w:i/>
          <w:highlight w:val="lightGray"/>
          <w:lang w:val="fr-CH"/>
        </w:rPr>
        <w:t>remplissage</w:t>
      </w:r>
      <w:r w:rsidR="00D3292A" w:rsidRPr="00A576AD">
        <w:rPr>
          <w:lang w:val="fr-CH"/>
        </w:rPr>
        <w:t xml:space="preserve"> </w:t>
      </w:r>
      <w:r w:rsidR="00D3292A" w:rsidRPr="00A576AD">
        <w:rPr>
          <w:strike/>
          <w:highlight w:val="lightGray"/>
          <w:lang w:val="fr-CH"/>
        </w:rPr>
        <w:t>chargement</w:t>
      </w:r>
      <w:r w:rsidR="00D3292A" w:rsidRPr="00A576AD">
        <w:rPr>
          <w:lang w:val="fr-CH"/>
        </w:rPr>
        <w:t xml:space="preserve"> et </w:t>
      </w:r>
      <w:r w:rsidR="00D3292A" w:rsidRPr="00A576AD">
        <w:rPr>
          <w:i/>
          <w:highlight w:val="lightGray"/>
          <w:lang w:val="fr-CH"/>
        </w:rPr>
        <w:t>la vidange</w:t>
      </w:r>
      <w:r w:rsidR="00D3292A" w:rsidRPr="00A576AD">
        <w:rPr>
          <w:lang w:val="fr-CH"/>
        </w:rPr>
        <w:t xml:space="preserve"> </w:t>
      </w:r>
      <w:r w:rsidR="00D3292A" w:rsidRPr="00A576AD">
        <w:rPr>
          <w:strike/>
          <w:highlight w:val="lightGray"/>
          <w:lang w:val="fr-CH"/>
        </w:rPr>
        <w:t>le déchargement</w:t>
      </w:r>
      <w:r w:rsidR="00D3292A" w:rsidRPr="00A576AD">
        <w:rPr>
          <w:lang w:val="fr-CH"/>
        </w:rPr>
        <w:t xml:space="preserve"> des déchets selon les prescriptions du chapitre 6.10. Une citerne qui satisfait intégralement aux prescriptions des chapitres 6.7 ou 6.8 n’est pas considérée comme citerne </w:t>
      </w:r>
      <w:r w:rsidR="00A72163">
        <w:rPr>
          <w:lang w:val="fr-CH"/>
        </w:rPr>
        <w:t>à</w:t>
      </w:r>
      <w:r w:rsidR="00D3292A" w:rsidRPr="00A576AD">
        <w:rPr>
          <w:lang w:val="fr-CH"/>
        </w:rPr>
        <w:t xml:space="preserve"> déchets opérant sous vide;</w:t>
      </w:r>
      <w:r w:rsidRPr="00A576AD">
        <w:rPr>
          <w:lang w:val="fr-CH"/>
        </w:rPr>
        <w:t> »</w:t>
      </w:r>
      <w:r w:rsidR="00D3292A" w:rsidRPr="00A576AD">
        <w:rPr>
          <w:lang w:val="fr-CH"/>
        </w:rPr>
        <w:t>.</w:t>
      </w: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Modifier le paragraphe 6.11.4.2 comme suit</w:t>
      </w:r>
      <w:r w:rsidR="006B5F56" w:rsidRPr="00A576AD">
        <w:rPr>
          <w:lang w:val="fr-CH"/>
        </w:rPr>
        <w:t> :</w:t>
      </w:r>
    </w:p>
    <w:p w:rsidR="00D3292A" w:rsidRPr="00A576AD" w:rsidRDefault="00CA33C3" w:rsidP="00CA33C3">
      <w:pPr>
        <w:pStyle w:val="SingleTxt"/>
        <w:ind w:left="1742" w:hanging="475"/>
        <w:rPr>
          <w:lang w:val="fr-CH"/>
        </w:rPr>
      </w:pPr>
      <w:r w:rsidRPr="00A576AD">
        <w:rPr>
          <w:lang w:val="fr-CH"/>
        </w:rPr>
        <w:tab/>
        <w:t>« </w:t>
      </w:r>
      <w:r w:rsidR="00D3292A" w:rsidRPr="00A576AD">
        <w:rPr>
          <w:lang w:val="fr-CH"/>
        </w:rPr>
        <w:t xml:space="preserve">6.11.4.2 </w:t>
      </w:r>
      <w:r w:rsidR="00D3292A" w:rsidRPr="00A576AD">
        <w:rPr>
          <w:lang w:val="fr-CH"/>
        </w:rPr>
        <w:tab/>
        <w:t xml:space="preserve">Les conteneurs pour vrac doivent être conçus et construits de manière à être suffisamment robustes pour résister aux chocs et </w:t>
      </w:r>
      <w:r w:rsidR="00D3292A" w:rsidRPr="00A576AD">
        <w:rPr>
          <w:i/>
          <w:highlight w:val="lightGray"/>
          <w:lang w:val="fr-CH"/>
        </w:rPr>
        <w:t>forces</w:t>
      </w:r>
      <w:r w:rsidR="00D3292A" w:rsidRPr="00A576AD">
        <w:rPr>
          <w:lang w:val="fr-CH"/>
        </w:rPr>
        <w:t xml:space="preserve"> </w:t>
      </w:r>
      <w:r w:rsidR="00D3292A" w:rsidRPr="00A576AD">
        <w:rPr>
          <w:strike/>
          <w:highlight w:val="lightGray"/>
          <w:lang w:val="fr-CH"/>
        </w:rPr>
        <w:t>efforts</w:t>
      </w:r>
      <w:r w:rsidR="00D3292A" w:rsidRPr="00A576AD">
        <w:rPr>
          <w:lang w:val="fr-CH"/>
        </w:rPr>
        <w:t xml:space="preserve"> normalement rencontrés au cours du transport, y compris, le cas échéant, lors du transbordement d’un moyen de transport à un autre.</w:t>
      </w:r>
      <w:r w:rsidRPr="00A576AD">
        <w:rPr>
          <w:lang w:val="fr-CH"/>
        </w:rPr>
        <w:t> »</w:t>
      </w:r>
      <w:r w:rsidR="00D3292A" w:rsidRPr="00A576AD">
        <w:rPr>
          <w:lang w:val="fr-CH"/>
        </w:rPr>
        <w:t>.</w:t>
      </w:r>
    </w:p>
    <w:p w:rsidR="00D3292A" w:rsidRPr="00A576AD" w:rsidRDefault="00D3292A" w:rsidP="00327A2C">
      <w:pPr>
        <w:pStyle w:val="SingleTxt"/>
        <w:numPr>
          <w:ilvl w:val="0"/>
          <w:numId w:val="8"/>
        </w:numPr>
        <w:tabs>
          <w:tab w:val="clear" w:pos="475"/>
          <w:tab w:val="num" w:pos="1742"/>
        </w:tabs>
        <w:ind w:left="1267"/>
        <w:rPr>
          <w:w w:val="102"/>
          <w:lang w:val="fr-CH"/>
        </w:rPr>
      </w:pPr>
      <w:r w:rsidRPr="00A576AD">
        <w:rPr>
          <w:w w:val="102"/>
          <w:lang w:val="fr-CH"/>
        </w:rPr>
        <w:t>Modifier la disposition supplémentaire AP4 au paragraphe 7.3.3.2.3 comme suit</w:t>
      </w:r>
      <w:r w:rsidR="006B5F56" w:rsidRPr="00A576AD">
        <w:rPr>
          <w:w w:val="102"/>
          <w:lang w:val="fr-CH"/>
        </w:rPr>
        <w:t> :</w:t>
      </w:r>
    </w:p>
    <w:p w:rsidR="00D3292A" w:rsidRPr="00A576AD" w:rsidRDefault="00CA33C3" w:rsidP="00CA33C3">
      <w:pPr>
        <w:pStyle w:val="SingleTxt"/>
        <w:ind w:left="1742" w:hanging="475"/>
        <w:rPr>
          <w:lang w:val="fr-CH"/>
        </w:rPr>
      </w:pPr>
      <w:r w:rsidRPr="00A576AD">
        <w:rPr>
          <w:lang w:val="fr-CH"/>
        </w:rPr>
        <w:tab/>
        <w:t>« </w:t>
      </w:r>
      <w:r w:rsidR="00D3292A" w:rsidRPr="00A576AD">
        <w:rPr>
          <w:lang w:val="fr-CH"/>
        </w:rPr>
        <w:t>AP4</w:t>
      </w:r>
      <w:r w:rsidR="006B5F56" w:rsidRPr="00A576AD">
        <w:rPr>
          <w:lang w:val="fr-CH"/>
        </w:rPr>
        <w:t> :</w:t>
      </w:r>
      <w:r w:rsidR="00D3292A" w:rsidRPr="00A576AD">
        <w:rPr>
          <w:lang w:val="fr-CH"/>
        </w:rPr>
        <w:t xml:space="preserve"> Les wagons/véhicules ouverts et les conteneurs fermés doivent être équipés d’ouvertures servant au </w:t>
      </w:r>
      <w:r w:rsidR="00D3292A" w:rsidRPr="00A576AD">
        <w:rPr>
          <w:strike/>
          <w:highlight w:val="lightGray"/>
          <w:lang w:val="fr-CH"/>
        </w:rPr>
        <w:t>chargement et au déchargement</w:t>
      </w:r>
      <w:r w:rsidR="00D3292A" w:rsidRPr="00A576AD">
        <w:rPr>
          <w:lang w:val="fr-CH"/>
        </w:rPr>
        <w:t xml:space="preserve"> </w:t>
      </w:r>
      <w:r w:rsidR="00D3292A" w:rsidRPr="00A576AD">
        <w:rPr>
          <w:i/>
          <w:highlight w:val="lightGray"/>
          <w:lang w:val="fr-CH"/>
        </w:rPr>
        <w:t>remplissage et à la vidange</w:t>
      </w:r>
      <w:r w:rsidR="00D3292A" w:rsidRPr="00A576AD">
        <w:rPr>
          <w:lang w:val="fr-CH"/>
        </w:rPr>
        <w:t xml:space="preserve"> pouvant être fermées de manière hermétique, afin d’empêcher toute fuite de gaz et d’éviter que de l’humidité pénètre à l’intérieur.</w:t>
      </w:r>
      <w:r w:rsidRPr="00A576AD">
        <w:rPr>
          <w:lang w:val="fr-CH"/>
        </w:rPr>
        <w:t> »</w:t>
      </w:r>
      <w:r w:rsidR="00D3292A" w:rsidRPr="00A576AD">
        <w:rPr>
          <w:lang w:val="fr-CH"/>
        </w:rPr>
        <w:t>.</w:t>
      </w:r>
    </w:p>
    <w:p w:rsidR="00D3292A" w:rsidRPr="00A576AD" w:rsidRDefault="00D3292A" w:rsidP="00327A2C">
      <w:pPr>
        <w:pStyle w:val="SingleTxt"/>
        <w:numPr>
          <w:ilvl w:val="0"/>
          <w:numId w:val="8"/>
        </w:numPr>
        <w:tabs>
          <w:tab w:val="clear" w:pos="475"/>
          <w:tab w:val="num" w:pos="1742"/>
        </w:tabs>
        <w:ind w:left="1267"/>
        <w:rPr>
          <w:lang w:val="fr-CH"/>
        </w:rPr>
      </w:pPr>
      <w:r w:rsidRPr="00A576AD">
        <w:rPr>
          <w:lang w:val="fr-CH"/>
        </w:rPr>
        <w:t>Modifier le paragraphe 7.5.7.4 de l’ADR comme suit</w:t>
      </w:r>
      <w:r w:rsidR="006B5F56" w:rsidRPr="00A576AD">
        <w:rPr>
          <w:lang w:val="fr-CH"/>
        </w:rPr>
        <w:t> :</w:t>
      </w:r>
    </w:p>
    <w:p w:rsidR="00D3292A" w:rsidRPr="00A576AD" w:rsidRDefault="00CA33C3" w:rsidP="00CA33C3">
      <w:pPr>
        <w:pStyle w:val="SingleTxt"/>
        <w:ind w:left="1742" w:hanging="475"/>
        <w:rPr>
          <w:lang w:val="fr-CH"/>
        </w:rPr>
      </w:pPr>
      <w:r w:rsidRPr="00A576AD">
        <w:rPr>
          <w:lang w:val="fr-CH"/>
        </w:rPr>
        <w:tab/>
        <w:t>« </w:t>
      </w:r>
      <w:r w:rsidR="00D3292A" w:rsidRPr="00A576AD">
        <w:rPr>
          <w:lang w:val="fr-CH"/>
        </w:rPr>
        <w:t xml:space="preserve">7.5.7.4 </w:t>
      </w:r>
      <w:r w:rsidR="00D3292A" w:rsidRPr="00A576AD">
        <w:rPr>
          <w:lang w:val="fr-CH"/>
        </w:rPr>
        <w:tab/>
        <w:t xml:space="preserve">Les dispositions du paragraphe 7.5.7.1 s’appliquent également au chargement et à l’arrimage des conteneurs, conteneurs-citernes, citernes mobiles et CGEM sur les véhicules ainsi qu’à leur </w:t>
      </w:r>
      <w:r w:rsidR="00D3292A" w:rsidRPr="00A576AD">
        <w:rPr>
          <w:strike/>
          <w:highlight w:val="lightGray"/>
          <w:lang w:val="fr-CH"/>
        </w:rPr>
        <w:t>déchargement</w:t>
      </w:r>
      <w:r w:rsidR="00D3292A" w:rsidRPr="00A576AD">
        <w:rPr>
          <w:lang w:val="fr-CH"/>
        </w:rPr>
        <w:t xml:space="preserve"> </w:t>
      </w:r>
      <w:r w:rsidR="00D3292A" w:rsidRPr="00A576AD">
        <w:rPr>
          <w:i/>
          <w:highlight w:val="lightGray"/>
          <w:lang w:val="fr-CH"/>
        </w:rPr>
        <w:t>enlèvement</w:t>
      </w:r>
      <w:r w:rsidR="00D3292A" w:rsidRPr="00A576AD">
        <w:rPr>
          <w:lang w:val="fr-CH"/>
        </w:rPr>
        <w:t>.</w:t>
      </w:r>
      <w:r w:rsidRPr="00A576AD">
        <w:rPr>
          <w:lang w:val="fr-CH"/>
        </w:rPr>
        <w:t> »</w:t>
      </w:r>
      <w:r w:rsidR="00D3292A" w:rsidRPr="00A576AD">
        <w:rPr>
          <w:lang w:val="fr-CH"/>
        </w:rPr>
        <w:t>.</w:t>
      </w:r>
    </w:p>
    <w:p w:rsidR="00D3292A" w:rsidRPr="00A576AD" w:rsidRDefault="00D3292A" w:rsidP="00327A2C">
      <w:pPr>
        <w:pStyle w:val="SingleTxt"/>
        <w:numPr>
          <w:ilvl w:val="0"/>
          <w:numId w:val="8"/>
        </w:numPr>
        <w:tabs>
          <w:tab w:val="clear" w:pos="475"/>
          <w:tab w:val="num" w:pos="1742"/>
        </w:tabs>
        <w:ind w:left="1267"/>
        <w:rPr>
          <w:w w:val="102"/>
          <w:lang w:val="fr-CH"/>
        </w:rPr>
      </w:pPr>
      <w:r w:rsidRPr="00A576AD">
        <w:rPr>
          <w:w w:val="102"/>
          <w:lang w:val="fr-CH"/>
        </w:rPr>
        <w:t xml:space="preserve">Comme les paragraphes suivants renvoient à des recommandations de l’ONU, les modifications proposées devraient d’abord être adoptées par le Sous-comité de l’ONU. </w:t>
      </w:r>
    </w:p>
    <w:p w:rsidR="00D3292A" w:rsidRPr="00A576AD" w:rsidRDefault="00D3292A" w:rsidP="00D3292A">
      <w:pPr>
        <w:pStyle w:val="SingleTxt"/>
        <w:rPr>
          <w:lang w:val="fr-CH"/>
        </w:rPr>
      </w:pPr>
      <w:r w:rsidRPr="00A576AD">
        <w:rPr>
          <w:lang w:val="fr-CH"/>
        </w:rPr>
        <w:t xml:space="preserve">Modifier les paragraphes suivants en remplaçant </w:t>
      </w:r>
      <w:r w:rsidR="006B5F56" w:rsidRPr="00A576AD">
        <w:rPr>
          <w:lang w:val="fr-CH"/>
        </w:rPr>
        <w:t>« </w:t>
      </w:r>
      <w:r w:rsidRPr="00A576AD">
        <w:rPr>
          <w:lang w:val="fr-CH"/>
        </w:rPr>
        <w:t>chargements</w:t>
      </w:r>
      <w:r w:rsidR="006B5F56" w:rsidRPr="00A576AD">
        <w:rPr>
          <w:lang w:val="fr-CH"/>
        </w:rPr>
        <w:t> »</w:t>
      </w:r>
      <w:r w:rsidRPr="00A576AD">
        <w:rPr>
          <w:lang w:val="fr-CH"/>
        </w:rPr>
        <w:t>/</w:t>
      </w:r>
      <w:r w:rsidR="006B5F56" w:rsidRPr="00A576AD">
        <w:rPr>
          <w:lang w:val="fr-CH"/>
        </w:rPr>
        <w:t>« </w:t>
      </w:r>
      <w:r w:rsidRPr="00A576AD">
        <w:rPr>
          <w:lang w:val="fr-CH"/>
        </w:rPr>
        <w:t>chargements</w:t>
      </w:r>
      <w:r w:rsidR="006B5F56" w:rsidRPr="00A576AD">
        <w:rPr>
          <w:lang w:val="fr-CH"/>
        </w:rPr>
        <w:t> »</w:t>
      </w:r>
      <w:r w:rsidRPr="00A576AD">
        <w:rPr>
          <w:lang w:val="fr-CH"/>
        </w:rPr>
        <w:t xml:space="preserve"> par </w:t>
      </w:r>
      <w:r w:rsidR="00CA33C3" w:rsidRPr="00A576AD">
        <w:rPr>
          <w:lang w:val="fr-CH"/>
        </w:rPr>
        <w:t>« </w:t>
      </w:r>
      <w:r w:rsidRPr="00A576AD">
        <w:rPr>
          <w:lang w:val="fr-CH"/>
        </w:rPr>
        <w:t>force</w:t>
      </w:r>
      <w:r w:rsidR="00CA33C3" w:rsidRPr="00A576AD">
        <w:rPr>
          <w:lang w:val="fr-CH"/>
        </w:rPr>
        <w:t> »</w:t>
      </w:r>
      <w:r w:rsidRPr="00A576AD">
        <w:rPr>
          <w:lang w:val="fr-CH"/>
        </w:rPr>
        <w:t>/</w:t>
      </w:r>
      <w:r w:rsidR="00CA33C3" w:rsidRPr="00A576AD">
        <w:rPr>
          <w:lang w:val="fr-CH"/>
        </w:rPr>
        <w:t>« </w:t>
      </w:r>
      <w:r w:rsidRPr="00A576AD">
        <w:rPr>
          <w:lang w:val="fr-CH"/>
        </w:rPr>
        <w:t>forces</w:t>
      </w:r>
      <w:r w:rsidR="00CA33C3" w:rsidRPr="00A576AD">
        <w:rPr>
          <w:lang w:val="fr-CH"/>
        </w:rPr>
        <w:t> »</w:t>
      </w:r>
      <w:r w:rsidRPr="00A576AD">
        <w:rPr>
          <w:lang w:val="fr-CH"/>
        </w:rPr>
        <w:t xml:space="preserve"> ou </w:t>
      </w:r>
      <w:r w:rsidR="00CA33C3" w:rsidRPr="00A576AD">
        <w:rPr>
          <w:lang w:val="fr-CH"/>
        </w:rPr>
        <w:t>« </w:t>
      </w:r>
      <w:r w:rsidRPr="00A576AD">
        <w:rPr>
          <w:lang w:val="fr-CH"/>
        </w:rPr>
        <w:t>charge</w:t>
      </w:r>
      <w:r w:rsidR="00CA33C3" w:rsidRPr="00A576AD">
        <w:rPr>
          <w:lang w:val="fr-CH"/>
        </w:rPr>
        <w:t> »</w:t>
      </w:r>
      <w:r w:rsidRPr="00A576AD">
        <w:rPr>
          <w:lang w:val="fr-CH"/>
        </w:rPr>
        <w:t>/</w:t>
      </w:r>
      <w:r w:rsidR="00CA33C3" w:rsidRPr="00A576AD">
        <w:rPr>
          <w:lang w:val="fr-CH"/>
        </w:rPr>
        <w:t xml:space="preserve"> « </w:t>
      </w:r>
      <w:r w:rsidRPr="00A576AD">
        <w:rPr>
          <w:lang w:val="fr-CH"/>
        </w:rPr>
        <w:t>charges</w:t>
      </w:r>
      <w:r w:rsidR="00CA33C3" w:rsidRPr="00A576AD">
        <w:rPr>
          <w:lang w:val="fr-CH"/>
        </w:rPr>
        <w:t> »</w:t>
      </w:r>
      <w:r w:rsidR="006B5F56" w:rsidRPr="00A576AD">
        <w:rPr>
          <w:lang w:val="fr-CH"/>
        </w:rPr>
        <w:t> :</w:t>
      </w:r>
    </w:p>
    <w:p w:rsidR="00D3292A" w:rsidRPr="00A576AD" w:rsidRDefault="00CA33C3" w:rsidP="00D3292A">
      <w:pPr>
        <w:pStyle w:val="SingleTxt"/>
        <w:rPr>
          <w:i/>
          <w:lang w:val="fr-CH"/>
        </w:rPr>
      </w:pPr>
      <w:r w:rsidRPr="00A576AD">
        <w:rPr>
          <w:i/>
          <w:lang w:val="fr-CH"/>
        </w:rPr>
        <w:tab/>
      </w:r>
      <w:r w:rsidR="00D3292A" w:rsidRPr="00A576AD">
        <w:rPr>
          <w:i/>
          <w:lang w:val="fr-CH"/>
        </w:rPr>
        <w:t>Paragraphe 4.1.1.1 (UN/RID/ADR)</w:t>
      </w:r>
    </w:p>
    <w:p w:rsidR="00D3292A" w:rsidRPr="00A576AD" w:rsidRDefault="00CA33C3" w:rsidP="00CA33C3">
      <w:pPr>
        <w:pStyle w:val="SingleTxt"/>
        <w:ind w:left="1742" w:hanging="475"/>
        <w:rPr>
          <w:lang w:val="fr-CH"/>
        </w:rPr>
      </w:pPr>
      <w:r w:rsidRPr="00A576AD">
        <w:rPr>
          <w:lang w:val="fr-CH"/>
        </w:rPr>
        <w:tab/>
        <w:t>« </w:t>
      </w:r>
      <w:r w:rsidR="00D3292A" w:rsidRPr="00A576AD">
        <w:rPr>
          <w:lang w:val="fr-CH"/>
        </w:rPr>
        <w:t>…</w:t>
      </w:r>
      <w:r w:rsidR="00F34F8B" w:rsidRPr="00A576AD">
        <w:rPr>
          <w:lang w:val="fr-CH"/>
        </w:rPr>
        <w:t xml:space="preserve"> </w:t>
      </w:r>
      <w:r w:rsidR="00D3292A" w:rsidRPr="00A576AD">
        <w:rPr>
          <w:lang w:val="fr-CH"/>
        </w:rPr>
        <w:t xml:space="preserve">doivent être suffisamment solides pour résister aux chocs et </w:t>
      </w:r>
      <w:r w:rsidR="00D3292A" w:rsidRPr="00A576AD">
        <w:rPr>
          <w:i/>
          <w:highlight w:val="lightGray"/>
          <w:lang w:val="fr-CH"/>
        </w:rPr>
        <w:t>forces</w:t>
      </w:r>
      <w:r w:rsidR="00D3292A" w:rsidRPr="00A576AD">
        <w:rPr>
          <w:lang w:val="fr-CH"/>
        </w:rPr>
        <w:t xml:space="preserve"> </w:t>
      </w:r>
      <w:r w:rsidR="00D3292A" w:rsidRPr="00A576AD">
        <w:rPr>
          <w:strike/>
          <w:highlight w:val="lightGray"/>
          <w:lang w:val="fr-CH"/>
        </w:rPr>
        <w:t>sollicitations</w:t>
      </w:r>
      <w:r w:rsidR="00D3292A" w:rsidRPr="00A576AD">
        <w:rPr>
          <w:lang w:val="fr-CH"/>
        </w:rPr>
        <w:t xml:space="preserve"> habituelles en cours de transport…</w:t>
      </w:r>
      <w:r w:rsidRPr="00A576AD">
        <w:rPr>
          <w:lang w:val="fr-CH"/>
        </w:rPr>
        <w:t> »</w:t>
      </w:r>
      <w:r w:rsidR="00D3292A" w:rsidRPr="00A576AD">
        <w:rPr>
          <w:lang w:val="fr-CH"/>
        </w:rPr>
        <w:t>.</w:t>
      </w:r>
    </w:p>
    <w:p w:rsidR="00D3292A" w:rsidRPr="00A576AD" w:rsidRDefault="00F34F8B" w:rsidP="00D3292A">
      <w:pPr>
        <w:pStyle w:val="SingleTxt"/>
        <w:rPr>
          <w:i/>
          <w:lang w:val="fr-CH"/>
        </w:rPr>
      </w:pPr>
      <w:r w:rsidRPr="00A576AD">
        <w:rPr>
          <w:i/>
          <w:lang w:val="fr-CH"/>
        </w:rPr>
        <w:tab/>
      </w:r>
      <w:r w:rsidR="00D3292A" w:rsidRPr="00A576AD">
        <w:rPr>
          <w:i/>
          <w:lang w:val="fr-CH"/>
        </w:rPr>
        <w:t>Paragraphe 4.1.3.8.1 (UN/RID/ADR)</w:t>
      </w:r>
    </w:p>
    <w:p w:rsidR="00D3292A" w:rsidRPr="00A576AD" w:rsidRDefault="00F34F8B" w:rsidP="00F34F8B">
      <w:pPr>
        <w:pStyle w:val="SingleTxt"/>
        <w:ind w:left="1742" w:hanging="475"/>
        <w:rPr>
          <w:lang w:val="fr-CH"/>
        </w:rPr>
      </w:pPr>
      <w:r w:rsidRPr="00A576AD">
        <w:rPr>
          <w:lang w:val="fr-CH"/>
        </w:rPr>
        <w:tab/>
        <w:t>« </w:t>
      </w:r>
      <w:proofErr w:type="gramStart"/>
      <w:r w:rsidR="00D3292A" w:rsidRPr="00A576AD">
        <w:rPr>
          <w:lang w:val="fr-CH"/>
        </w:rPr>
        <w:t>a</w:t>
      </w:r>
      <w:proofErr w:type="gramEnd"/>
      <w:r w:rsidR="00D3292A" w:rsidRPr="00A576AD">
        <w:rPr>
          <w:lang w:val="fr-CH"/>
        </w:rPr>
        <w:t>)</w:t>
      </w:r>
      <w:r w:rsidR="00D3292A" w:rsidRPr="00A576AD">
        <w:rPr>
          <w:lang w:val="fr-CH"/>
        </w:rPr>
        <w:tab/>
        <w:t xml:space="preserve">Les objets de grande taille et robustes doivent être suffisamment résistants pour supporter les chocs et les </w:t>
      </w:r>
      <w:r w:rsidR="00D3292A" w:rsidRPr="00A576AD">
        <w:rPr>
          <w:i/>
          <w:highlight w:val="lightGray"/>
          <w:lang w:val="fr-CH"/>
        </w:rPr>
        <w:t>forces</w:t>
      </w:r>
      <w:r w:rsidR="00D3292A" w:rsidRPr="00A576AD">
        <w:rPr>
          <w:lang w:val="fr-CH"/>
        </w:rPr>
        <w:t xml:space="preserve"> </w:t>
      </w:r>
      <w:r w:rsidR="00D3292A" w:rsidRPr="00A576AD">
        <w:rPr>
          <w:strike/>
          <w:highlight w:val="lightGray"/>
          <w:lang w:val="fr-CH"/>
        </w:rPr>
        <w:t>charges</w:t>
      </w:r>
      <w:r w:rsidR="00D3292A" w:rsidRPr="00A576AD">
        <w:rPr>
          <w:lang w:val="fr-CH"/>
        </w:rPr>
        <w:t xml:space="preserve"> auxquels ils peuvent norm</w:t>
      </w:r>
      <w:bookmarkStart w:id="1" w:name="insstart"/>
      <w:bookmarkEnd w:id="1"/>
      <w:r w:rsidR="00D3292A" w:rsidRPr="00A576AD">
        <w:rPr>
          <w:lang w:val="fr-CH"/>
        </w:rPr>
        <w:t>alement être soumis en cours de transport…</w:t>
      </w:r>
      <w:r w:rsidRPr="00A576AD">
        <w:rPr>
          <w:lang w:val="fr-CH"/>
        </w:rPr>
        <w:t> »</w:t>
      </w:r>
      <w:r w:rsidR="00D3292A" w:rsidRPr="00A576AD">
        <w:rPr>
          <w:lang w:val="fr-CH"/>
        </w:rPr>
        <w:t>.</w:t>
      </w:r>
    </w:p>
    <w:p w:rsidR="00D3292A" w:rsidRPr="00A576AD" w:rsidRDefault="00F34F8B" w:rsidP="00D3292A">
      <w:pPr>
        <w:pStyle w:val="SingleTxt"/>
        <w:rPr>
          <w:i/>
          <w:lang w:val="fr-CH"/>
        </w:rPr>
      </w:pPr>
      <w:r w:rsidRPr="00A576AD">
        <w:rPr>
          <w:i/>
          <w:lang w:val="fr-CH"/>
        </w:rPr>
        <w:tab/>
      </w:r>
      <w:r w:rsidR="00D3292A" w:rsidRPr="00A576AD">
        <w:rPr>
          <w:i/>
          <w:lang w:val="fr-CH"/>
        </w:rPr>
        <w:t>Instruction d’emballage P650 (UN/RID/ADR)</w:t>
      </w:r>
    </w:p>
    <w:p w:rsidR="00D3292A" w:rsidRPr="00A576AD" w:rsidRDefault="00F34F8B" w:rsidP="00F34F8B">
      <w:pPr>
        <w:pStyle w:val="SingleTxt"/>
        <w:ind w:left="1742" w:hanging="475"/>
        <w:rPr>
          <w:lang w:val="fr-CH"/>
        </w:rPr>
      </w:pPr>
      <w:r w:rsidRPr="00A576AD">
        <w:rPr>
          <w:lang w:val="fr-CH"/>
        </w:rPr>
        <w:tab/>
        <w:t>« </w:t>
      </w:r>
      <w:r w:rsidR="00D3292A" w:rsidRPr="00A576AD">
        <w:rPr>
          <w:lang w:val="fr-CH"/>
        </w:rPr>
        <w:t xml:space="preserve">Les emballages doivent être de bonne qualité et suffisamment solides pour résister aux chocs et aux </w:t>
      </w:r>
      <w:r w:rsidR="00D3292A" w:rsidRPr="00A576AD">
        <w:rPr>
          <w:i/>
          <w:highlight w:val="lightGray"/>
          <w:lang w:val="fr-CH"/>
        </w:rPr>
        <w:t>forces</w:t>
      </w:r>
      <w:r w:rsidR="00D3292A" w:rsidRPr="00A576AD">
        <w:rPr>
          <w:lang w:val="fr-CH"/>
        </w:rPr>
        <w:t xml:space="preserve"> </w:t>
      </w:r>
      <w:r w:rsidR="00D3292A" w:rsidRPr="00A576AD">
        <w:rPr>
          <w:strike/>
          <w:highlight w:val="lightGray"/>
          <w:lang w:val="fr-CH"/>
        </w:rPr>
        <w:t>charges</w:t>
      </w:r>
      <w:r w:rsidR="00D3292A" w:rsidRPr="00A576AD">
        <w:rPr>
          <w:lang w:val="fr-CH"/>
        </w:rPr>
        <w:t xml:space="preserve"> auxquels ils peuvent normalement être soumis en cours de transport…</w:t>
      </w:r>
      <w:r w:rsidRPr="00A576AD">
        <w:rPr>
          <w:lang w:val="fr-CH"/>
        </w:rPr>
        <w:t> »</w:t>
      </w:r>
      <w:r w:rsidR="00D3292A" w:rsidRPr="00A576AD">
        <w:rPr>
          <w:lang w:val="fr-CH"/>
        </w:rPr>
        <w:t>.</w:t>
      </w:r>
    </w:p>
    <w:p w:rsidR="00D3292A" w:rsidRPr="00A576AD" w:rsidRDefault="00F34F8B" w:rsidP="00D3292A">
      <w:pPr>
        <w:pStyle w:val="SingleTxt"/>
        <w:rPr>
          <w:i/>
          <w:lang w:val="fr-CH"/>
        </w:rPr>
      </w:pPr>
      <w:r w:rsidRPr="00A576AD">
        <w:rPr>
          <w:i/>
          <w:lang w:val="fr-CH"/>
        </w:rPr>
        <w:tab/>
      </w:r>
      <w:r w:rsidR="00D3292A" w:rsidRPr="00A576AD">
        <w:rPr>
          <w:i/>
          <w:lang w:val="fr-CH"/>
        </w:rPr>
        <w:t>Paragraphe 4.1.5.2 c) (UN/RID/ADR)</w:t>
      </w:r>
    </w:p>
    <w:p w:rsidR="00D3292A" w:rsidRPr="00A576AD" w:rsidRDefault="00F34F8B" w:rsidP="00D3292A">
      <w:pPr>
        <w:pStyle w:val="SingleTxt"/>
        <w:rPr>
          <w:lang w:val="fr-CH"/>
        </w:rPr>
      </w:pPr>
      <w:r w:rsidRPr="00A576AD">
        <w:rPr>
          <w:lang w:val="fr-CH"/>
        </w:rPr>
        <w:tab/>
      </w:r>
      <w:r w:rsidR="00D3292A" w:rsidRPr="00A576AD">
        <w:rPr>
          <w:lang w:val="fr-CH"/>
        </w:rPr>
        <w:t xml:space="preserve">c) </w:t>
      </w:r>
      <w:r w:rsidR="00D3292A" w:rsidRPr="00A576AD">
        <w:rPr>
          <w:lang w:val="fr-CH"/>
        </w:rPr>
        <w:tab/>
      </w:r>
      <w:r w:rsidR="00D3292A" w:rsidRPr="006A0178">
        <w:rPr>
          <w:lang w:val="fr-CH"/>
        </w:rPr>
        <w:t>Modification sans objet en français</w:t>
      </w:r>
      <w:r w:rsidR="006A0178">
        <w:rPr>
          <w:lang w:val="fr-CH"/>
        </w:rPr>
        <w:t>.</w:t>
      </w:r>
    </w:p>
    <w:p w:rsidR="00D3292A" w:rsidRPr="00A576AD" w:rsidRDefault="00F34F8B" w:rsidP="00D3292A">
      <w:pPr>
        <w:pStyle w:val="SingleTxt"/>
        <w:rPr>
          <w:i/>
          <w:lang w:val="fr-CH"/>
        </w:rPr>
      </w:pPr>
      <w:r w:rsidRPr="00A576AD">
        <w:rPr>
          <w:i/>
          <w:lang w:val="fr-CH"/>
        </w:rPr>
        <w:tab/>
      </w:r>
      <w:r w:rsidR="00D3292A" w:rsidRPr="00A576AD">
        <w:rPr>
          <w:i/>
          <w:lang w:val="fr-CH"/>
        </w:rPr>
        <w:t>Paragraphe 5.5.2.3.4</w:t>
      </w:r>
      <w:r w:rsidR="00D3292A" w:rsidRPr="00A576AD">
        <w:rPr>
          <w:i/>
          <w:lang w:val="fr-CH"/>
        </w:rPr>
        <w:tab/>
      </w:r>
      <w:r w:rsidR="00D3292A" w:rsidRPr="00A576AD">
        <w:rPr>
          <w:lang w:val="fr-CH"/>
        </w:rPr>
        <w:t xml:space="preserve"> (</w:t>
      </w:r>
      <w:r w:rsidR="00D3292A" w:rsidRPr="00A576AD">
        <w:rPr>
          <w:i/>
          <w:lang w:val="fr-CH"/>
        </w:rPr>
        <w:t>UN/RID/ADR)</w:t>
      </w:r>
    </w:p>
    <w:p w:rsidR="00D3292A" w:rsidRPr="00A576AD" w:rsidRDefault="00F34F8B" w:rsidP="00F34F8B">
      <w:pPr>
        <w:pStyle w:val="SingleTxt"/>
        <w:ind w:left="1742" w:hanging="475"/>
        <w:rPr>
          <w:lang w:val="fr-CH"/>
        </w:rPr>
      </w:pPr>
      <w:r w:rsidRPr="00A576AD">
        <w:rPr>
          <w:lang w:val="fr-CH"/>
        </w:rPr>
        <w:tab/>
        <w:t>« </w:t>
      </w:r>
      <w:r w:rsidR="00D3292A" w:rsidRPr="00A576AD">
        <w:rPr>
          <w:lang w:val="fr-CH"/>
        </w:rPr>
        <w:t>Lorsque l’engin de transport sous fumigation a été complètement ventilé et déchargé, la marque de mise en garde pour les engins sous fumigation doit être enlevée.</w:t>
      </w:r>
      <w:r w:rsidRPr="00A576AD">
        <w:rPr>
          <w:lang w:val="fr-CH"/>
        </w:rPr>
        <w:t> »</w:t>
      </w:r>
      <w:r w:rsidR="00D3292A" w:rsidRPr="00A576AD">
        <w:rPr>
          <w:lang w:val="fr-CH"/>
        </w:rPr>
        <w:t>.</w:t>
      </w:r>
    </w:p>
    <w:p w:rsidR="00D3292A" w:rsidRPr="00A576AD" w:rsidRDefault="00F34F8B" w:rsidP="00F34F8B">
      <w:pPr>
        <w:pStyle w:val="SingleTxt"/>
        <w:ind w:left="1742" w:hanging="475"/>
        <w:rPr>
          <w:i/>
          <w:lang w:val="fr-CH"/>
        </w:rPr>
      </w:pPr>
      <w:r w:rsidRPr="00A576AD">
        <w:rPr>
          <w:i/>
          <w:lang w:val="fr-CH"/>
        </w:rPr>
        <w:tab/>
      </w:r>
      <w:r w:rsidR="00D3292A" w:rsidRPr="00A576AD">
        <w:rPr>
          <w:i/>
          <w:lang w:val="fr-CH"/>
        </w:rPr>
        <w:t>Paragraphes 6.7.2.2.12 d), 6.7.3.2.9 d), 6.7.4.2.12 d) et 6.7.5.2.8 d) (UN/RID/ADR)</w:t>
      </w:r>
    </w:p>
    <w:p w:rsidR="00D3292A" w:rsidRPr="00A576AD" w:rsidRDefault="00F34F8B" w:rsidP="00D3292A">
      <w:pPr>
        <w:pStyle w:val="SingleTxt"/>
        <w:rPr>
          <w:lang w:val="fr-CH"/>
        </w:rPr>
      </w:pPr>
      <w:r w:rsidRPr="00A576AD">
        <w:rPr>
          <w:lang w:val="fr-CH"/>
        </w:rPr>
        <w:tab/>
      </w:r>
      <w:r w:rsidR="00D3292A" w:rsidRPr="00A576AD">
        <w:rPr>
          <w:lang w:val="fr-CH"/>
        </w:rPr>
        <w:t xml:space="preserve">d) </w:t>
      </w:r>
      <w:r w:rsidR="00D3292A" w:rsidRPr="00A576AD">
        <w:rPr>
          <w:lang w:val="fr-CH"/>
        </w:rPr>
        <w:tab/>
      </w:r>
      <w:r w:rsidR="00D3292A" w:rsidRPr="006A0178">
        <w:rPr>
          <w:lang w:val="fr-CH"/>
        </w:rPr>
        <w:t>Modification sans objet en français</w:t>
      </w:r>
      <w:r w:rsidR="006A0178">
        <w:rPr>
          <w:lang w:val="fr-CH"/>
        </w:rPr>
        <w:t>.</w:t>
      </w:r>
    </w:p>
    <w:p w:rsidR="00D3292A" w:rsidRPr="00A576AD" w:rsidRDefault="00F34F8B" w:rsidP="00D3292A">
      <w:pPr>
        <w:pStyle w:val="SingleTxt"/>
        <w:rPr>
          <w:i/>
          <w:lang w:val="fr-CH"/>
        </w:rPr>
      </w:pPr>
      <w:r w:rsidRPr="00A576AD">
        <w:rPr>
          <w:i/>
          <w:lang w:val="fr-CH"/>
        </w:rPr>
        <w:tab/>
      </w:r>
      <w:r w:rsidR="00D3292A" w:rsidRPr="00A576AD">
        <w:rPr>
          <w:i/>
          <w:lang w:val="fr-CH"/>
        </w:rPr>
        <w:t>Paragraphe 6.7.5.2.2</w:t>
      </w:r>
      <w:r w:rsidR="00D3292A" w:rsidRPr="00A576AD">
        <w:rPr>
          <w:i/>
          <w:lang w:val="fr-CH"/>
        </w:rPr>
        <w:tab/>
        <w:t>(UN/RID/ADR)</w:t>
      </w:r>
    </w:p>
    <w:p w:rsidR="00182DCB" w:rsidRPr="00A576AD" w:rsidRDefault="00F34F8B" w:rsidP="00C57239">
      <w:pPr>
        <w:pStyle w:val="SingleTxt"/>
        <w:ind w:left="1742" w:hanging="475"/>
        <w:rPr>
          <w:lang w:val="fr-CH"/>
        </w:rPr>
      </w:pPr>
      <w:r w:rsidRPr="00A576AD">
        <w:rPr>
          <w:lang w:val="fr-CH"/>
        </w:rPr>
        <w:lastRenderedPageBreak/>
        <w:tab/>
        <w:t>« </w:t>
      </w:r>
      <w:r w:rsidR="00D3292A" w:rsidRPr="00A576AD">
        <w:rPr>
          <w:lang w:val="fr-CH"/>
        </w:rPr>
        <w:t xml:space="preserve">… Lors de la conception, il doit être tenu compte des effets des </w:t>
      </w:r>
      <w:r w:rsidR="00D3292A" w:rsidRPr="00A576AD">
        <w:rPr>
          <w:i/>
          <w:highlight w:val="lightGray"/>
          <w:lang w:val="fr-CH"/>
        </w:rPr>
        <w:t>forces</w:t>
      </w:r>
      <w:r w:rsidR="00D3292A" w:rsidRPr="00A576AD">
        <w:rPr>
          <w:lang w:val="fr-CH"/>
        </w:rPr>
        <w:t xml:space="preserve"> </w:t>
      </w:r>
      <w:r w:rsidR="00D3292A" w:rsidRPr="00A576AD">
        <w:rPr>
          <w:strike/>
          <w:highlight w:val="lightGray"/>
          <w:lang w:val="fr-CH"/>
        </w:rPr>
        <w:t>charges</w:t>
      </w:r>
      <w:r w:rsidR="00D3292A" w:rsidRPr="00A576AD">
        <w:rPr>
          <w:lang w:val="fr-CH"/>
        </w:rPr>
        <w:t xml:space="preserve"> dynamiques et de la fatigue.</w:t>
      </w:r>
      <w:r w:rsidRPr="00A576AD">
        <w:rPr>
          <w:lang w:val="fr-CH"/>
        </w:rPr>
        <w:t> »</w:t>
      </w:r>
      <w:r w:rsidR="00D3292A" w:rsidRPr="00A576AD">
        <w:rPr>
          <w:lang w:val="fr-CH"/>
        </w:rPr>
        <w:t>.</w:t>
      </w:r>
    </w:p>
    <w:p w:rsidR="00D3292A" w:rsidRPr="00A576AD" w:rsidRDefault="00F63C8F" w:rsidP="00D3292A">
      <w:pPr>
        <w:pStyle w:val="SingleTxt"/>
        <w:spacing w:after="0" w:line="240" w:lineRule="auto"/>
        <w:rPr>
          <w:lang w:val="fr-CH"/>
        </w:rPr>
      </w:pPr>
      <w:r w:rsidRPr="00F63C8F">
        <w:rPr>
          <w:noProof/>
          <w:w w:val="100"/>
          <w:lang w:val="fr-CH" w:eastAsia="fr-CH"/>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D3292A" w:rsidRPr="00A576AD" w:rsidSect="00182DCB">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78" w:rsidRDefault="00B86678" w:rsidP="00F3330B">
      <w:pPr>
        <w:spacing w:line="240" w:lineRule="auto"/>
      </w:pPr>
      <w:r>
        <w:separator/>
      </w:r>
    </w:p>
  </w:endnote>
  <w:endnote w:type="continuationSeparator" w:id="0">
    <w:p w:rsidR="00B86678" w:rsidRDefault="00B8667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D3292A" w:rsidTr="00182DCB">
      <w:trPr>
        <w:jc w:val="center"/>
      </w:trPr>
      <w:tc>
        <w:tcPr>
          <w:tcW w:w="5126" w:type="dxa"/>
          <w:shd w:val="clear" w:color="auto" w:fill="auto"/>
        </w:tcPr>
        <w:p w:rsidR="00D3292A" w:rsidRPr="00182DCB" w:rsidRDefault="00F63C8F" w:rsidP="00182DCB">
          <w:pPr>
            <w:pStyle w:val="Pieddepage"/>
            <w:jc w:val="right"/>
            <w:rPr>
              <w:b w:val="0"/>
              <w:w w:val="103"/>
              <w:sz w:val="14"/>
            </w:rPr>
          </w:pPr>
          <w:fldSimple w:instr=" DOCVARIABLE &quot;FooterJN&quot; \* MERGEFORMAT ">
            <w:r w:rsidR="00A576AD">
              <w:rPr>
                <w:b w:val="0"/>
                <w:w w:val="103"/>
                <w:sz w:val="14"/>
              </w:rPr>
              <w:t>GE.15-10604</w:t>
            </w:r>
          </w:fldSimple>
        </w:p>
      </w:tc>
      <w:tc>
        <w:tcPr>
          <w:tcW w:w="5127" w:type="dxa"/>
          <w:shd w:val="clear" w:color="auto" w:fill="auto"/>
        </w:tcPr>
        <w:p w:rsidR="00D3292A" w:rsidRPr="00182DCB" w:rsidRDefault="00F63C8F" w:rsidP="00182DCB">
          <w:pPr>
            <w:pStyle w:val="Pieddepage"/>
            <w:rPr>
              <w:w w:val="103"/>
            </w:rPr>
          </w:pPr>
          <w:r>
            <w:rPr>
              <w:w w:val="103"/>
            </w:rPr>
            <w:fldChar w:fldCharType="begin"/>
          </w:r>
          <w:r w:rsidR="00D3292A">
            <w:rPr>
              <w:w w:val="103"/>
            </w:rPr>
            <w:instrText xml:space="preserve"> PAGE  \* Arabic  \* MERGEFORMAT </w:instrText>
          </w:r>
          <w:r>
            <w:rPr>
              <w:w w:val="103"/>
            </w:rPr>
            <w:fldChar w:fldCharType="separate"/>
          </w:r>
          <w:r w:rsidR="00A665AE">
            <w:rPr>
              <w:noProof/>
              <w:w w:val="103"/>
            </w:rPr>
            <w:t>6</w:t>
          </w:r>
          <w:r>
            <w:rPr>
              <w:w w:val="103"/>
            </w:rPr>
            <w:fldChar w:fldCharType="end"/>
          </w:r>
          <w:r w:rsidR="00D3292A">
            <w:rPr>
              <w:w w:val="103"/>
            </w:rPr>
            <w:t>/</w:t>
          </w:r>
          <w:fldSimple w:instr=" NUMPAGES  \* Arabic  \* MERGEFORMAT ">
            <w:r w:rsidR="00A665AE">
              <w:rPr>
                <w:noProof/>
                <w:w w:val="103"/>
              </w:rPr>
              <w:t>6</w:t>
            </w:r>
          </w:fldSimple>
        </w:p>
      </w:tc>
    </w:tr>
  </w:tbl>
  <w:p w:rsidR="00D3292A" w:rsidRPr="00182DCB" w:rsidRDefault="00D3292A" w:rsidP="00182DC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D3292A" w:rsidTr="00182DCB">
      <w:trPr>
        <w:jc w:val="center"/>
      </w:trPr>
      <w:tc>
        <w:tcPr>
          <w:tcW w:w="5126" w:type="dxa"/>
          <w:shd w:val="clear" w:color="auto" w:fill="auto"/>
        </w:tcPr>
        <w:p w:rsidR="00D3292A" w:rsidRPr="00182DCB" w:rsidRDefault="00F63C8F" w:rsidP="00182DCB">
          <w:pPr>
            <w:pStyle w:val="Pieddepage"/>
            <w:jc w:val="right"/>
            <w:rPr>
              <w:w w:val="103"/>
            </w:rPr>
          </w:pPr>
          <w:r>
            <w:rPr>
              <w:w w:val="103"/>
            </w:rPr>
            <w:fldChar w:fldCharType="begin"/>
          </w:r>
          <w:r w:rsidR="00D3292A">
            <w:rPr>
              <w:w w:val="103"/>
            </w:rPr>
            <w:instrText xml:space="preserve"> PAGE  \* Arabic  \* MERGEFORMAT </w:instrText>
          </w:r>
          <w:r>
            <w:rPr>
              <w:w w:val="103"/>
            </w:rPr>
            <w:fldChar w:fldCharType="separate"/>
          </w:r>
          <w:r w:rsidR="00A665AE">
            <w:rPr>
              <w:noProof/>
              <w:w w:val="103"/>
            </w:rPr>
            <w:t>7</w:t>
          </w:r>
          <w:r>
            <w:rPr>
              <w:w w:val="103"/>
            </w:rPr>
            <w:fldChar w:fldCharType="end"/>
          </w:r>
          <w:r w:rsidR="00D3292A">
            <w:rPr>
              <w:w w:val="103"/>
            </w:rPr>
            <w:t>/</w:t>
          </w:r>
          <w:fldSimple w:instr=" NUMPAGES  \* Arabic  \* MERGEFORMAT ">
            <w:r w:rsidR="00A665AE">
              <w:rPr>
                <w:noProof/>
                <w:w w:val="103"/>
              </w:rPr>
              <w:t>7</w:t>
            </w:r>
          </w:fldSimple>
        </w:p>
      </w:tc>
      <w:tc>
        <w:tcPr>
          <w:tcW w:w="5127" w:type="dxa"/>
          <w:shd w:val="clear" w:color="auto" w:fill="auto"/>
        </w:tcPr>
        <w:p w:rsidR="00D3292A" w:rsidRPr="00182DCB" w:rsidRDefault="00F63C8F" w:rsidP="00182DCB">
          <w:pPr>
            <w:pStyle w:val="Pieddepage"/>
            <w:rPr>
              <w:b w:val="0"/>
              <w:w w:val="103"/>
              <w:sz w:val="14"/>
            </w:rPr>
          </w:pPr>
          <w:fldSimple w:instr=" DOCVARIABLE &quot;FooterJN&quot; \* MERGEFORMAT ">
            <w:r w:rsidR="00A576AD">
              <w:rPr>
                <w:b w:val="0"/>
                <w:w w:val="103"/>
                <w:sz w:val="14"/>
              </w:rPr>
              <w:t>GE.15-10604</w:t>
            </w:r>
          </w:fldSimple>
        </w:p>
      </w:tc>
    </w:tr>
  </w:tbl>
  <w:p w:rsidR="00D3292A" w:rsidRPr="00182DCB" w:rsidRDefault="00D3292A" w:rsidP="00182DC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2A" w:rsidRDefault="00D3292A">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7&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D3292A" w:rsidTr="00182DCB">
      <w:tc>
        <w:tcPr>
          <w:tcW w:w="3859" w:type="dxa"/>
        </w:tcPr>
        <w:p w:rsidR="00D3292A" w:rsidRDefault="00F63C8F" w:rsidP="00182DCB">
          <w:pPr>
            <w:pStyle w:val="Pieddepage"/>
            <w:rPr>
              <w:b w:val="0"/>
              <w:sz w:val="20"/>
            </w:rPr>
          </w:pPr>
          <w:fldSimple w:instr=" DOCVARIABLE &quot;jobn&quot; \* MERGEFORMAT ">
            <w:r w:rsidR="00A576AD">
              <w:rPr>
                <w:b w:val="0"/>
                <w:sz w:val="20"/>
              </w:rPr>
              <w:t>GE.15-10604 (F)</w:t>
            </w:r>
          </w:fldSimple>
          <w:r w:rsidR="00D3292A">
            <w:rPr>
              <w:b w:val="0"/>
              <w:sz w:val="20"/>
            </w:rPr>
            <w:t xml:space="preserve">    100815    </w:t>
          </w:r>
          <w:proofErr w:type="spellStart"/>
          <w:r w:rsidR="00D3292A">
            <w:rPr>
              <w:b w:val="0"/>
              <w:sz w:val="20"/>
            </w:rPr>
            <w:t>100815</w:t>
          </w:r>
          <w:proofErr w:type="spellEnd"/>
        </w:p>
        <w:p w:rsidR="00D3292A" w:rsidRPr="00182DCB" w:rsidRDefault="00F63C8F" w:rsidP="00182DCB">
          <w:pPr>
            <w:pStyle w:val="Pieddepage"/>
            <w:spacing w:before="120" w:line="200" w:lineRule="exact"/>
            <w:rPr>
              <w:rFonts w:ascii="Barcode 3 of 9 by request" w:hAnsi="Barcode 3 of 9 by request"/>
              <w:b w:val="0"/>
              <w:spacing w:val="0"/>
              <w:w w:val="100"/>
              <w:sz w:val="24"/>
            </w:rPr>
          </w:pPr>
          <w:fldSimple w:instr=" DOCVARIABLE &quot;Barcode&quot; \* MERGEFORMAT ">
            <w:r w:rsidR="00A576AD">
              <w:rPr>
                <w:rFonts w:ascii="Barcode 3 of 9 by request" w:hAnsi="Barcode 3 of 9 by request"/>
                <w:b w:val="0"/>
                <w:spacing w:val="0"/>
                <w:w w:val="100"/>
                <w:sz w:val="24"/>
              </w:rPr>
              <w:t>*1510604*</w:t>
            </w:r>
          </w:fldSimple>
        </w:p>
      </w:tc>
      <w:tc>
        <w:tcPr>
          <w:tcW w:w="5127" w:type="dxa"/>
        </w:tcPr>
        <w:p w:rsidR="00D3292A" w:rsidRDefault="00D3292A" w:rsidP="00182DCB">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3292A" w:rsidRPr="00182DCB" w:rsidRDefault="00D3292A" w:rsidP="00182DCB">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78" w:rsidRPr="00CB1E93" w:rsidRDefault="00B86678" w:rsidP="00CB1E93">
      <w:pPr>
        <w:pStyle w:val="Pieddepage"/>
        <w:spacing w:after="80"/>
        <w:ind w:left="792"/>
        <w:rPr>
          <w:sz w:val="16"/>
        </w:rPr>
      </w:pPr>
      <w:r w:rsidRPr="00CB1E93">
        <w:rPr>
          <w:sz w:val="16"/>
        </w:rPr>
        <w:t>__________________</w:t>
      </w:r>
    </w:p>
  </w:footnote>
  <w:footnote w:type="continuationSeparator" w:id="0">
    <w:p w:rsidR="00B86678" w:rsidRPr="00CB1E93" w:rsidRDefault="00B86678" w:rsidP="00CB1E93">
      <w:pPr>
        <w:pStyle w:val="Pieddepage"/>
        <w:spacing w:after="80"/>
        <w:ind w:left="792"/>
        <w:rPr>
          <w:sz w:val="16"/>
        </w:rPr>
      </w:pPr>
      <w:r w:rsidRPr="00CB1E93">
        <w:rPr>
          <w:sz w:val="16"/>
        </w:rPr>
        <w:t>__________________</w:t>
      </w:r>
    </w:p>
  </w:footnote>
  <w:footnote w:id="1">
    <w:p w:rsidR="00D3292A" w:rsidRDefault="00D3292A" w:rsidP="00CB1E93">
      <w:pPr>
        <w:pStyle w:val="Notedebasdepage"/>
        <w:widowControl w:val="0"/>
        <w:tabs>
          <w:tab w:val="right" w:pos="1195"/>
          <w:tab w:val="left" w:pos="1267"/>
          <w:tab w:val="left" w:pos="1742"/>
          <w:tab w:val="left" w:pos="2218"/>
          <w:tab w:val="left" w:pos="2693"/>
        </w:tabs>
        <w:ind w:left="1267" w:right="1260" w:hanging="432"/>
        <w:rPr>
          <w:lang/>
        </w:rPr>
      </w:pPr>
      <w:r>
        <w:tab/>
      </w:r>
      <w:r>
        <w:rPr>
          <w:rStyle w:val="Appelnotedebasdep"/>
        </w:rPr>
        <w:footnoteRef/>
      </w:r>
      <w:r w:rsidRPr="006948D3">
        <w:rPr>
          <w:lang w:val="fr-FR"/>
        </w:rPr>
        <w:tab/>
        <w:t>Conformément au programme de travail du Comité des transports intérieurs pour 2014</w:t>
      </w:r>
      <w:r w:rsidRPr="006948D3">
        <w:rPr>
          <w:lang w:val="fr-FR"/>
        </w:rPr>
        <w:noBreakHyphen/>
        <w:t>2015 (ECE/TRANS/240, par</w:t>
      </w:r>
      <w:r w:rsidR="00CB1E93">
        <w:rPr>
          <w:lang w:val="fr-FR"/>
        </w:rPr>
        <w:t>. </w:t>
      </w:r>
      <w:r w:rsidRPr="006948D3">
        <w:rPr>
          <w:lang w:val="fr-FR"/>
        </w:rPr>
        <w:t>100, et ECE/TRANS/2014/23, module 9, par.</w:t>
      </w:r>
      <w:r w:rsidR="00CB1E93">
        <w:rPr>
          <w:lang w:val="fr-FR"/>
        </w:rPr>
        <w:t> </w:t>
      </w:r>
      <w:r w:rsidRPr="006948D3">
        <w:rPr>
          <w:lang w:val="fr-FR"/>
        </w:rPr>
        <w:t>9.2).</w:t>
      </w:r>
    </w:p>
  </w:footnote>
  <w:footnote w:id="2">
    <w:p w:rsidR="00D3292A" w:rsidRPr="006948D3" w:rsidRDefault="00D3292A" w:rsidP="00CB1E93">
      <w:pPr>
        <w:pStyle w:val="Notedebasdepage"/>
        <w:widowControl w:val="0"/>
        <w:tabs>
          <w:tab w:val="right" w:pos="1195"/>
          <w:tab w:val="left" w:pos="1267"/>
          <w:tab w:val="left" w:pos="1742"/>
          <w:tab w:val="left" w:pos="2218"/>
          <w:tab w:val="left" w:pos="2693"/>
        </w:tabs>
        <w:ind w:left="1267" w:right="1260" w:hanging="432"/>
        <w:rPr>
          <w:lang w:val="fr-FR"/>
        </w:rPr>
      </w:pPr>
      <w:r w:rsidRPr="006948D3">
        <w:rPr>
          <w:lang w:val="fr-FR"/>
        </w:rPr>
        <w:tab/>
      </w:r>
      <w:r>
        <w:rPr>
          <w:rStyle w:val="Appelnotedebasdep"/>
        </w:rPr>
        <w:footnoteRef/>
      </w:r>
      <w:r w:rsidRPr="006948D3">
        <w:rPr>
          <w:lang w:val="fr-FR"/>
        </w:rPr>
        <w:tab/>
        <w:t>Diffusée par l’Organisation intergouvernementale pour les transports internationaux ferroviaires (OTIF) sous la cote OTIF/RID/RC/2015/37.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D3292A" w:rsidTr="00182DCB">
      <w:trPr>
        <w:trHeight w:hRule="exact" w:val="864"/>
        <w:jc w:val="center"/>
      </w:trPr>
      <w:tc>
        <w:tcPr>
          <w:tcW w:w="4882" w:type="dxa"/>
          <w:shd w:val="clear" w:color="auto" w:fill="auto"/>
          <w:vAlign w:val="bottom"/>
        </w:tcPr>
        <w:p w:rsidR="00D3292A" w:rsidRPr="00182DCB" w:rsidRDefault="00F63C8F" w:rsidP="00182DCB">
          <w:pPr>
            <w:pStyle w:val="En-tte"/>
            <w:spacing w:after="80"/>
            <w:rPr>
              <w:b/>
              <w:color w:val="000000"/>
            </w:rPr>
          </w:pPr>
          <w:r>
            <w:rPr>
              <w:b/>
              <w:color w:val="000000"/>
            </w:rPr>
            <w:fldChar w:fldCharType="begin"/>
          </w:r>
          <w:r w:rsidR="00D3292A">
            <w:rPr>
              <w:b/>
              <w:color w:val="000000"/>
            </w:rPr>
            <w:instrText xml:space="preserve"> DOCVARIABLE "sss1" \* MERGEFORMAT </w:instrText>
          </w:r>
          <w:r>
            <w:rPr>
              <w:b/>
              <w:color w:val="000000"/>
            </w:rPr>
            <w:fldChar w:fldCharType="separate"/>
          </w:r>
          <w:r w:rsidR="00A576AD">
            <w:rPr>
              <w:b/>
              <w:color w:val="000000"/>
            </w:rPr>
            <w:t>ECE/TRANS/WP.15/AC.1/2015/37</w:t>
          </w:r>
          <w:r>
            <w:rPr>
              <w:b/>
              <w:color w:val="000000"/>
            </w:rPr>
            <w:fldChar w:fldCharType="end"/>
          </w:r>
        </w:p>
      </w:tc>
      <w:tc>
        <w:tcPr>
          <w:tcW w:w="5127" w:type="dxa"/>
          <w:shd w:val="clear" w:color="auto" w:fill="auto"/>
          <w:vAlign w:val="bottom"/>
        </w:tcPr>
        <w:p w:rsidR="00D3292A" w:rsidRDefault="00D3292A" w:rsidP="00182DCB">
          <w:pPr>
            <w:pStyle w:val="En-tte"/>
          </w:pPr>
        </w:p>
      </w:tc>
    </w:tr>
  </w:tbl>
  <w:p w:rsidR="00D3292A" w:rsidRPr="00182DCB" w:rsidRDefault="00D3292A" w:rsidP="00182DCB">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D3292A" w:rsidTr="00182DCB">
      <w:trPr>
        <w:trHeight w:hRule="exact" w:val="864"/>
        <w:jc w:val="center"/>
      </w:trPr>
      <w:tc>
        <w:tcPr>
          <w:tcW w:w="4882" w:type="dxa"/>
          <w:shd w:val="clear" w:color="auto" w:fill="auto"/>
          <w:vAlign w:val="bottom"/>
        </w:tcPr>
        <w:p w:rsidR="00D3292A" w:rsidRDefault="00D3292A" w:rsidP="00182DCB">
          <w:pPr>
            <w:pStyle w:val="En-tte"/>
          </w:pPr>
        </w:p>
      </w:tc>
      <w:tc>
        <w:tcPr>
          <w:tcW w:w="5127" w:type="dxa"/>
          <w:shd w:val="clear" w:color="auto" w:fill="auto"/>
          <w:vAlign w:val="bottom"/>
        </w:tcPr>
        <w:p w:rsidR="00D3292A" w:rsidRPr="00182DCB" w:rsidRDefault="00F63C8F" w:rsidP="00182DCB">
          <w:pPr>
            <w:pStyle w:val="En-tte"/>
            <w:spacing w:after="80"/>
            <w:jc w:val="right"/>
            <w:rPr>
              <w:b/>
              <w:color w:val="000000"/>
            </w:rPr>
          </w:pPr>
          <w:fldSimple w:instr=" DOCVARIABLE &quot;sss1&quot; \* MERGEFORMAT ">
            <w:r w:rsidR="00A576AD">
              <w:rPr>
                <w:b/>
                <w:color w:val="000000"/>
              </w:rPr>
              <w:t>ECE/TRANS/WP.15/AC.1/2015/37</w:t>
            </w:r>
          </w:fldSimple>
        </w:p>
      </w:tc>
    </w:tr>
  </w:tbl>
  <w:p w:rsidR="00D3292A" w:rsidRPr="00182DCB" w:rsidRDefault="00D3292A" w:rsidP="00182DCB">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D3292A" w:rsidRPr="00A576AD" w:rsidTr="00182DCB">
      <w:trPr>
        <w:trHeight w:hRule="exact" w:val="864"/>
      </w:trPr>
      <w:tc>
        <w:tcPr>
          <w:tcW w:w="1267" w:type="dxa"/>
          <w:tcBorders>
            <w:bottom w:val="single" w:sz="4" w:space="0" w:color="auto"/>
          </w:tcBorders>
          <w:shd w:val="clear" w:color="auto" w:fill="auto"/>
          <w:vAlign w:val="bottom"/>
        </w:tcPr>
        <w:p w:rsidR="00D3292A" w:rsidRPr="00A576AD" w:rsidRDefault="00D3292A" w:rsidP="00182DCB">
          <w:pPr>
            <w:pStyle w:val="En-tte"/>
            <w:spacing w:after="120"/>
            <w:rPr>
              <w:lang w:val="fr-CH"/>
            </w:rPr>
          </w:pPr>
        </w:p>
      </w:tc>
      <w:tc>
        <w:tcPr>
          <w:tcW w:w="2059" w:type="dxa"/>
          <w:tcBorders>
            <w:bottom w:val="single" w:sz="4" w:space="0" w:color="auto"/>
          </w:tcBorders>
          <w:shd w:val="clear" w:color="auto" w:fill="auto"/>
          <w:vAlign w:val="bottom"/>
        </w:tcPr>
        <w:p w:rsidR="00D3292A" w:rsidRPr="00A576AD" w:rsidRDefault="00D3292A" w:rsidP="00182DCB">
          <w:pPr>
            <w:pStyle w:val="HCH"/>
            <w:spacing w:after="80"/>
            <w:rPr>
              <w:b w:val="0"/>
              <w:color w:val="010000"/>
              <w:spacing w:val="2"/>
              <w:w w:val="96"/>
              <w:lang w:val="fr-CH"/>
            </w:rPr>
          </w:pPr>
          <w:r w:rsidRPr="00A576AD">
            <w:rPr>
              <w:b w:val="0"/>
              <w:color w:val="010000"/>
              <w:spacing w:val="2"/>
              <w:w w:val="96"/>
              <w:lang w:val="fr-CH"/>
            </w:rPr>
            <w:t>Nations Unies</w:t>
          </w:r>
        </w:p>
      </w:tc>
      <w:tc>
        <w:tcPr>
          <w:tcW w:w="58" w:type="dxa"/>
          <w:tcBorders>
            <w:bottom w:val="single" w:sz="4" w:space="0" w:color="auto"/>
          </w:tcBorders>
          <w:shd w:val="clear" w:color="auto" w:fill="auto"/>
          <w:vAlign w:val="bottom"/>
        </w:tcPr>
        <w:p w:rsidR="00D3292A" w:rsidRPr="00A576AD" w:rsidRDefault="00D3292A" w:rsidP="00182DCB">
          <w:pPr>
            <w:pStyle w:val="En-tte"/>
            <w:spacing w:after="120"/>
            <w:rPr>
              <w:lang w:val="fr-CH"/>
            </w:rPr>
          </w:pPr>
        </w:p>
      </w:tc>
      <w:tc>
        <w:tcPr>
          <w:tcW w:w="6653" w:type="dxa"/>
          <w:gridSpan w:val="4"/>
          <w:tcBorders>
            <w:bottom w:val="single" w:sz="4" w:space="0" w:color="auto"/>
          </w:tcBorders>
          <w:shd w:val="clear" w:color="auto" w:fill="auto"/>
          <w:vAlign w:val="bottom"/>
        </w:tcPr>
        <w:p w:rsidR="00D3292A" w:rsidRPr="00A576AD" w:rsidRDefault="00D3292A" w:rsidP="00182DCB">
          <w:pPr>
            <w:spacing w:after="80" w:line="240" w:lineRule="auto"/>
            <w:jc w:val="right"/>
            <w:rPr>
              <w:position w:val="-4"/>
              <w:lang w:val="fr-CH"/>
            </w:rPr>
          </w:pPr>
          <w:r w:rsidRPr="00A576AD">
            <w:rPr>
              <w:position w:val="-4"/>
              <w:sz w:val="40"/>
              <w:lang w:val="fr-CH"/>
            </w:rPr>
            <w:t>ECE</w:t>
          </w:r>
          <w:r w:rsidRPr="00A576AD">
            <w:rPr>
              <w:position w:val="-4"/>
              <w:lang w:val="fr-CH"/>
            </w:rPr>
            <w:t>/TRANS/WP.15/AC.1/2015/37</w:t>
          </w:r>
        </w:p>
      </w:tc>
    </w:tr>
    <w:tr w:rsidR="00D3292A" w:rsidRPr="00A576AD" w:rsidTr="00182DCB">
      <w:trPr>
        <w:gridAfter w:val="1"/>
        <w:wAfter w:w="18" w:type="dxa"/>
        <w:trHeight w:hRule="exact" w:val="2880"/>
      </w:trPr>
      <w:tc>
        <w:tcPr>
          <w:tcW w:w="1267" w:type="dxa"/>
          <w:tcBorders>
            <w:top w:val="single" w:sz="4" w:space="0" w:color="auto"/>
            <w:bottom w:val="single" w:sz="12" w:space="0" w:color="auto"/>
          </w:tcBorders>
          <w:shd w:val="clear" w:color="auto" w:fill="auto"/>
        </w:tcPr>
        <w:p w:rsidR="00D3292A" w:rsidRPr="00A576AD" w:rsidRDefault="00D3292A" w:rsidP="00182DCB">
          <w:pPr>
            <w:pStyle w:val="En-tte"/>
            <w:spacing w:before="120" w:line="240" w:lineRule="auto"/>
            <w:ind w:left="-72"/>
            <w:jc w:val="center"/>
            <w:rPr>
              <w:lang w:val="fr-CH"/>
            </w:rPr>
          </w:pPr>
          <w:r w:rsidRPr="00A576AD">
            <w:rPr>
              <w:lang w:val="fr-CH"/>
            </w:rPr>
            <w:t xml:space="preserve">  </w:t>
          </w:r>
          <w:r w:rsidRPr="00A576AD">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3292A" w:rsidRPr="00A576AD" w:rsidRDefault="00D3292A" w:rsidP="00182DCB">
          <w:pPr>
            <w:pStyle w:val="XLarge"/>
            <w:spacing w:before="109"/>
            <w:rPr>
              <w:lang w:val="fr-CH"/>
            </w:rPr>
          </w:pPr>
          <w:r w:rsidRPr="00A576AD">
            <w:rPr>
              <w:lang w:val="fr-CH"/>
            </w:rPr>
            <w:t>Conseil économique et social</w:t>
          </w:r>
        </w:p>
      </w:tc>
      <w:tc>
        <w:tcPr>
          <w:tcW w:w="245" w:type="dxa"/>
          <w:tcBorders>
            <w:top w:val="single" w:sz="4" w:space="0" w:color="auto"/>
            <w:bottom w:val="single" w:sz="12" w:space="0" w:color="auto"/>
          </w:tcBorders>
          <w:shd w:val="clear" w:color="auto" w:fill="auto"/>
        </w:tcPr>
        <w:p w:rsidR="00D3292A" w:rsidRPr="00A576AD" w:rsidRDefault="00D3292A" w:rsidP="00182DCB">
          <w:pPr>
            <w:pStyle w:val="En-tte"/>
            <w:spacing w:before="109"/>
            <w:rPr>
              <w:lang w:val="fr-CH"/>
            </w:rPr>
          </w:pPr>
        </w:p>
      </w:tc>
      <w:tc>
        <w:tcPr>
          <w:tcW w:w="3280" w:type="dxa"/>
          <w:tcBorders>
            <w:top w:val="single" w:sz="4" w:space="0" w:color="auto"/>
            <w:bottom w:val="single" w:sz="12" w:space="0" w:color="auto"/>
          </w:tcBorders>
          <w:shd w:val="clear" w:color="auto" w:fill="auto"/>
        </w:tcPr>
        <w:p w:rsidR="00D3292A" w:rsidRPr="00A576AD" w:rsidRDefault="00D3292A" w:rsidP="00182DCB">
          <w:pPr>
            <w:pStyle w:val="Distribution"/>
            <w:rPr>
              <w:color w:val="000000"/>
              <w:lang w:val="fr-CH"/>
            </w:rPr>
          </w:pPr>
          <w:proofErr w:type="spellStart"/>
          <w:r w:rsidRPr="00A576AD">
            <w:rPr>
              <w:color w:val="000000"/>
              <w:lang w:val="fr-CH"/>
            </w:rPr>
            <w:t>Distr</w:t>
          </w:r>
          <w:proofErr w:type="spellEnd"/>
          <w:r w:rsidRPr="00A576AD">
            <w:rPr>
              <w:color w:val="000000"/>
              <w:lang w:val="fr-CH"/>
            </w:rPr>
            <w:t>. générale</w:t>
          </w:r>
        </w:p>
        <w:p w:rsidR="00D3292A" w:rsidRPr="00A576AD" w:rsidRDefault="00D3292A" w:rsidP="00182DCB">
          <w:pPr>
            <w:pStyle w:val="Publication"/>
            <w:rPr>
              <w:color w:val="000000"/>
              <w:lang w:val="fr-CH"/>
            </w:rPr>
          </w:pPr>
          <w:r w:rsidRPr="00A576AD">
            <w:rPr>
              <w:color w:val="000000"/>
              <w:lang w:val="fr-CH"/>
            </w:rPr>
            <w:t>26 juin 2015</w:t>
          </w:r>
        </w:p>
        <w:p w:rsidR="00D3292A" w:rsidRPr="00A576AD" w:rsidRDefault="00D3292A" w:rsidP="00182DCB">
          <w:pPr>
            <w:rPr>
              <w:lang w:val="fr-CH"/>
            </w:rPr>
          </w:pPr>
          <w:r w:rsidRPr="00A576AD">
            <w:rPr>
              <w:lang w:val="fr-CH"/>
            </w:rPr>
            <w:t>Français</w:t>
          </w:r>
        </w:p>
        <w:p w:rsidR="00D3292A" w:rsidRPr="00A576AD" w:rsidRDefault="00D3292A" w:rsidP="00182DCB">
          <w:pPr>
            <w:pStyle w:val="Original"/>
            <w:rPr>
              <w:color w:val="000000"/>
              <w:lang w:val="fr-CH"/>
            </w:rPr>
          </w:pPr>
          <w:r w:rsidRPr="00A576AD">
            <w:rPr>
              <w:color w:val="000000"/>
              <w:lang w:val="fr-CH"/>
            </w:rPr>
            <w:t>Original : anglais</w:t>
          </w:r>
        </w:p>
      </w:tc>
    </w:tr>
  </w:tbl>
  <w:p w:rsidR="00D3292A" w:rsidRPr="00A576AD" w:rsidRDefault="00D3292A" w:rsidP="00182DCB">
    <w:pPr>
      <w:pStyle w:val="En-tte"/>
      <w:spacing w:line="240" w:lineRule="auto"/>
      <w:rPr>
        <w:sz w:val="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E514D"/>
    <w:multiLevelType w:val="singleLevel"/>
    <w:tmpl w:val="86BC82C0"/>
    <w:lvl w:ilvl="0">
      <w:start w:val="1"/>
      <w:numFmt w:val="decimal"/>
      <w:lvlRestart w:val="0"/>
      <w:lvlText w:val="%1."/>
      <w:lvlJc w:val="left"/>
      <w:pPr>
        <w:tabs>
          <w:tab w:val="num" w:pos="475"/>
        </w:tabs>
        <w:ind w:left="0" w:firstLine="0"/>
      </w:pPr>
      <w:rPr>
        <w:w w:val="100"/>
      </w:rPr>
    </w:lvl>
  </w:abstractNum>
  <w:abstractNum w:abstractNumId="5">
    <w:nsid w:val="2B2613C8"/>
    <w:multiLevelType w:val="singleLevel"/>
    <w:tmpl w:val="1CAA20C2"/>
    <w:lvl w:ilvl="0">
      <w:start w:val="1"/>
      <w:numFmt w:val="decimal"/>
      <w:lvlRestart w:val="0"/>
      <w:lvlText w:val="%1."/>
      <w:lvlJc w:val="left"/>
      <w:pPr>
        <w:tabs>
          <w:tab w:val="num" w:pos="475"/>
        </w:tabs>
        <w:ind w:left="0" w:firstLine="0"/>
      </w:pPr>
      <w:rPr>
        <w:b w:val="0"/>
        <w:w w:val="100"/>
      </w:rPr>
    </w:lvl>
  </w:abstractNum>
  <w:abstractNum w:abstractNumId="6">
    <w:nsid w:val="40BA57B2"/>
    <w:multiLevelType w:val="singleLevel"/>
    <w:tmpl w:val="86BC82C0"/>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131CCA"/>
    <w:multiLevelType w:val="hybridMultilevel"/>
    <w:tmpl w:val="26D07172"/>
    <w:lvl w:ilvl="0" w:tplc="35DEF92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7AB26279"/>
    <w:multiLevelType w:val="singleLevel"/>
    <w:tmpl w:val="86BC82C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8"/>
  </w:num>
  <w:num w:numId="8">
    <w:abstractNumId w:val="5"/>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9458"/>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604*"/>
    <w:docVar w:name="CreationDt" w:val="8/10/2015 12:23 PM"/>
    <w:docVar w:name="DocCategory" w:val="Doc"/>
    <w:docVar w:name="DocType" w:val="Final"/>
    <w:docVar w:name="DutyStation" w:val="Geneva"/>
    <w:docVar w:name="FooterJN" w:val="GE.15-10604"/>
    <w:docVar w:name="jobn" w:val="GE.15-10604 (F)"/>
    <w:docVar w:name="jobnDT" w:val="GE.15-10604 (F)   100815"/>
    <w:docVar w:name="jobnDTDT" w:val="GE.15-10604 (F)   100815   100815"/>
    <w:docVar w:name="JobNo" w:val="GE.1510604F"/>
    <w:docVar w:name="JobNo2" w:val="GE.1513532F"/>
    <w:docVar w:name="LocalDrive" w:val="0"/>
    <w:docVar w:name="OandT" w:val="Beysard"/>
    <w:docVar w:name="PaperSize" w:val="A4"/>
    <w:docVar w:name="sss1" w:val="ECE/TRANS/WP.15/AC.1/2015/37"/>
    <w:docVar w:name="sss2" w:val="-"/>
    <w:docVar w:name="Symbol1" w:val="ECE/TRANS/WP.15/AC.1/2015/37"/>
    <w:docVar w:name="Symbol2" w:val="-"/>
  </w:docVars>
  <w:rsids>
    <w:rsidRoot w:val="00762822"/>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10FE"/>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2DCB"/>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224B6"/>
    <w:rsid w:val="00237D01"/>
    <w:rsid w:val="00240F64"/>
    <w:rsid w:val="002410E3"/>
    <w:rsid w:val="002411C1"/>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27A2C"/>
    <w:rsid w:val="00332A87"/>
    <w:rsid w:val="003342DF"/>
    <w:rsid w:val="00334FEB"/>
    <w:rsid w:val="00337015"/>
    <w:rsid w:val="003406CA"/>
    <w:rsid w:val="00340736"/>
    <w:rsid w:val="00340F15"/>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D4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081D"/>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834"/>
    <w:rsid w:val="00687FB1"/>
    <w:rsid w:val="0069608C"/>
    <w:rsid w:val="00697952"/>
    <w:rsid w:val="006A0178"/>
    <w:rsid w:val="006A04E6"/>
    <w:rsid w:val="006A0B3D"/>
    <w:rsid w:val="006A2F71"/>
    <w:rsid w:val="006A5910"/>
    <w:rsid w:val="006B1ABC"/>
    <w:rsid w:val="006B5F56"/>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822"/>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5D2"/>
    <w:rsid w:val="007A78C2"/>
    <w:rsid w:val="007B05E9"/>
    <w:rsid w:val="007B1E17"/>
    <w:rsid w:val="007B1F79"/>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3CF"/>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5D4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186"/>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6AD"/>
    <w:rsid w:val="00A57C5A"/>
    <w:rsid w:val="00A64AD2"/>
    <w:rsid w:val="00A665AE"/>
    <w:rsid w:val="00A72163"/>
    <w:rsid w:val="00A72C1F"/>
    <w:rsid w:val="00A72F5E"/>
    <w:rsid w:val="00A75482"/>
    <w:rsid w:val="00A761B5"/>
    <w:rsid w:val="00A83E5E"/>
    <w:rsid w:val="00A84C12"/>
    <w:rsid w:val="00A85CA4"/>
    <w:rsid w:val="00A85D04"/>
    <w:rsid w:val="00A85DB4"/>
    <w:rsid w:val="00A86044"/>
    <w:rsid w:val="00A908B0"/>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B95"/>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6678"/>
    <w:rsid w:val="00B870D6"/>
    <w:rsid w:val="00B874A9"/>
    <w:rsid w:val="00B932C8"/>
    <w:rsid w:val="00B93B31"/>
    <w:rsid w:val="00B9457F"/>
    <w:rsid w:val="00B965BF"/>
    <w:rsid w:val="00B97570"/>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706C"/>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239"/>
    <w:rsid w:val="00C57F00"/>
    <w:rsid w:val="00C60C0B"/>
    <w:rsid w:val="00C62DD2"/>
    <w:rsid w:val="00C66382"/>
    <w:rsid w:val="00C67F09"/>
    <w:rsid w:val="00C72788"/>
    <w:rsid w:val="00C75F9C"/>
    <w:rsid w:val="00C762DA"/>
    <w:rsid w:val="00C76A5E"/>
    <w:rsid w:val="00C865D9"/>
    <w:rsid w:val="00C87110"/>
    <w:rsid w:val="00C90813"/>
    <w:rsid w:val="00C90C2B"/>
    <w:rsid w:val="00C9582B"/>
    <w:rsid w:val="00C978FA"/>
    <w:rsid w:val="00CA13F9"/>
    <w:rsid w:val="00CA2B14"/>
    <w:rsid w:val="00CA2D2A"/>
    <w:rsid w:val="00CA33C3"/>
    <w:rsid w:val="00CA40E0"/>
    <w:rsid w:val="00CA4C49"/>
    <w:rsid w:val="00CA67AB"/>
    <w:rsid w:val="00CA789C"/>
    <w:rsid w:val="00CB016F"/>
    <w:rsid w:val="00CB0CBE"/>
    <w:rsid w:val="00CB1C6D"/>
    <w:rsid w:val="00CB1E93"/>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350E"/>
    <w:rsid w:val="00D26063"/>
    <w:rsid w:val="00D265B2"/>
    <w:rsid w:val="00D26BA6"/>
    <w:rsid w:val="00D27D4B"/>
    <w:rsid w:val="00D320C3"/>
    <w:rsid w:val="00D3292A"/>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36CF"/>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F8B"/>
    <w:rsid w:val="00F357CB"/>
    <w:rsid w:val="00F35CA0"/>
    <w:rsid w:val="00F36A57"/>
    <w:rsid w:val="00F4019F"/>
    <w:rsid w:val="00F4328A"/>
    <w:rsid w:val="00F44706"/>
    <w:rsid w:val="00F44A91"/>
    <w:rsid w:val="00F45420"/>
    <w:rsid w:val="00F51EF7"/>
    <w:rsid w:val="00F52A72"/>
    <w:rsid w:val="00F54C59"/>
    <w:rsid w:val="00F609CB"/>
    <w:rsid w:val="00F63C8F"/>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182DCB"/>
    <w:rPr>
      <w:sz w:val="16"/>
      <w:szCs w:val="16"/>
    </w:rPr>
  </w:style>
  <w:style w:type="paragraph" w:styleId="Commentaire">
    <w:name w:val="annotation text"/>
    <w:basedOn w:val="Normal"/>
    <w:link w:val="CommentaireCar"/>
    <w:uiPriority w:val="99"/>
    <w:semiHidden/>
    <w:unhideWhenUsed/>
    <w:rsid w:val="00182DCB"/>
    <w:pPr>
      <w:spacing w:line="240" w:lineRule="auto"/>
    </w:pPr>
    <w:rPr>
      <w:szCs w:val="20"/>
    </w:rPr>
  </w:style>
  <w:style w:type="character" w:customStyle="1" w:styleId="CommentaireCar">
    <w:name w:val="Commentaire Car"/>
    <w:basedOn w:val="Policepardfaut"/>
    <w:link w:val="Commentaire"/>
    <w:uiPriority w:val="99"/>
    <w:semiHidden/>
    <w:rsid w:val="00182DCB"/>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182DCB"/>
    <w:rPr>
      <w:b/>
      <w:bCs/>
    </w:rPr>
  </w:style>
  <w:style w:type="character" w:customStyle="1" w:styleId="ObjetducommentaireCar">
    <w:name w:val="Objet du commentaire Car"/>
    <w:basedOn w:val="CommentaireCar"/>
    <w:link w:val="Objetducommentaire"/>
    <w:uiPriority w:val="99"/>
    <w:semiHidden/>
    <w:rsid w:val="00182DCB"/>
    <w:rPr>
      <w:rFonts w:ascii="Times New Roman" w:hAnsi="Times New Roman"/>
      <w:b/>
      <w:bCs/>
      <w:spacing w:val="4"/>
      <w:w w:val="103"/>
      <w:kern w:val="14"/>
      <w:lang w:val="fr-CA"/>
    </w:rPr>
  </w:style>
  <w:style w:type="paragraph" w:customStyle="1" w:styleId="Bullet1G">
    <w:name w:val="_Bullet 1_G"/>
    <w:basedOn w:val="Normal"/>
    <w:rsid w:val="00CA33C3"/>
    <w:pPr>
      <w:suppressAutoHyphens/>
      <w:spacing w:after="120" w:line="240" w:lineRule="atLeast"/>
      <w:ind w:right="1134"/>
      <w:jc w:val="both"/>
    </w:pPr>
    <w:rPr>
      <w:rFonts w:eastAsia="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82DCB"/>
    <w:rPr>
      <w:sz w:val="16"/>
      <w:szCs w:val="16"/>
    </w:rPr>
  </w:style>
  <w:style w:type="paragraph" w:styleId="CommentText">
    <w:name w:val="annotation text"/>
    <w:basedOn w:val="Normal"/>
    <w:link w:val="CommentTextChar"/>
    <w:uiPriority w:val="99"/>
    <w:semiHidden/>
    <w:unhideWhenUsed/>
    <w:rsid w:val="00182DCB"/>
    <w:pPr>
      <w:spacing w:line="240" w:lineRule="auto"/>
    </w:pPr>
    <w:rPr>
      <w:szCs w:val="20"/>
    </w:rPr>
  </w:style>
  <w:style w:type="character" w:customStyle="1" w:styleId="CommentTextChar">
    <w:name w:val="Comment Text Char"/>
    <w:basedOn w:val="DefaultParagraphFont"/>
    <w:link w:val="CommentText"/>
    <w:uiPriority w:val="99"/>
    <w:semiHidden/>
    <w:rsid w:val="00182DC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82DCB"/>
    <w:rPr>
      <w:b/>
      <w:bCs/>
    </w:rPr>
  </w:style>
  <w:style w:type="character" w:customStyle="1" w:styleId="CommentSubjectChar">
    <w:name w:val="Comment Subject Char"/>
    <w:basedOn w:val="CommentTextChar"/>
    <w:link w:val="CommentSubject"/>
    <w:uiPriority w:val="99"/>
    <w:semiHidden/>
    <w:rsid w:val="00182DCB"/>
    <w:rPr>
      <w:rFonts w:ascii="Times New Roman" w:hAnsi="Times New Roman"/>
      <w:b/>
      <w:bCs/>
      <w:spacing w:val="4"/>
      <w:w w:val="103"/>
      <w:kern w:val="14"/>
      <w:lang w:val="fr-CA"/>
    </w:rPr>
  </w:style>
  <w:style w:type="paragraph" w:customStyle="1" w:styleId="Bullet1G">
    <w:name w:val="_Bullet 1_G"/>
    <w:basedOn w:val="Normal"/>
    <w:rsid w:val="00CA33C3"/>
    <w:pPr>
      <w:suppressAutoHyphens/>
      <w:spacing w:after="120" w:line="240" w:lineRule="atLeast"/>
      <w:ind w:right="1134"/>
      <w:jc w:val="both"/>
    </w:pPr>
    <w:rPr>
      <w:rFonts w:eastAsia="Times New Roman"/>
      <w:spacing w:val="0"/>
      <w:w w:val="100"/>
      <w:kern w:val="0"/>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296F-3EC8-44B9-8CFB-26E03718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Maison</cp:lastModifiedBy>
  <cp:revision>2</cp:revision>
  <cp:lastPrinted>2015-08-10T13:01:00Z</cp:lastPrinted>
  <dcterms:created xsi:type="dcterms:W3CDTF">2015-08-11T09:08:00Z</dcterms:created>
  <dcterms:modified xsi:type="dcterms:W3CDTF">2015-08-11T09:08:00Z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1510604F</vt:lpwstr>
  </property>
  <property fmtid="{D5CDD505-2E9C-101B-9397-08002B2CF9AE}" pid="3" name="ODSRefJobNo">
    <vt:lpwstr>1513532F</vt:lpwstr>
  </property>
  <property fmtid="{D5CDD505-2E9C-101B-9397-08002B2CF9AE}" pid="4" name="Symbol1">
    <vt:lpwstr>ECE/TRANS/WP.15/AC.1/2015/37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26 juin 2015</vt:lpwstr>
  </property>
  <property fmtid="{D5CDD505-2E9C-101B-9397-08002B2CF9AE}" pid="9" name="Original">
    <vt:lpwstr>anglais</vt:lpwstr>
  </property>
  <property fmtid="{D5CDD505-2E9C-101B-9397-08002B2CF9AE}" pid="10" name="Release Date">
    <vt:lpwstr>100815</vt:lpwstr>
  </property>
  <property fmtid="{D5CDD505-2E9C-101B-9397-08002B2CF9AE}" pid="11" name="Comment">
    <vt:lpwstr/>
  </property>
  <property fmtid="{D5CDD505-2E9C-101B-9397-08002B2CF9AE}" pid="12" name="DraftPages">
    <vt:lpwstr> </vt:lpwstr>
  </property>
  <property fmtid="{D5CDD505-2E9C-101B-9397-08002B2CF9AE}" pid="13" name="Operator">
    <vt:lpwstr>Beysard</vt:lpwstr>
  </property>
</Properties>
</file>