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D0631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DD0631" w:rsidRDefault="00DD063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D0631" w:rsidRDefault="00DD063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DD0631" w:rsidRDefault="00DD0631" w:rsidP="00752BF3">
            <w:pPr>
              <w:jc w:val="right"/>
            </w:pPr>
            <w:r>
              <w:rPr>
                <w:sz w:val="40"/>
              </w:rPr>
              <w:t>ECE</w:t>
            </w:r>
            <w:r>
              <w:t>/TRANS/WP.15/AC.1/</w:t>
            </w:r>
            <w:r w:rsidR="0009666A">
              <w:t>2015</w:t>
            </w:r>
            <w:r w:rsidR="00A80BB3">
              <w:t>/40</w:t>
            </w:r>
          </w:p>
        </w:tc>
      </w:tr>
      <w:tr w:rsidR="00DD063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D0631" w:rsidRDefault="00F24EC3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D0631" w:rsidRDefault="00DD063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D0631" w:rsidRDefault="00DD0631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830534" w:rsidRDefault="00B95DD4">
            <w:pPr>
              <w:spacing w:line="240" w:lineRule="exact"/>
            </w:pPr>
            <w:r>
              <w:t>29</w:t>
            </w:r>
            <w:r w:rsidR="003D6C55">
              <w:t xml:space="preserve"> juin 2015</w:t>
            </w:r>
          </w:p>
          <w:p w:rsidR="003D6C55" w:rsidRDefault="003D6C55">
            <w:pPr>
              <w:spacing w:line="240" w:lineRule="exact"/>
            </w:pPr>
          </w:p>
          <w:p w:rsidR="00DD0631" w:rsidRDefault="005A044A">
            <w:pPr>
              <w:spacing w:line="240" w:lineRule="exact"/>
            </w:pPr>
            <w:r>
              <w:t xml:space="preserve">Original: </w:t>
            </w:r>
            <w:r w:rsidR="00DD0631">
              <w:t>français</w:t>
            </w:r>
          </w:p>
        </w:tc>
      </w:tr>
    </w:tbl>
    <w:p w:rsidR="00DD0631" w:rsidRDefault="00DD063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DD0631" w:rsidRDefault="00DD063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DD0631" w:rsidRDefault="00DD063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des transports de marchandises dangereuses</w:t>
      </w:r>
    </w:p>
    <w:p w:rsidR="00DD0631" w:rsidRDefault="00DD0631">
      <w:pPr>
        <w:spacing w:before="120"/>
        <w:rPr>
          <w:b/>
        </w:rPr>
      </w:pPr>
      <w:r>
        <w:rPr>
          <w:b/>
        </w:rPr>
        <w:t>Réunion commune de la Commission d’experts du RID et</w:t>
      </w:r>
      <w:r>
        <w:rPr>
          <w:b/>
        </w:rPr>
        <w:br/>
        <w:t>du Groupe de travail des transports de marchandises dangereuses</w:t>
      </w:r>
    </w:p>
    <w:p w:rsidR="00D2300B" w:rsidRDefault="00D2300B" w:rsidP="00D2300B">
      <w:pPr>
        <w:suppressAutoHyphens w:val="0"/>
        <w:spacing w:line="240" w:lineRule="auto"/>
        <w:rPr>
          <w:lang w:eastAsia="fr-CH"/>
        </w:rPr>
      </w:pPr>
      <w:r>
        <w:rPr>
          <w:lang w:eastAsia="fr-CH"/>
        </w:rPr>
        <w:t>Genève, 15–25 septembre 2015</w:t>
      </w:r>
    </w:p>
    <w:p w:rsidR="00D2300B" w:rsidRDefault="00D2300B" w:rsidP="00D2300B">
      <w:pPr>
        <w:rPr>
          <w:lang w:eastAsia="fr-CH"/>
        </w:rPr>
      </w:pPr>
      <w:r>
        <w:rPr>
          <w:lang w:eastAsia="fr-CH"/>
        </w:rPr>
        <w:t>Point 3 b) de l'ordre du jour provisoire</w:t>
      </w:r>
    </w:p>
    <w:p w:rsidR="00D2300B" w:rsidRPr="004160B4" w:rsidRDefault="00D2300B" w:rsidP="00D2300B">
      <w:pPr>
        <w:rPr>
          <w:b/>
        </w:rPr>
      </w:pPr>
      <w:r w:rsidRPr="004160B4">
        <w:rPr>
          <w:b/>
          <w:lang w:eastAsia="fr-CH"/>
        </w:rPr>
        <w:t>Propositions divers</w:t>
      </w:r>
      <w:r w:rsidR="00A80BB3">
        <w:rPr>
          <w:b/>
          <w:lang w:eastAsia="fr-CH"/>
        </w:rPr>
        <w:t>es d’amendements au RID/ADR/ADN</w:t>
      </w:r>
      <w:r w:rsidRPr="004160B4">
        <w:rPr>
          <w:b/>
        </w:rPr>
        <w:t>:</w:t>
      </w:r>
    </w:p>
    <w:p w:rsidR="00DD0631" w:rsidRDefault="00A80BB3" w:rsidP="00D2300B">
      <w:proofErr w:type="gramStart"/>
      <w:r>
        <w:rPr>
          <w:b/>
        </w:rPr>
        <w:t>n</w:t>
      </w:r>
      <w:r w:rsidR="00D2300B" w:rsidRPr="004160B4">
        <w:rPr>
          <w:b/>
        </w:rPr>
        <w:t>ouvelles</w:t>
      </w:r>
      <w:proofErr w:type="gramEnd"/>
      <w:r w:rsidR="00D2300B" w:rsidRPr="004160B4">
        <w:rPr>
          <w:b/>
        </w:rPr>
        <w:t xml:space="preserve"> propositions</w:t>
      </w:r>
    </w:p>
    <w:p w:rsidR="00DD0631" w:rsidRDefault="00DD0631">
      <w:pPr>
        <w:pStyle w:val="HChG"/>
        <w:rPr>
          <w:rFonts w:eastAsia="Arial"/>
        </w:rPr>
      </w:pPr>
      <w:r w:rsidRPr="00B7373E">
        <w:tab/>
      </w:r>
      <w:r w:rsidRPr="00B7373E">
        <w:tab/>
      </w:r>
      <w:r>
        <w:t xml:space="preserve">Exemption </w:t>
      </w:r>
      <w:r w:rsidR="00B95DD4">
        <w:t xml:space="preserve">selon </w:t>
      </w:r>
      <w:r>
        <w:t>1.1.3.3</w:t>
      </w:r>
      <w:bookmarkStart w:id="0" w:name="_GoBack"/>
      <w:bookmarkEnd w:id="0"/>
    </w:p>
    <w:p w:rsidR="00DD0631" w:rsidRDefault="00DD0631">
      <w:pPr>
        <w:pStyle w:val="H1G"/>
        <w:rPr>
          <w:rFonts w:eastAsia="Arial"/>
        </w:rPr>
      </w:pPr>
      <w:r>
        <w:rPr>
          <w:rFonts w:eastAsia="Arial"/>
          <w:lang w:val="fr-FR"/>
        </w:rPr>
        <w:tab/>
      </w:r>
      <w:r>
        <w:rPr>
          <w:rFonts w:eastAsia="Arial"/>
          <w:lang w:val="fr-FR"/>
        </w:rPr>
        <w:tab/>
        <w:t>Communication du Gouvernement de la Suisse</w:t>
      </w:r>
      <w:r w:rsidR="00A80BB3" w:rsidRPr="008021DB">
        <w:rPr>
          <w:rStyle w:val="FootnoteReference"/>
          <w:b w:val="0"/>
        </w:rPr>
        <w:footnoteReference w:id="2"/>
      </w:r>
      <w:r w:rsidR="00A80BB3" w:rsidRPr="00624C7F">
        <w:rPr>
          <w:b w:val="0"/>
          <w:sz w:val="18"/>
          <w:szCs w:val="18"/>
          <w:vertAlign w:val="superscript"/>
        </w:rPr>
        <w:t xml:space="preserve">, </w:t>
      </w:r>
      <w:r w:rsidR="00A80BB3" w:rsidRPr="008021DB">
        <w:rPr>
          <w:rStyle w:val="FootnoteReference"/>
          <w:b w:val="0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DD0631">
        <w:trPr>
          <w:jc w:val="center"/>
        </w:trPr>
        <w:tc>
          <w:tcPr>
            <w:tcW w:w="9637" w:type="dxa"/>
            <w:shd w:val="clear" w:color="auto" w:fill="auto"/>
          </w:tcPr>
          <w:p w:rsidR="00DD0631" w:rsidRDefault="00DD0631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DD0631">
        <w:trPr>
          <w:jc w:val="center"/>
        </w:trPr>
        <w:tc>
          <w:tcPr>
            <w:tcW w:w="9637" w:type="dxa"/>
            <w:shd w:val="clear" w:color="auto" w:fill="auto"/>
          </w:tcPr>
          <w:p w:rsidR="00DD0631" w:rsidRDefault="00DD0631" w:rsidP="00A80BB3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Résumé analytique:</w:t>
            </w:r>
            <w:r>
              <w:rPr>
                <w:b/>
              </w:rPr>
              <w:tab/>
            </w:r>
            <w:r w:rsidR="007C1790">
              <w:t xml:space="preserve">La version anglaise du </w:t>
            </w:r>
            <w:r w:rsidR="004F2BC3">
              <w:t>1.1.3.3</w:t>
            </w:r>
            <w:r w:rsidR="00F95369">
              <w:t xml:space="preserve"> </w:t>
            </w:r>
            <w:r w:rsidR="00420D46">
              <w:t xml:space="preserve">RID/ADR </w:t>
            </w:r>
            <w:r w:rsidR="00752BF3" w:rsidRPr="0057149D">
              <w:t>prévoi</w:t>
            </w:r>
            <w:r w:rsidR="007C1790">
              <w:t>t</w:t>
            </w:r>
            <w:r w:rsidR="00752BF3" w:rsidRPr="0057149D">
              <w:t xml:space="preserve"> </w:t>
            </w:r>
            <w:r w:rsidR="0057149D" w:rsidRPr="0057149D">
              <w:t>une exemption pour les co</w:t>
            </w:r>
            <w:r w:rsidR="008F6F48">
              <w:t>mbustibles liquides (</w:t>
            </w:r>
            <w:proofErr w:type="spellStart"/>
            <w:r w:rsidR="0057149D" w:rsidRPr="0057149D">
              <w:t>liquid</w:t>
            </w:r>
            <w:proofErr w:type="spellEnd"/>
            <w:r w:rsidR="0057149D" w:rsidRPr="0057149D">
              <w:t xml:space="preserve"> fuels) alors que le</w:t>
            </w:r>
            <w:r w:rsidR="0057149D">
              <w:t>s</w:t>
            </w:r>
            <w:r w:rsidR="0057149D" w:rsidRPr="0057149D">
              <w:t xml:space="preserve"> texte</w:t>
            </w:r>
            <w:r w:rsidR="0057149D">
              <w:t>s</w:t>
            </w:r>
            <w:r w:rsidR="0057149D" w:rsidRPr="0057149D">
              <w:t xml:space="preserve"> français et allemand</w:t>
            </w:r>
            <w:r w:rsidR="0057149D">
              <w:t xml:space="preserve"> parlent de carburant</w:t>
            </w:r>
            <w:r w:rsidR="000575AC">
              <w:t>s liquides</w:t>
            </w:r>
            <w:r w:rsidR="0057149D">
              <w:t>.</w:t>
            </w:r>
          </w:p>
        </w:tc>
      </w:tr>
      <w:tr w:rsidR="00DD0631">
        <w:trPr>
          <w:jc w:val="center"/>
        </w:trPr>
        <w:tc>
          <w:tcPr>
            <w:tcW w:w="9637" w:type="dxa"/>
            <w:shd w:val="clear" w:color="auto" w:fill="auto"/>
          </w:tcPr>
          <w:p w:rsidR="00DD0631" w:rsidRDefault="00DD0631" w:rsidP="00A80BB3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Mesures à prendre:</w:t>
            </w:r>
            <w:r>
              <w:rPr>
                <w:b/>
              </w:rPr>
              <w:tab/>
            </w:r>
            <w:r w:rsidR="00FF4B74" w:rsidRPr="00FF4B74">
              <w:t>D</w:t>
            </w:r>
            <w:r w:rsidR="00FF4B74">
              <w:rPr>
                <w:rStyle w:val="SingleTxtGChar"/>
              </w:rPr>
              <w:t>ans les versions française et allemande</w:t>
            </w:r>
            <w:r w:rsidR="00F95369">
              <w:rPr>
                <w:rStyle w:val="SingleTxtGChar"/>
              </w:rPr>
              <w:t xml:space="preserve"> </w:t>
            </w:r>
            <w:r w:rsidR="00B95DD4">
              <w:rPr>
                <w:rStyle w:val="SingleTxtGChar"/>
              </w:rPr>
              <w:t xml:space="preserve">(pour le RID) </w:t>
            </w:r>
            <w:r w:rsidR="00F95369">
              <w:rPr>
                <w:rStyle w:val="SingleTxtGChar"/>
              </w:rPr>
              <w:t>du 1.1.3.3</w:t>
            </w:r>
            <w:r w:rsidR="00FF4B74">
              <w:rPr>
                <w:rStyle w:val="SingleTxtGChar"/>
              </w:rPr>
              <w:t xml:space="preserve">, </w:t>
            </w:r>
            <w:proofErr w:type="gramStart"/>
            <w:r w:rsidR="007510AC">
              <w:rPr>
                <w:rStyle w:val="SingleTxtGChar"/>
              </w:rPr>
              <w:t>remplacer</w:t>
            </w:r>
            <w:proofErr w:type="gramEnd"/>
            <w:r w:rsidR="00A80BB3">
              <w:rPr>
                <w:rStyle w:val="SingleTxtGChar"/>
              </w:rPr>
              <w:t xml:space="preserve"> «carburant» par «combustible</w:t>
            </w:r>
            <w:r w:rsidR="000248E7">
              <w:rPr>
                <w:rStyle w:val="SingleTxtGChar"/>
              </w:rPr>
              <w:t>»</w:t>
            </w:r>
            <w:r w:rsidR="00FF4B74">
              <w:rPr>
                <w:rStyle w:val="SingleTxtGChar"/>
              </w:rPr>
              <w:t xml:space="preserve">. </w:t>
            </w:r>
          </w:p>
        </w:tc>
      </w:tr>
      <w:tr w:rsidR="00DD0631">
        <w:trPr>
          <w:jc w:val="center"/>
        </w:trPr>
        <w:tc>
          <w:tcPr>
            <w:tcW w:w="9637" w:type="dxa"/>
            <w:shd w:val="clear" w:color="auto" w:fill="auto"/>
          </w:tcPr>
          <w:p w:rsidR="00DD0631" w:rsidRDefault="00DD0631" w:rsidP="00A80BB3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Documents de référence:</w:t>
            </w:r>
            <w:r>
              <w:rPr>
                <w:b/>
              </w:rPr>
              <w:tab/>
            </w:r>
            <w:r w:rsidR="00291854">
              <w:t>ECE/TRANS/WP.15/AC.1/2014/38, ECE/TRANS/WP.15/AC.1/136</w:t>
            </w:r>
            <w:r w:rsidR="00D0642A">
              <w:t>,</w:t>
            </w:r>
            <w:r w:rsidR="0009666A">
              <w:rPr>
                <w:lang w:val="fr-FR"/>
              </w:rPr>
              <w:t xml:space="preserve"> paras</w:t>
            </w:r>
            <w:r w:rsidR="00D0642A">
              <w:rPr>
                <w:lang w:val="fr-FR"/>
              </w:rPr>
              <w:t xml:space="preserve"> 41 et 42</w:t>
            </w:r>
            <w:r w:rsidR="00291854">
              <w:t>, ST/SG/AC</w:t>
            </w:r>
            <w:r w:rsidR="00D0642A">
              <w:t>.</w:t>
            </w:r>
            <w:r w:rsidR="00291854">
              <w:t>10/</w:t>
            </w:r>
            <w:r w:rsidR="00D0642A">
              <w:t>42/Add.</w:t>
            </w:r>
            <w:r w:rsidR="00AF492A">
              <w:t>1</w:t>
            </w:r>
          </w:p>
        </w:tc>
      </w:tr>
      <w:tr w:rsidR="00DD0631">
        <w:trPr>
          <w:jc w:val="center"/>
        </w:trPr>
        <w:tc>
          <w:tcPr>
            <w:tcW w:w="9637" w:type="dxa"/>
            <w:shd w:val="clear" w:color="auto" w:fill="auto"/>
          </w:tcPr>
          <w:p w:rsidR="00DD0631" w:rsidRDefault="00DD0631"/>
        </w:tc>
      </w:tr>
    </w:tbl>
    <w:p w:rsidR="00A905C6" w:rsidRPr="00D0642A" w:rsidRDefault="00A905C6" w:rsidP="00A905C6">
      <w:pPr>
        <w:suppressAutoHyphens w:val="0"/>
        <w:autoSpaceDE w:val="0"/>
        <w:autoSpaceDN w:val="0"/>
        <w:adjustRightInd w:val="0"/>
        <w:spacing w:line="240" w:lineRule="auto"/>
      </w:pPr>
    </w:p>
    <w:p w:rsidR="00DD0631" w:rsidRDefault="00A905C6" w:rsidP="00A905C6">
      <w:pPr>
        <w:pStyle w:val="HChG"/>
      </w:pPr>
      <w:r w:rsidRPr="00D0642A">
        <w:br w:type="page"/>
      </w:r>
      <w:r w:rsidR="00B95DD4">
        <w:lastRenderedPageBreak/>
        <w:tab/>
      </w:r>
      <w:r w:rsidR="00C770B9">
        <w:t>I.</w:t>
      </w:r>
      <w:r w:rsidR="00C770B9">
        <w:tab/>
      </w:r>
      <w:r w:rsidR="00DD0631">
        <w:t>Introduction</w:t>
      </w:r>
    </w:p>
    <w:p w:rsidR="005B7DCC" w:rsidRDefault="005B7DCC" w:rsidP="005B7DCC">
      <w:pPr>
        <w:pStyle w:val="SingleTxtG"/>
      </w:pPr>
      <w:r>
        <w:t>1.</w:t>
      </w:r>
      <w:r>
        <w:tab/>
        <w:t>Le principe énoncé dans le document ECE/TRANS/WP.15/AC.1/2014/38 présenté en septembre 2014 a été soutenu par la Réunion commune</w:t>
      </w:r>
      <w:r w:rsidR="00FC3971">
        <w:t xml:space="preserve">, qui </w:t>
      </w:r>
      <w:r w:rsidR="00FC3971" w:rsidRPr="00FC3971">
        <w:t>était d’accord avec le Gouvernement de la Suisse que les exemptions du 1.1.3.3 ne devraient pas être restreintes aux carburants (qui par définition alimentent des moteurs à combustion interne) et devraient concerner d’autres combustibles liquides servant au fonctionnement d’équipements autres que des moteurs à combustion interne</w:t>
      </w:r>
      <w:r w:rsidR="00FC3971">
        <w:t>.</w:t>
      </w:r>
      <w:r w:rsidR="00FC3971" w:rsidRPr="00FC3971">
        <w:t xml:space="preserve"> </w:t>
      </w:r>
      <w:r w:rsidR="00FC3971">
        <w:t>L</w:t>
      </w:r>
      <w:r>
        <w:t xml:space="preserve">a proposition </w:t>
      </w:r>
      <w:r w:rsidR="00AF492A">
        <w:t>de remplacer</w:t>
      </w:r>
      <w:r>
        <w:t xml:space="preserve"> </w:t>
      </w:r>
      <w:r w:rsidR="00AF492A">
        <w:t xml:space="preserve">le terme « carburant » par « combustible » </w:t>
      </w:r>
      <w:r>
        <w:t xml:space="preserve">au 1.1.3.3 </w:t>
      </w:r>
      <w:r w:rsidR="00AF492A">
        <w:t xml:space="preserve">RID/ADR </w:t>
      </w:r>
      <w:r>
        <w:t xml:space="preserve">n’a </w:t>
      </w:r>
      <w:r w:rsidR="00FC3971">
        <w:t xml:space="preserve">toutefois </w:t>
      </w:r>
      <w:r>
        <w:t>pas été adoptée dans l’attente des décisions que le Sous-comité d’experts de l’ONU devait prendre en décembre 2014 (ECE/TRANS/WP.15/AC.1/136</w:t>
      </w:r>
      <w:r w:rsidR="00D0642A">
        <w:t>, paras 41</w:t>
      </w:r>
      <w:r>
        <w:t xml:space="preserve"> et 42). </w:t>
      </w:r>
    </w:p>
    <w:p w:rsidR="005B7DCC" w:rsidRDefault="005B7DCC" w:rsidP="005B7DCC">
      <w:pPr>
        <w:pStyle w:val="SingleTxtG"/>
      </w:pPr>
      <w:r>
        <w:t>2.</w:t>
      </w:r>
      <w:r>
        <w:tab/>
        <w:t xml:space="preserve">Les modifications </w:t>
      </w:r>
      <w:r w:rsidR="00AF492A">
        <w:t>adoptées</w:t>
      </w:r>
      <w:r>
        <w:t xml:space="preserve"> par le Sous-comité d’experts de l’ONU (</w:t>
      </w:r>
      <w:r w:rsidR="00AF492A" w:rsidRPr="00AF492A">
        <w:t>ST/SG/AC.10/42/Add.1</w:t>
      </w:r>
      <w:r>
        <w:t xml:space="preserve">) et </w:t>
      </w:r>
      <w:r w:rsidR="00AF492A">
        <w:t>reprises</w:t>
      </w:r>
      <w:r>
        <w:t xml:space="preserve"> par le Groupe </w:t>
      </w:r>
      <w:r w:rsidR="00B95DD4">
        <w:t>de travail spécial de l’harmonisation avec les Recommandations de l’ONU</w:t>
      </w:r>
      <w:r w:rsidR="00D0642A">
        <w:t xml:space="preserve"> en mai 2015</w:t>
      </w:r>
      <w:r>
        <w:t xml:space="preserve"> (</w:t>
      </w:r>
      <w:r w:rsidRPr="00A7007C">
        <w:t>ECE</w:t>
      </w:r>
      <w:r w:rsidR="00B95DD4">
        <w:t>/TRANS/WP.15/AC.1/2015/23/Add.1</w:t>
      </w:r>
      <w:r>
        <w:t>) n’ont aucune incidence sur l’exemption prévue au 1.1.3.3</w:t>
      </w:r>
      <w:r w:rsidR="00F95369">
        <w:t>.</w:t>
      </w:r>
      <w:r>
        <w:t xml:space="preserve"> En particulier, la rubrique du </w:t>
      </w:r>
      <w:r w:rsidR="00B95DD4">
        <w:t>No</w:t>
      </w:r>
      <w:r>
        <w:t xml:space="preserve"> ONU 3166 continuera à bénéficier de l’exemption existante dans le RID</w:t>
      </w:r>
      <w:r w:rsidR="00A745B5">
        <w:t>/</w:t>
      </w:r>
      <w:r>
        <w:t>ADR</w:t>
      </w:r>
      <w:r w:rsidR="00A745B5">
        <w:t>/</w:t>
      </w:r>
      <w:r>
        <w:t xml:space="preserve">ADN. Par conséquent </w:t>
      </w:r>
      <w:r w:rsidR="00BA4055">
        <w:t xml:space="preserve">nous désirons </w:t>
      </w:r>
      <w:r w:rsidR="00583714">
        <w:t>soumettre</w:t>
      </w:r>
      <w:r>
        <w:t xml:space="preserve"> à nouveau </w:t>
      </w:r>
      <w:r w:rsidR="0009666A">
        <w:t>notre</w:t>
      </w:r>
      <w:r>
        <w:t xml:space="preserve"> proposition.</w:t>
      </w:r>
    </w:p>
    <w:p w:rsidR="00101632" w:rsidRDefault="005B7DCC" w:rsidP="003019FF">
      <w:pPr>
        <w:pStyle w:val="SingleTxtG"/>
      </w:pPr>
      <w:r>
        <w:t>3.</w:t>
      </w:r>
      <w:r>
        <w:tab/>
        <w:t>Pour rappel, le 1.1.3.3</w:t>
      </w:r>
      <w:r w:rsidR="003019FF">
        <w:t xml:space="preserve"> a)</w:t>
      </w:r>
      <w:r w:rsidR="00B95DD4">
        <w:t xml:space="preserve"> s'applique au «carburant» (en anglais</w:t>
      </w:r>
      <w:r>
        <w:t>: fuel)</w:t>
      </w:r>
      <w:r w:rsidR="003019FF">
        <w:t xml:space="preserve"> contenu </w:t>
      </w:r>
      <w:r>
        <w:t>dans les réservoirs d'un véhicule effectuant une opération de transport et qui est destiné à sa propulsion ou au fonctionnement d'un de ses équipements utilisé ou destiné à une utilisation durant l</w:t>
      </w:r>
      <w:r w:rsidR="003019FF">
        <w:t>e transport.</w:t>
      </w:r>
    </w:p>
    <w:p w:rsidR="003172D4" w:rsidRDefault="00D179B9" w:rsidP="00AF492A">
      <w:pPr>
        <w:pStyle w:val="SingleTxtG"/>
      </w:pPr>
      <w:r>
        <w:t>4.</w:t>
      </w:r>
      <w:r>
        <w:tab/>
      </w:r>
      <w:r w:rsidR="00F11BB9">
        <w:t>Or, l</w:t>
      </w:r>
      <w:r>
        <w:t>e</w:t>
      </w:r>
      <w:r w:rsidR="00A745B5">
        <w:t xml:space="preserve"> terme</w:t>
      </w:r>
      <w:r w:rsidR="00770844">
        <w:t xml:space="preserve"> </w:t>
      </w:r>
      <w:r w:rsidR="00A7025D">
        <w:t>«carburant</w:t>
      </w:r>
      <w:r w:rsidR="00A745B5">
        <w:t xml:space="preserve">» </w:t>
      </w:r>
      <w:r>
        <w:t>utilisé dans</w:t>
      </w:r>
      <w:r w:rsidR="00F95369">
        <w:t xml:space="preserve"> la sous-section 1.1.3.3</w:t>
      </w:r>
      <w:r>
        <w:t xml:space="preserve"> est restrictif, puisqu’il se rapport</w:t>
      </w:r>
      <w:r w:rsidR="00F11BB9">
        <w:t>e</w:t>
      </w:r>
      <w:r>
        <w:t xml:space="preserve"> au</w:t>
      </w:r>
      <w:r w:rsidR="00F11BB9">
        <w:t>x</w:t>
      </w:r>
      <w:r>
        <w:t xml:space="preserve"> moteurs à combustion interne. Pour certains équipement</w:t>
      </w:r>
      <w:r w:rsidR="00420D46">
        <w:t>s</w:t>
      </w:r>
      <w:r>
        <w:t>, par exemple les dispositifs de chauffage, il convient</w:t>
      </w:r>
      <w:r w:rsidR="00F95369">
        <w:t xml:space="preserve"> </w:t>
      </w:r>
      <w:r w:rsidR="00F67D82">
        <w:t>de parler de combustible</w:t>
      </w:r>
      <w:r w:rsidR="000575AC">
        <w:t>. Le terme combustible est d’ailleurs utilisé</w:t>
      </w:r>
      <w:r w:rsidR="00770844">
        <w:t xml:space="preserve"> </w:t>
      </w:r>
      <w:r w:rsidR="001110C3">
        <w:t>dans la</w:t>
      </w:r>
      <w:r w:rsidR="00A745B5">
        <w:t xml:space="preserve"> </w:t>
      </w:r>
      <w:r w:rsidR="00F1085D">
        <w:t xml:space="preserve">version actuelle de la </w:t>
      </w:r>
      <w:r w:rsidR="00A745B5">
        <w:t>disposi</w:t>
      </w:r>
      <w:r w:rsidR="001110C3">
        <w:t>tion spéciale 363 (</w:t>
      </w:r>
      <w:r w:rsidR="00A7025D">
        <w:t>«</w:t>
      </w:r>
      <w:r w:rsidR="00A745B5">
        <w:t>Cette rubrique s’applique également aux combustibles liquides autres que ceux exemptés en</w:t>
      </w:r>
      <w:r w:rsidR="001110C3">
        <w:t xml:space="preserve"> vertu du 1.1.3.3</w:t>
      </w:r>
      <w:r w:rsidR="00F1085D">
        <w:t>»).</w:t>
      </w:r>
    </w:p>
    <w:p w:rsidR="00DD0631" w:rsidRDefault="00A745B5">
      <w:pPr>
        <w:pStyle w:val="SingleTxtG"/>
      </w:pPr>
      <w:r>
        <w:t>5.</w:t>
      </w:r>
      <w:r>
        <w:tab/>
        <w:t>Afin d’illustrer cette problématique</w:t>
      </w:r>
      <w:r w:rsidR="00770844">
        <w:t>, nous</w:t>
      </w:r>
      <w:r>
        <w:t xml:space="preserve"> </w:t>
      </w:r>
      <w:r w:rsidR="00770844">
        <w:t>présentons en annexe l’</w:t>
      </w:r>
      <w:r>
        <w:t>exemple d’un appareil de chauffage</w:t>
      </w:r>
      <w:r w:rsidR="00456381">
        <w:t xml:space="preserve"> </w:t>
      </w:r>
      <w:r w:rsidR="000248E7" w:rsidRPr="000248E7">
        <w:t xml:space="preserve">destiné à éviter la présence de neige et de glace sur le </w:t>
      </w:r>
      <w:r w:rsidR="000248E7">
        <w:t>toit d’un véhicule.</w:t>
      </w:r>
    </w:p>
    <w:p w:rsidR="00DD0631" w:rsidRDefault="00B95DD4">
      <w:pPr>
        <w:pStyle w:val="HChG"/>
      </w:pPr>
      <w:r>
        <w:tab/>
      </w:r>
      <w:r w:rsidR="00D65C34">
        <w:t>II.</w:t>
      </w:r>
      <w:r w:rsidR="00D65C34">
        <w:tab/>
      </w:r>
      <w:r w:rsidR="00DD0631">
        <w:t>Proposition</w:t>
      </w:r>
    </w:p>
    <w:p w:rsidR="00F95369" w:rsidRDefault="003019FF">
      <w:pPr>
        <w:pStyle w:val="SingleTxtG"/>
      </w:pPr>
      <w:r>
        <w:t>6.</w:t>
      </w:r>
      <w:r>
        <w:tab/>
      </w:r>
      <w:r w:rsidR="00A12B93">
        <w:t>(</w:t>
      </w:r>
      <w:r>
        <w:t>Cette proposition n</w:t>
      </w:r>
      <w:r w:rsidR="00DD0631">
        <w:t>e concerne pas la version anglaise.</w:t>
      </w:r>
      <w:r w:rsidR="00A12B93">
        <w:t xml:space="preserve">) </w:t>
      </w:r>
      <w:r w:rsidR="00A7025D">
        <w:t>Au 1.1.3.3, remplacer «carburants» par «combustibles» dans le titre et «carburant» par «</w:t>
      </w:r>
      <w:r w:rsidR="00F95369">
        <w:t>combus</w:t>
      </w:r>
      <w:r w:rsidR="00A7025D">
        <w:t>tible</w:t>
      </w:r>
      <w:r w:rsidR="00F95369">
        <w:t>» chaque fois que cela apparaît dans le texte (</w:t>
      </w:r>
      <w:r w:rsidR="00DA4E6F">
        <w:t>cinq</w:t>
      </w:r>
      <w:r w:rsidR="00F95369">
        <w:t xml:space="preserve"> fois dans le RID, </w:t>
      </w:r>
      <w:r w:rsidR="00DA4E6F">
        <w:t>neuf</w:t>
      </w:r>
      <w:r w:rsidR="00F95369">
        <w:t xml:space="preserve"> fois dans l’ADR).</w:t>
      </w:r>
    </w:p>
    <w:p w:rsidR="000575AC" w:rsidRDefault="000575AC">
      <w:pPr>
        <w:pStyle w:val="SingleTxtG"/>
      </w:pPr>
    </w:p>
    <w:p w:rsidR="00B02E13" w:rsidRPr="00DA4E6F" w:rsidRDefault="006364F6" w:rsidP="00DA4E6F">
      <w:pPr>
        <w:pStyle w:val="HChG"/>
        <w:ind w:hanging="283"/>
      </w:pPr>
      <w:r>
        <w:rPr>
          <w:u w:val="single"/>
        </w:rPr>
        <w:br w:type="page"/>
      </w:r>
      <w:r w:rsidR="00C91F09" w:rsidRPr="00DA4E6F">
        <w:lastRenderedPageBreak/>
        <w:t>Annexe</w:t>
      </w:r>
    </w:p>
    <w:p w:rsidR="00DD0631" w:rsidRDefault="00F24EC3" w:rsidP="00DA4E6F">
      <w:pPr>
        <w:pStyle w:val="SingleTxtG"/>
        <w:spacing w:before="240" w:after="0"/>
        <w:ind w:left="709"/>
        <w:jc w:val="center"/>
        <w:rPr>
          <w:u w:val="single"/>
        </w:rPr>
      </w:pPr>
      <w:r>
        <w:rPr>
          <w:noProof/>
          <w:lang w:val="en-GB" w:eastAsia="en-GB"/>
        </w:rPr>
        <w:drawing>
          <wp:inline distT="0" distB="0" distL="0" distR="0">
            <wp:extent cx="6115050" cy="3571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631">
        <w:rPr>
          <w:u w:val="single"/>
        </w:rPr>
        <w:tab/>
      </w:r>
      <w:r w:rsidR="00DD0631">
        <w:rPr>
          <w:u w:val="single"/>
        </w:rPr>
        <w:tab/>
      </w:r>
      <w:r w:rsidR="00DD0631">
        <w:rPr>
          <w:u w:val="single"/>
        </w:rPr>
        <w:tab/>
      </w:r>
    </w:p>
    <w:sectPr w:rsidR="00DD063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4F" w:rsidRDefault="001E394F"/>
  </w:endnote>
  <w:endnote w:type="continuationSeparator" w:id="0">
    <w:p w:rsidR="001E394F" w:rsidRDefault="001E394F"/>
  </w:endnote>
  <w:endnote w:type="continuationNotice" w:id="1">
    <w:p w:rsidR="001E394F" w:rsidRDefault="001E3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3E" w:rsidRDefault="00B7373E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E17250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3E" w:rsidRDefault="00B7373E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E17250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3E" w:rsidRDefault="00B7373E">
    <w:pPr>
      <w:pStyle w:val="Footer"/>
      <w:rPr>
        <w:sz w:val="20"/>
      </w:rPr>
    </w:pPr>
    <w:r>
      <w:rPr>
        <w:sz w:val="20"/>
      </w:rPr>
      <w:t>GE.</w:t>
    </w:r>
    <w:r w:rsidR="00F24EC3"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5040630</wp:posOffset>
          </wp:positionH>
          <wp:positionV relativeFrom="line">
            <wp:posOffset>-107950</wp:posOffset>
          </wp:positionV>
          <wp:extent cx="1104265" cy="233045"/>
          <wp:effectExtent l="0" t="0" r="635" b="0"/>
          <wp:wrapNone/>
          <wp:docPr id="2" name="Pictur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</w:t>
    </w:r>
    <w:r w:rsidR="00752BF3">
      <w:rPr>
        <w:sz w:val="20"/>
      </w:rPr>
      <w:t>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4F" w:rsidRDefault="001E394F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394F" w:rsidRDefault="001E394F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E394F" w:rsidRDefault="001E394F"/>
  </w:footnote>
  <w:footnote w:id="2">
    <w:p w:rsidR="00A80BB3" w:rsidRDefault="00A80BB3" w:rsidP="00A80BB3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131629">
        <w:rPr>
          <w:lang w:val="fr-FR"/>
        </w:rPr>
        <w:t>Conformément au programme de travail du Comité des transports intérieurs pour la période</w:t>
      </w:r>
      <w:r>
        <w:rPr>
          <w:lang w:val="fr-FR"/>
        </w:rPr>
        <w:t xml:space="preserve"> 2014</w:t>
      </w:r>
      <w:r>
        <w:rPr>
          <w:lang w:val="fr-FR"/>
        </w:rPr>
        <w:noBreakHyphen/>
        <w:t>2015 (ECE/TRANS/240, par. </w:t>
      </w:r>
      <w:r w:rsidRPr="00131629">
        <w:rPr>
          <w:lang w:val="fr-FR"/>
        </w:rPr>
        <w:t>100; EC</w:t>
      </w:r>
      <w:r>
        <w:rPr>
          <w:lang w:val="fr-FR"/>
        </w:rPr>
        <w:t>E/TRANS/2014/23, module 9, par. </w:t>
      </w:r>
      <w:r w:rsidRPr="00131629">
        <w:rPr>
          <w:lang w:val="fr-FR"/>
        </w:rPr>
        <w:t>9.2).</w:t>
      </w:r>
    </w:p>
  </w:footnote>
  <w:footnote w:id="3">
    <w:p w:rsidR="00A80BB3" w:rsidRDefault="00A80BB3" w:rsidP="00A80BB3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131629">
        <w:rPr>
          <w:lang w:val="fr-FR"/>
        </w:rPr>
        <w:t xml:space="preserve">Diffusée par l’Organisation intergouvernementale pour les transports internationaux ferroviaires (OTIF) sous la cote </w:t>
      </w:r>
      <w:r>
        <w:t>OTIF/RID/RC/2015/40</w:t>
      </w:r>
      <w:r w:rsidRPr="0013162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3E" w:rsidRDefault="00B7373E">
    <w:pPr>
      <w:pStyle w:val="Header"/>
    </w:pPr>
    <w:r>
      <w:t>ECE/TRANS/WP.</w:t>
    </w:r>
    <w:r w:rsidR="002661DF">
      <w:t>15/AC.1/</w:t>
    </w:r>
    <w:r w:rsidR="00752BF3">
      <w:t>2015</w:t>
    </w:r>
    <w:r w:rsidR="00A80BB3">
      <w:t>/40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3E" w:rsidRDefault="00752BF3">
    <w:pPr>
      <w:pStyle w:val="Header"/>
      <w:jc w:val="right"/>
    </w:pPr>
    <w:r>
      <w:t>ECE/TRANS/WP.15/AC.1/2015</w:t>
    </w:r>
    <w:r w:rsidR="00A80BB3">
      <w:t>/40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9E7"/>
    <w:multiLevelType w:val="hybridMultilevel"/>
    <w:tmpl w:val="2F28A252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C60ECF"/>
    <w:multiLevelType w:val="hybridMultilevel"/>
    <w:tmpl w:val="A1886658"/>
    <w:lvl w:ilvl="0" w:tplc="0409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4AC35B49"/>
    <w:multiLevelType w:val="hybridMultilevel"/>
    <w:tmpl w:val="F7AC1D3C"/>
    <w:lvl w:ilvl="0" w:tplc="04C2C94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46D47"/>
    <w:multiLevelType w:val="hybridMultilevel"/>
    <w:tmpl w:val="E6168740"/>
    <w:lvl w:ilvl="0" w:tplc="36A4983C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62FA4BD4"/>
    <w:multiLevelType w:val="hybridMultilevel"/>
    <w:tmpl w:val="A80419C8"/>
    <w:lvl w:ilvl="0" w:tplc="5D585758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>
    <w:nsid w:val="747C7B9D"/>
    <w:multiLevelType w:val="hybridMultilevel"/>
    <w:tmpl w:val="30CEAA36"/>
    <w:lvl w:ilvl="0" w:tplc="2AFECE70">
      <w:start w:val="1"/>
      <w:numFmt w:val="bullet"/>
      <w:lvlText w:val=""/>
      <w:lvlJc w:val="left"/>
      <w:pPr>
        <w:tabs>
          <w:tab w:val="num" w:pos="1486"/>
        </w:tabs>
        <w:ind w:left="1486" w:hanging="172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08"/>
    <w:rsid w:val="00011D03"/>
    <w:rsid w:val="00022B5B"/>
    <w:rsid w:val="000248E7"/>
    <w:rsid w:val="0005217A"/>
    <w:rsid w:val="000575AC"/>
    <w:rsid w:val="00086C4E"/>
    <w:rsid w:val="0009666A"/>
    <w:rsid w:val="000B34F3"/>
    <w:rsid w:val="00101632"/>
    <w:rsid w:val="001110C3"/>
    <w:rsid w:val="00184449"/>
    <w:rsid w:val="00191F4B"/>
    <w:rsid w:val="001A550B"/>
    <w:rsid w:val="001B104E"/>
    <w:rsid w:val="001E394F"/>
    <w:rsid w:val="001F0422"/>
    <w:rsid w:val="002661DF"/>
    <w:rsid w:val="00291854"/>
    <w:rsid w:val="002C2E1E"/>
    <w:rsid w:val="003019FF"/>
    <w:rsid w:val="003172D4"/>
    <w:rsid w:val="00332CAC"/>
    <w:rsid w:val="00340497"/>
    <w:rsid w:val="00397408"/>
    <w:rsid w:val="003A255E"/>
    <w:rsid w:val="003C665A"/>
    <w:rsid w:val="003D6C55"/>
    <w:rsid w:val="003E6964"/>
    <w:rsid w:val="00420D46"/>
    <w:rsid w:val="00456381"/>
    <w:rsid w:val="00463224"/>
    <w:rsid w:val="0046583C"/>
    <w:rsid w:val="00481180"/>
    <w:rsid w:val="004E18E0"/>
    <w:rsid w:val="004F2BC3"/>
    <w:rsid w:val="005222D5"/>
    <w:rsid w:val="0052705D"/>
    <w:rsid w:val="0057149D"/>
    <w:rsid w:val="0057453D"/>
    <w:rsid w:val="0057636E"/>
    <w:rsid w:val="00583714"/>
    <w:rsid w:val="005A044A"/>
    <w:rsid w:val="005B7DCC"/>
    <w:rsid w:val="005D01C1"/>
    <w:rsid w:val="005F6667"/>
    <w:rsid w:val="006118FA"/>
    <w:rsid w:val="006364F6"/>
    <w:rsid w:val="007510AC"/>
    <w:rsid w:val="00752BF3"/>
    <w:rsid w:val="00770844"/>
    <w:rsid w:val="007C1790"/>
    <w:rsid w:val="007E3E42"/>
    <w:rsid w:val="00830534"/>
    <w:rsid w:val="008348B9"/>
    <w:rsid w:val="00856C4C"/>
    <w:rsid w:val="008C6D61"/>
    <w:rsid w:val="008F6F48"/>
    <w:rsid w:val="00964079"/>
    <w:rsid w:val="00997D23"/>
    <w:rsid w:val="009A2DFA"/>
    <w:rsid w:val="009B101F"/>
    <w:rsid w:val="009C23B7"/>
    <w:rsid w:val="00A12B93"/>
    <w:rsid w:val="00A502AB"/>
    <w:rsid w:val="00A7007C"/>
    <w:rsid w:val="00A7025D"/>
    <w:rsid w:val="00A745B5"/>
    <w:rsid w:val="00A80BB3"/>
    <w:rsid w:val="00A905C6"/>
    <w:rsid w:val="00AC1600"/>
    <w:rsid w:val="00AF492A"/>
    <w:rsid w:val="00B02E13"/>
    <w:rsid w:val="00B20835"/>
    <w:rsid w:val="00B7373E"/>
    <w:rsid w:val="00B90B2E"/>
    <w:rsid w:val="00B95DD4"/>
    <w:rsid w:val="00BA4055"/>
    <w:rsid w:val="00C216DD"/>
    <w:rsid w:val="00C770B9"/>
    <w:rsid w:val="00C91F09"/>
    <w:rsid w:val="00CA648E"/>
    <w:rsid w:val="00D04B7E"/>
    <w:rsid w:val="00D0642A"/>
    <w:rsid w:val="00D179B9"/>
    <w:rsid w:val="00D2300B"/>
    <w:rsid w:val="00D5339E"/>
    <w:rsid w:val="00D60FBB"/>
    <w:rsid w:val="00D65C34"/>
    <w:rsid w:val="00D75E38"/>
    <w:rsid w:val="00D934F1"/>
    <w:rsid w:val="00DA4E6F"/>
    <w:rsid w:val="00DD0631"/>
    <w:rsid w:val="00DF387C"/>
    <w:rsid w:val="00E17250"/>
    <w:rsid w:val="00E21104"/>
    <w:rsid w:val="00E42512"/>
    <w:rsid w:val="00E513AA"/>
    <w:rsid w:val="00E74832"/>
    <w:rsid w:val="00EC1209"/>
    <w:rsid w:val="00EE2D00"/>
    <w:rsid w:val="00F1085D"/>
    <w:rsid w:val="00F11BB9"/>
    <w:rsid w:val="00F24EC3"/>
    <w:rsid w:val="00F44129"/>
    <w:rsid w:val="00F6035A"/>
    <w:rsid w:val="00F6203E"/>
    <w:rsid w:val="00F67D82"/>
    <w:rsid w:val="00F95369"/>
    <w:rsid w:val="00FA6E78"/>
    <w:rsid w:val="00FA7E5C"/>
    <w:rsid w:val="00FC3971"/>
    <w:rsid w:val="00FF128F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ngleTxtGChar">
    <w:name w:val="_ Single Txt_G Char"/>
    <w:link w:val="SingleTxtG"/>
    <w:rPr>
      <w:lang w:val="fr-CH" w:eastAsia="en-US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Pr>
      <w:lang w:val="fr-CH" w:eastAsia="en-US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fr-CH"/>
    </w:rPr>
  </w:style>
  <w:style w:type="character" w:customStyle="1" w:styleId="FootnoteTextChar">
    <w:name w:val="Footnote Text Char"/>
    <w:aliases w:val="5_G Char"/>
    <w:link w:val="FootnoteText"/>
    <w:rsid w:val="00191F4B"/>
    <w:rPr>
      <w:sz w:val="18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ngleTxtGChar">
    <w:name w:val="_ Single Txt_G Char"/>
    <w:link w:val="SingleTxtG"/>
    <w:rPr>
      <w:lang w:val="fr-CH" w:eastAsia="en-US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Pr>
      <w:lang w:val="fr-CH" w:eastAsia="en-US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fr-CH"/>
    </w:rPr>
  </w:style>
  <w:style w:type="character" w:customStyle="1" w:styleId="FootnoteTextChar">
    <w:name w:val="Footnote Text Char"/>
    <w:aliases w:val="5_G Char"/>
    <w:link w:val="FootnoteText"/>
    <w:rsid w:val="00191F4B"/>
    <w:rPr>
      <w:sz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2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39155F7-CABF-4417-B58C-AA660E75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490</Words>
  <Characters>2975</Characters>
  <Application>Microsoft Office Word</Application>
  <DocSecurity>0</DocSecurity>
  <Lines>71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ECE/TRANS/WP.15/AC.1/2010/40</vt:lpstr>
      <vt:lpstr>ECE/TRANS/WP.15/AC.1/2010/40</vt:lpstr>
    </vt:vector>
  </TitlesOfParts>
  <Company>CSD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ECE/TRANS/WP.15/AC.1/2010/40</dc:title>
  <dc:subject>final</dc:subject>
  <dc:creator>ROBERT</dc:creator>
  <cp:lastModifiedBy>barrio-champeau</cp:lastModifiedBy>
  <cp:revision>5</cp:revision>
  <cp:lastPrinted>2015-06-29T13:47:00Z</cp:lastPrinted>
  <dcterms:created xsi:type="dcterms:W3CDTF">2015-06-24T13:13:00Z</dcterms:created>
  <dcterms:modified xsi:type="dcterms:W3CDTF">2015-06-29T13:48:00Z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>COO.1.1001.1.137854</vt:lpwstr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blv</vt:lpwstr>
  </property>
  <property fmtid="{D5CDD505-2E9C-101B-9397-08002B2CF9AE}" pid="55" name="FSC#UVEKCFG@15.1700:CategoryReference">
    <vt:lpwstr>BAV-510.42</vt:lpwstr>
  </property>
  <property fmtid="{D5CDD505-2E9C-101B-9397-08002B2CF9AE}" pid="56" name="FSC#UVEKCFG@15.1700:cooAddress">
    <vt:lpwstr>COO.2125.100.2.7662274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ECE-TRANS-WP15-AC1-2015 exemption 1-1-3-3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COOELAK@1.1001:Subject">
    <vt:lpwstr/>
  </property>
  <property fmtid="{D5CDD505-2E9C-101B-9397-08002B2CF9AE}" pid="74" name="FSC#COOELAK@1.1001:FileReference">
    <vt:lpwstr>BAV-510.42-00002</vt:lpwstr>
  </property>
  <property fmtid="{D5CDD505-2E9C-101B-9397-08002B2CF9AE}" pid="75" name="FSC#COOELAK@1.1001:FileRefYear">
    <vt:lpwstr>2014</vt:lpwstr>
  </property>
  <property fmtid="{D5CDD505-2E9C-101B-9397-08002B2CF9AE}" pid="76" name="FSC#COOELAK@1.1001:FileRefOrdinal">
    <vt:lpwstr>2</vt:lpwstr>
  </property>
  <property fmtid="{D5CDD505-2E9C-101B-9397-08002B2CF9AE}" pid="77" name="FSC#COOELAK@1.1001:FileRefOU">
    <vt:lpwstr>reg_SI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Blanchard Bakx Valérie</vt:lpwstr>
  </property>
  <property fmtid="{D5CDD505-2E9C-101B-9397-08002B2CF9AE}" pid="80" name="FSC#COOELAK@1.1001:OwnerExtension">
    <vt:lpwstr>+41 58 465 72 72</vt:lpwstr>
  </property>
  <property fmtid="{D5CDD505-2E9C-101B-9397-08002B2CF9AE}" pid="81" name="FSC#COOELAK@1.1001:OwnerFaxExtension">
    <vt:lpwstr>+41 58 464 12 48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Umwelt (BAV)</vt:lpwstr>
  </property>
  <property fmtid="{D5CDD505-2E9C-101B-9397-08002B2CF9AE}" pid="87" name="FSC#COOELAK@1.1001:CreatedAt">
    <vt:lpwstr>02.06.2015</vt:lpwstr>
  </property>
  <property fmtid="{D5CDD505-2E9C-101B-9397-08002B2CF9AE}" pid="88" name="FSC#COOELAK@1.1001:OU">
    <vt:lpwstr>Umwelt (BAV)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*COO.2125.100.2.7662274*</vt:lpwstr>
  </property>
  <property fmtid="{D5CDD505-2E9C-101B-9397-08002B2CF9AE}" pid="91" name="FSC#COOELAK@1.1001:RefBarCode">
    <vt:lpwstr>*COO.2125.100.2.7662275*</vt:lpwstr>
  </property>
  <property fmtid="{D5CDD505-2E9C-101B-9397-08002B2CF9AE}" pid="92" name="FSC#COOELAK@1.1001:FileRefBarCode">
    <vt:lpwstr>*BAV-510.42-00002*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Bonnet Colin</vt:lpwstr>
  </property>
  <property fmtid="{D5CDD505-2E9C-101B-9397-08002B2CF9AE}" pid="97" name="FSC#COOELAK@1.1001:ProcessResponsiblePhone">
    <vt:lpwstr>+41 58 463 89 96</vt:lpwstr>
  </property>
  <property fmtid="{D5CDD505-2E9C-101B-9397-08002B2CF9AE}" pid="98" name="FSC#COOELAK@1.1001:ProcessResponsibleMail">
    <vt:lpwstr>colin.bonnet@bav.admin.ch</vt:lpwstr>
  </property>
  <property fmtid="{D5CDD505-2E9C-101B-9397-08002B2CF9AE}" pid="99" name="FSC#COOELAK@1.1001:ProcessResponsibleFax">
    <vt:lpwstr>+41 58 464 12 48</vt:lpwstr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BAV-510.42</vt:lpwstr>
  </property>
  <property fmtid="{D5CDD505-2E9C-101B-9397-08002B2CF9AE}" pid="106" name="FSC#COOELAK@1.1001:CurrentUserRolePos">
    <vt:lpwstr>Collaborateur, -trice spécialisé(e)</vt:lpwstr>
  </property>
  <property fmtid="{D5CDD505-2E9C-101B-9397-08002B2CF9AE}" pid="107" name="FSC#COOELAK@1.1001:CurrentUserEmail">
    <vt:lpwstr>valerie.blanchard@bav.admin.ch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>ECE-TRANS-WP.15-AC.1-2014-38f rev_x000d_
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>BAV-510.42-00002/00001/00007</vt:lpwstr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CAPRECONFIG@15.1001:AddrAnrede">
    <vt:lpwstr/>
  </property>
  <property fmtid="{D5CDD505-2E9C-101B-9397-08002B2CF9AE}" pid="137" name="FSC#CCAPRECONFIG@15.1001:AddrTitel">
    <vt:lpwstr/>
  </property>
  <property fmtid="{D5CDD505-2E9C-101B-9397-08002B2CF9AE}" pid="138" name="FSC#CCAPRECONFIG@15.1001:AddrNachgestellter_Titel">
    <vt:lpwstr/>
  </property>
  <property fmtid="{D5CDD505-2E9C-101B-9397-08002B2CF9AE}" pid="139" name="FSC#CCAPRECONFIG@15.1001:AddrVorname">
    <vt:lpwstr/>
  </property>
  <property fmtid="{D5CDD505-2E9C-101B-9397-08002B2CF9AE}" pid="140" name="FSC#CCAPRECONFIG@15.1001:AddrNachname">
    <vt:lpwstr/>
  </property>
  <property fmtid="{D5CDD505-2E9C-101B-9397-08002B2CF9AE}" pid="141" name="FSC#CCAPRECONFIG@15.1001:AddrzH">
    <vt:lpwstr/>
  </property>
  <property fmtid="{D5CDD505-2E9C-101B-9397-08002B2CF9AE}" pid="142" name="FSC#CCAPRECONFIG@15.1001:AddrGeschlecht">
    <vt:lpwstr/>
  </property>
  <property fmtid="{D5CDD505-2E9C-101B-9397-08002B2CF9AE}" pid="143" name="FSC#CCAPRECONFIG@15.1001:AddrStrasse">
    <vt:lpwstr/>
  </property>
  <property fmtid="{D5CDD505-2E9C-101B-9397-08002B2CF9AE}" pid="144" name="FSC#CCAPRECONFIG@15.1001:AddrHausnummer">
    <vt:lpwstr/>
  </property>
  <property fmtid="{D5CDD505-2E9C-101B-9397-08002B2CF9AE}" pid="145" name="FSC#CCAPRECONFIG@15.1001:AddrStiege">
    <vt:lpwstr/>
  </property>
  <property fmtid="{D5CDD505-2E9C-101B-9397-08002B2CF9AE}" pid="146" name="FSC#CCAPRECONFIG@15.1001:AddrTuer">
    <vt:lpwstr/>
  </property>
  <property fmtid="{D5CDD505-2E9C-101B-9397-08002B2CF9AE}" pid="147" name="FSC#CCAPRECONFIG@15.1001:AddrPostfach">
    <vt:lpwstr/>
  </property>
  <property fmtid="{D5CDD505-2E9C-101B-9397-08002B2CF9AE}" pid="148" name="FSC#CCAPRECONFIG@15.1001:AddrPostleitzahl">
    <vt:lpwstr/>
  </property>
  <property fmtid="{D5CDD505-2E9C-101B-9397-08002B2CF9AE}" pid="149" name="FSC#CCAPRECONFIG@15.1001:AddrOrt">
    <vt:lpwstr/>
  </property>
  <property fmtid="{D5CDD505-2E9C-101B-9397-08002B2CF9AE}" pid="150" name="FSC#CCAPRECONFIG@15.1001:AddrLand">
    <vt:lpwstr/>
  </property>
  <property fmtid="{D5CDD505-2E9C-101B-9397-08002B2CF9AE}" pid="151" name="FSC#CCAPRECONFIG@15.1001:AddrEmail">
    <vt:lpwstr/>
  </property>
  <property fmtid="{D5CDD505-2E9C-101B-9397-08002B2CF9AE}" pid="152" name="FSC#CCAPRECONFIG@15.1001:AddrAdresse">
    <vt:lpwstr/>
  </property>
  <property fmtid="{D5CDD505-2E9C-101B-9397-08002B2CF9AE}" pid="153" name="FSC#CCAPRECONFIG@15.1001:AddrFax">
    <vt:lpwstr/>
  </property>
  <property fmtid="{D5CDD505-2E9C-101B-9397-08002B2CF9AE}" pid="154" name="FSC#CCAPRECONFIG@15.1001:AddrOrganisationsname">
    <vt:lpwstr/>
  </property>
  <property fmtid="{D5CDD505-2E9C-101B-9397-08002B2CF9AE}" pid="155" name="FSC#CCAPRECONFIG@15.1001:AddrOrganisationskurzname">
    <vt:lpwstr/>
  </property>
  <property fmtid="{D5CDD505-2E9C-101B-9397-08002B2CF9AE}" pid="156" name="FSC#CCAPRECONFIG@15.1001:AddrAbschriftsbemerkung">
    <vt:lpwstr/>
  </property>
  <property fmtid="{D5CDD505-2E9C-101B-9397-08002B2CF9AE}" pid="157" name="FSC#CCAPRECONFIG@15.1001:AddrName_Zeile_2">
    <vt:lpwstr/>
  </property>
  <property fmtid="{D5CDD505-2E9C-101B-9397-08002B2CF9AE}" pid="158" name="FSC#CCAPRECONFIG@15.1001:AddrName_Zeile_3">
    <vt:lpwstr/>
  </property>
  <property fmtid="{D5CDD505-2E9C-101B-9397-08002B2CF9AE}" pid="159" name="FSC#CCAPRECONFIG@15.1001:AddrPostalischeAdresse">
    <vt:lpwstr/>
  </property>
  <property fmtid="{D5CDD505-2E9C-101B-9397-08002B2CF9AE}" pid="160" name="FSC#COOSYSTEM@1.1:Container">
    <vt:lpwstr>COO.2125.100.2.7662274</vt:lpwstr>
  </property>
  <property fmtid="{D5CDD505-2E9C-101B-9397-08002B2CF9AE}" pid="161" name="FSC#FSCFOLIO@1.1001:docpropproject">
    <vt:lpwstr/>
  </property>
</Properties>
</file>