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Pr="00572217" w:rsidRDefault="00B56E9C" w:rsidP="00B11BB4">
            <w:pPr>
              <w:spacing w:after="80"/>
              <w:rPr>
                <w:i/>
              </w:rPr>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4328EB">
            <w:pPr>
              <w:suppressAutoHyphens w:val="0"/>
              <w:spacing w:after="20"/>
              <w:jc w:val="right"/>
            </w:pPr>
            <w:r w:rsidRPr="00B11BB4">
              <w:rPr>
                <w:sz w:val="40"/>
              </w:rPr>
              <w:t>ECE</w:t>
            </w:r>
            <w:r>
              <w:t>/TRANS/WP.15/AC.1/201</w:t>
            </w:r>
            <w:r w:rsidR="001B70AE">
              <w:t>5</w:t>
            </w:r>
            <w:r w:rsidR="00BE3AB6">
              <w:t>/</w:t>
            </w:r>
            <w:r w:rsidR="00886626">
              <w:t>5</w:t>
            </w:r>
            <w:r w:rsidR="004328EB">
              <w:t>3</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BD61DA" w:rsidP="00B11BB4">
            <w:pPr>
              <w:spacing w:before="120"/>
            </w:pPr>
            <w:r>
              <w:rPr>
                <w:noProof/>
                <w:lang w:val="fr-FR" w:eastAsia="fr-FR"/>
              </w:rPr>
              <w:drawing>
                <wp:inline distT="0" distB="0" distL="0" distR="0">
                  <wp:extent cx="714375" cy="590550"/>
                  <wp:effectExtent l="1905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1A69F3" w:rsidRDefault="004328EB" w:rsidP="00B11BB4">
            <w:pPr>
              <w:suppressAutoHyphens w:val="0"/>
            </w:pPr>
            <w:r>
              <w:t>3</w:t>
            </w:r>
            <w:r w:rsidR="00794BBE">
              <w:t xml:space="preserve"> July</w:t>
            </w:r>
            <w:r w:rsidR="00FA7997">
              <w:t xml:space="preserve"> </w:t>
            </w:r>
            <w:r w:rsidR="0023400E" w:rsidRPr="007D6054">
              <w:t>2015</w:t>
            </w:r>
          </w:p>
          <w:p w:rsidR="0023400E" w:rsidRDefault="0023400E" w:rsidP="00B11BB4">
            <w:pPr>
              <w:suppressAutoHyphens w:val="0"/>
            </w:pPr>
          </w:p>
          <w:p w:rsidR="001A69F3" w:rsidRDefault="009D2A5B" w:rsidP="001A69F3">
            <w:pPr>
              <w:suppressAutoHyphens w:val="0"/>
            </w:pPr>
            <w:r>
              <w:t xml:space="preserve">Original: </w:t>
            </w:r>
            <w:r w:rsidR="001A69F3">
              <w:t xml:space="preserve"> </w:t>
            </w:r>
            <w:r w:rsidR="00C7280D">
              <w:t>English</w:t>
            </w:r>
          </w:p>
          <w:p w:rsidR="00B56E9C" w:rsidRDefault="00B56E9C" w:rsidP="00B11BB4">
            <w:pPr>
              <w:suppressAutoHyphens w:val="0"/>
            </w:pPr>
          </w:p>
        </w:tc>
      </w:tr>
    </w:tbl>
    <w:p w:rsidR="00EC106A" w:rsidRDefault="00EC106A">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7D6054" w:rsidRDefault="007D6054" w:rsidP="00F9603F">
      <w:r w:rsidRPr="007D6054">
        <w:t>Geneva, 15-25 September 2015</w:t>
      </w:r>
    </w:p>
    <w:p w:rsidR="00F9603F" w:rsidRPr="009E2071" w:rsidRDefault="00F9603F" w:rsidP="00F9603F">
      <w:r w:rsidRPr="007D6054">
        <w:t>Item</w:t>
      </w:r>
      <w:r w:rsidRPr="009E2071">
        <w:t xml:space="preserve"> </w:t>
      </w:r>
      <w:r w:rsidR="007D6054">
        <w:t>3 (b) of the provisional agenda</w:t>
      </w:r>
    </w:p>
    <w:p w:rsidR="00BF7313" w:rsidRDefault="001B70AE" w:rsidP="00F9603F">
      <w:pPr>
        <w:rPr>
          <w:b/>
        </w:rPr>
      </w:pPr>
      <w:r>
        <w:rPr>
          <w:b/>
        </w:rPr>
        <w:t>Proposals for amendments to RID/ADR/ADN:</w:t>
      </w:r>
    </w:p>
    <w:p w:rsidR="001B70AE" w:rsidRDefault="00BE3AB6" w:rsidP="00F9603F">
      <w:pPr>
        <w:rPr>
          <w:b/>
        </w:rPr>
      </w:pPr>
      <w:r>
        <w:rPr>
          <w:b/>
        </w:rPr>
        <w:t>n</w:t>
      </w:r>
      <w:r w:rsidR="007D6054">
        <w:rPr>
          <w:b/>
        </w:rPr>
        <w:t>ew</w:t>
      </w:r>
      <w:r w:rsidR="001B70AE">
        <w:rPr>
          <w:b/>
        </w:rPr>
        <w:t xml:space="preserve"> proposals</w:t>
      </w:r>
    </w:p>
    <w:p w:rsidR="00217012" w:rsidRPr="00EB1706" w:rsidRDefault="00217012" w:rsidP="004328EB">
      <w:pPr>
        <w:pStyle w:val="Hoofdtekst"/>
        <w:spacing w:before="360"/>
      </w:pPr>
      <w:r w:rsidRPr="00EB1706">
        <w:tab/>
      </w:r>
      <w:r w:rsidRPr="00EB1706">
        <w:tab/>
      </w:r>
      <w:r w:rsidR="004328EB" w:rsidRPr="00B107B4">
        <w:rPr>
          <w:rFonts w:ascii="Times New Roman" w:hAnsi="Times New Roman" w:cs="Times New Roman"/>
          <w:b/>
          <w:bCs/>
          <w:color w:val="auto"/>
          <w:sz w:val="28"/>
          <w:szCs w:val="28"/>
        </w:rPr>
        <w:t>Widening of the scope of Special Provision 643</w:t>
      </w:r>
    </w:p>
    <w:p w:rsidR="00217012" w:rsidRDefault="00217012" w:rsidP="00217012">
      <w:pPr>
        <w:pStyle w:val="H1G"/>
      </w:pPr>
      <w:r w:rsidRPr="00341EE0">
        <w:tab/>
      </w:r>
      <w:r w:rsidRPr="00341EE0">
        <w:tab/>
      </w:r>
      <w:r w:rsidR="004328EB" w:rsidRPr="004328EB">
        <w:t>Transmitted by the Government of the Netherlands</w:t>
      </w:r>
      <w:r w:rsidR="004328EB" w:rsidRPr="008021DB">
        <w:rPr>
          <w:rStyle w:val="Appelnotedebasdep"/>
          <w:b w:val="0"/>
        </w:rPr>
        <w:t xml:space="preserve"> </w:t>
      </w:r>
      <w:r w:rsidR="00BE3AB6" w:rsidRPr="008021DB">
        <w:rPr>
          <w:rStyle w:val="Appelnotedebasdep"/>
          <w:b w:val="0"/>
        </w:rPr>
        <w:footnoteReference w:id="2"/>
      </w:r>
      <w:r w:rsidR="00BE3AB6" w:rsidRPr="00381475">
        <w:rPr>
          <w:b w:val="0"/>
          <w:sz w:val="18"/>
          <w:szCs w:val="18"/>
          <w:vertAlign w:val="superscript"/>
        </w:rPr>
        <w:t>,</w:t>
      </w:r>
      <w:r w:rsidR="00BE3AB6">
        <w:rPr>
          <w:b w:val="0"/>
          <w:sz w:val="18"/>
          <w:szCs w:val="18"/>
        </w:rPr>
        <w:t xml:space="preserve"> </w:t>
      </w:r>
      <w:r w:rsidR="00BE3AB6" w:rsidRPr="008021DB">
        <w:rPr>
          <w:rStyle w:val="Appelnotedebasdep"/>
          <w:b w:val="0"/>
        </w:rPr>
        <w:footnoteReference w:id="3"/>
      </w:r>
    </w:p>
    <w:tbl>
      <w:tblPr>
        <w:tblW w:w="908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082"/>
      </w:tblGrid>
      <w:tr w:rsidR="004328EB" w:rsidRPr="00B107B4" w:rsidTr="004328EB">
        <w:trPr>
          <w:jc w:val="center"/>
        </w:trPr>
        <w:tc>
          <w:tcPr>
            <w:tcW w:w="9082" w:type="dxa"/>
            <w:tcBorders>
              <w:bottom w:val="nil"/>
            </w:tcBorders>
            <w:shd w:val="clear" w:color="auto" w:fill="auto"/>
          </w:tcPr>
          <w:p w:rsidR="004328EB" w:rsidRPr="00B107B4" w:rsidRDefault="004328EB" w:rsidP="004328EB">
            <w:pPr>
              <w:tabs>
                <w:tab w:val="left" w:pos="255"/>
              </w:tabs>
              <w:spacing w:before="240" w:after="120"/>
              <w:rPr>
                <w:sz w:val="24"/>
              </w:rPr>
            </w:pPr>
            <w:r w:rsidRPr="00B107B4">
              <w:tab/>
            </w:r>
            <w:r w:rsidRPr="00B107B4">
              <w:rPr>
                <w:i/>
                <w:sz w:val="24"/>
              </w:rPr>
              <w:t>Summary</w:t>
            </w:r>
          </w:p>
        </w:tc>
      </w:tr>
      <w:tr w:rsidR="004328EB" w:rsidRPr="000A7F3D" w:rsidTr="004328EB">
        <w:trPr>
          <w:jc w:val="center"/>
        </w:trPr>
        <w:tc>
          <w:tcPr>
            <w:tcW w:w="9082" w:type="dxa"/>
            <w:tcBorders>
              <w:top w:val="nil"/>
              <w:bottom w:val="nil"/>
            </w:tcBorders>
            <w:shd w:val="clear" w:color="auto" w:fill="auto"/>
          </w:tcPr>
          <w:p w:rsidR="004328EB" w:rsidRPr="005046AB" w:rsidRDefault="004328EB" w:rsidP="004328EB">
            <w:pPr>
              <w:pStyle w:val="Hoofdtekst"/>
              <w:tabs>
                <w:tab w:val="left" w:pos="1139"/>
                <w:tab w:val="left" w:pos="3407"/>
              </w:tabs>
              <w:spacing w:before="120"/>
              <w:ind w:left="3407" w:right="713" w:hanging="2268"/>
              <w:jc w:val="both"/>
              <w:rPr>
                <w:rFonts w:ascii="Times New Roman" w:hAnsi="Times New Roman" w:cs="Times New Roman"/>
                <w:color w:val="auto"/>
                <w:sz w:val="20"/>
                <w:szCs w:val="20"/>
              </w:rPr>
            </w:pPr>
            <w:r w:rsidRPr="00B107B4">
              <w:rPr>
                <w:rFonts w:ascii="Times New Roman" w:eastAsia="Times New Roman" w:hAnsi="Times New Roman" w:cs="Times New Roman"/>
                <w:b/>
                <w:color w:val="auto"/>
                <w:sz w:val="20"/>
                <w:lang w:val="en-GB" w:eastAsia="en-US"/>
              </w:rPr>
              <w:t>Executive summary</w:t>
            </w:r>
            <w:r w:rsidRPr="00B107B4">
              <w:rPr>
                <w:rFonts w:ascii="Times New Roman" w:eastAsia="Times New Roman" w:hAnsi="Times New Roman" w:cs="Times New Roman"/>
                <w:color w:val="auto"/>
                <w:sz w:val="20"/>
                <w:lang w:val="en-GB" w:eastAsia="en-US"/>
              </w:rPr>
              <w:t>:</w:t>
            </w:r>
            <w:r w:rsidRPr="00B107B4">
              <w:rPr>
                <w:rFonts w:ascii="Times New Roman" w:eastAsia="Times New Roman" w:hAnsi="Times New Roman" w:cs="Times New Roman"/>
                <w:color w:val="auto"/>
                <w:sz w:val="20"/>
                <w:szCs w:val="20"/>
                <w:lang w:val="en-GB" w:eastAsia="en-US"/>
              </w:rPr>
              <w:tab/>
            </w:r>
            <w:r w:rsidRPr="005046AB">
              <w:rPr>
                <w:rFonts w:ascii="Times New Roman" w:hAnsi="Times New Roman" w:cs="Times New Roman"/>
                <w:color w:val="auto"/>
                <w:sz w:val="20"/>
                <w:szCs w:val="20"/>
              </w:rPr>
              <w:t xml:space="preserve">The aim of this proposal is to widen the scope of </w:t>
            </w:r>
            <w:r w:rsidR="008F0881">
              <w:rPr>
                <w:rFonts w:ascii="Times New Roman" w:hAnsi="Times New Roman" w:cs="Times New Roman"/>
                <w:color w:val="auto"/>
                <w:sz w:val="20"/>
                <w:szCs w:val="20"/>
              </w:rPr>
              <w:t>s</w:t>
            </w:r>
            <w:r w:rsidRPr="005046AB">
              <w:rPr>
                <w:rFonts w:ascii="Times New Roman" w:hAnsi="Times New Roman" w:cs="Times New Roman"/>
                <w:color w:val="auto"/>
                <w:sz w:val="20"/>
                <w:szCs w:val="20"/>
              </w:rPr>
              <w:t xml:space="preserve">pecial </w:t>
            </w:r>
            <w:r w:rsidR="008F0881">
              <w:rPr>
                <w:rFonts w:ascii="Times New Roman" w:hAnsi="Times New Roman" w:cs="Times New Roman"/>
                <w:color w:val="auto"/>
                <w:sz w:val="20"/>
                <w:szCs w:val="20"/>
              </w:rPr>
              <w:t>p</w:t>
            </w:r>
            <w:r w:rsidRPr="005046AB">
              <w:rPr>
                <w:rFonts w:ascii="Times New Roman" w:hAnsi="Times New Roman" w:cs="Times New Roman"/>
                <w:color w:val="auto"/>
                <w:sz w:val="20"/>
                <w:szCs w:val="20"/>
              </w:rPr>
              <w:t>rovision 643 to not only exempt transport of aggregate and stone asphalt from Class 9 requirements but to also include the transport of elevated temperature substances for road marking purposes to this exemption from Class 9 requirements</w:t>
            </w:r>
            <w:r>
              <w:rPr>
                <w:rFonts w:ascii="Times New Roman" w:hAnsi="Times New Roman" w:cs="Times New Roman"/>
                <w:color w:val="auto"/>
                <w:sz w:val="20"/>
                <w:szCs w:val="20"/>
              </w:rPr>
              <w:t>.</w:t>
            </w:r>
          </w:p>
          <w:p w:rsidR="004328EB" w:rsidRPr="00B107B4" w:rsidRDefault="004328EB" w:rsidP="004328EB">
            <w:pPr>
              <w:spacing w:after="120"/>
              <w:ind w:left="3402" w:right="1134" w:hanging="2268"/>
              <w:jc w:val="both"/>
              <w:rPr>
                <w:lang w:val="en-US"/>
              </w:rPr>
            </w:pPr>
          </w:p>
        </w:tc>
      </w:tr>
      <w:tr w:rsidR="004328EB" w:rsidRPr="000A7F3D" w:rsidTr="004328EB">
        <w:trPr>
          <w:jc w:val="center"/>
        </w:trPr>
        <w:tc>
          <w:tcPr>
            <w:tcW w:w="9082" w:type="dxa"/>
            <w:tcBorders>
              <w:top w:val="nil"/>
              <w:bottom w:val="nil"/>
            </w:tcBorders>
            <w:shd w:val="clear" w:color="auto" w:fill="auto"/>
          </w:tcPr>
          <w:p w:rsidR="004328EB" w:rsidRPr="00B107B4" w:rsidRDefault="004328EB" w:rsidP="008F0881">
            <w:pPr>
              <w:spacing w:after="120"/>
              <w:ind w:left="3402" w:right="713" w:hanging="2268"/>
              <w:jc w:val="both"/>
              <w:rPr>
                <w:lang w:val="en-US"/>
              </w:rPr>
            </w:pPr>
            <w:r w:rsidRPr="00B107B4">
              <w:rPr>
                <w:b/>
              </w:rPr>
              <w:t>Action to be taken</w:t>
            </w:r>
            <w:r w:rsidRPr="00B107B4">
              <w:t>:</w:t>
            </w:r>
            <w:r w:rsidRPr="00B107B4">
              <w:tab/>
            </w:r>
            <w:r w:rsidRPr="005046AB">
              <w:t xml:space="preserve">Amend </w:t>
            </w:r>
            <w:r w:rsidRPr="005046AB">
              <w:rPr>
                <w:lang w:val="en-US"/>
              </w:rPr>
              <w:t xml:space="preserve">special provision 643 in such a way that the transport of elevated temperature substances for the purpose of applying road markings is not subject to </w:t>
            </w:r>
            <w:r w:rsidR="008F0881">
              <w:rPr>
                <w:lang w:val="en-US"/>
              </w:rPr>
              <w:t>C</w:t>
            </w:r>
            <w:r w:rsidRPr="005046AB">
              <w:rPr>
                <w:lang w:val="en-US"/>
              </w:rPr>
              <w:t>lass 9 requirements.</w:t>
            </w:r>
          </w:p>
        </w:tc>
      </w:tr>
      <w:tr w:rsidR="004328EB" w:rsidRPr="009045F5" w:rsidTr="004328EB">
        <w:trPr>
          <w:trHeight w:val="66"/>
          <w:jc w:val="center"/>
        </w:trPr>
        <w:tc>
          <w:tcPr>
            <w:tcW w:w="9082" w:type="dxa"/>
            <w:tcBorders>
              <w:top w:val="nil"/>
            </w:tcBorders>
            <w:shd w:val="clear" w:color="auto" w:fill="auto"/>
          </w:tcPr>
          <w:p w:rsidR="004328EB" w:rsidRPr="00B107B4" w:rsidRDefault="004328EB" w:rsidP="004328EB"/>
        </w:tc>
      </w:tr>
    </w:tbl>
    <w:p w:rsidR="004328EB" w:rsidRPr="00B107B4" w:rsidRDefault="004328EB" w:rsidP="004328EB">
      <w:pPr>
        <w:pStyle w:val="HChG"/>
      </w:pPr>
      <w:r w:rsidRPr="00B107B4">
        <w:lastRenderedPageBreak/>
        <w:tab/>
      </w:r>
      <w:r>
        <w:tab/>
      </w:r>
      <w:r w:rsidRPr="00B107B4">
        <w:t>Introduction</w:t>
      </w:r>
    </w:p>
    <w:p w:rsidR="004328EB" w:rsidRPr="00C40F68" w:rsidRDefault="004328EB" w:rsidP="004328EB">
      <w:pPr>
        <w:pStyle w:val="SingleTxtG"/>
        <w:rPr>
          <w:bCs/>
        </w:rPr>
      </w:pPr>
      <w:r w:rsidRPr="000A7F3D">
        <w:t>1.</w:t>
      </w:r>
      <w:r w:rsidRPr="000A7F3D">
        <w:tab/>
        <w:t xml:space="preserve">Through </w:t>
      </w:r>
      <w:r w:rsidR="008F0881">
        <w:t>special p</w:t>
      </w:r>
      <w:r w:rsidRPr="000A7F3D">
        <w:t xml:space="preserve">rovision 643 - assigned to UN3257 and UN3258 - the transport of aggregate and stone asphalt is not subject to Class 9 requirements. Special </w:t>
      </w:r>
      <w:r w:rsidR="008F0881">
        <w:t>p</w:t>
      </w:r>
      <w:r w:rsidRPr="000A7F3D">
        <w:t>rovision 643 has been</w:t>
      </w:r>
      <w:r w:rsidRPr="000A7F3D">
        <w:rPr>
          <w:bCs/>
        </w:rPr>
        <w:t xml:space="preserve"> </w:t>
      </w:r>
      <w:r w:rsidRPr="000A7F3D">
        <w:t>specifically provided for vehicles applying asphalt on roads. For reasons of uniformity it wou</w:t>
      </w:r>
      <w:r w:rsidRPr="00C40F68">
        <w:t xml:space="preserve">ld be desirable to have a wider scope of </w:t>
      </w:r>
      <w:r w:rsidR="008F0881">
        <w:t>s</w:t>
      </w:r>
      <w:r w:rsidRPr="00C40F68">
        <w:t xml:space="preserve">pecial </w:t>
      </w:r>
      <w:r w:rsidR="008F0881">
        <w:t>p</w:t>
      </w:r>
      <w:r w:rsidRPr="00C40F68">
        <w:t>rovision 643 in which transportation of elevated temperature substances</w:t>
      </w:r>
      <w:r>
        <w:t xml:space="preserve"> of Class 9</w:t>
      </w:r>
      <w:r w:rsidRPr="00C40F68">
        <w:t xml:space="preserve">, specifically for applying road markings, is also not subject to the requirements of Class 9. </w:t>
      </w:r>
    </w:p>
    <w:p w:rsidR="004328EB" w:rsidRPr="00C40F68" w:rsidRDefault="004328EB" w:rsidP="004328EB">
      <w:pPr>
        <w:pStyle w:val="SingleTxtG"/>
        <w:rPr>
          <w:bCs/>
        </w:rPr>
      </w:pPr>
      <w:r w:rsidRPr="000A7F3D">
        <w:t>2</w:t>
      </w:r>
      <w:r>
        <w:t>.</w:t>
      </w:r>
      <w:r>
        <w:tab/>
      </w:r>
      <w:r w:rsidRPr="000A7F3D">
        <w:t xml:space="preserve">The goods which are being transported for the purpose of application of road markings (e.g., thermoplastics) are heated in boilers which are placed in the vehicles and transported to the site where the markings are to be applied. </w:t>
      </w:r>
      <w:r w:rsidRPr="00C40F68">
        <w:t xml:space="preserve">The temperature of the outer surface of the boiler never exceeds 70 </w:t>
      </w:r>
      <w:r w:rsidR="008F0881" w:rsidRPr="008F0881">
        <w:t>°</w:t>
      </w:r>
      <w:r w:rsidRPr="00C40F68">
        <w:t xml:space="preserve">C. The boilers are attached to the vehicle in such a way that any movement during normal conditions of transport is prevented. The boilers are closed in such a way that any loss of product during the transport is prevented. The boilers are used to supply e.g. liquid thermoplastics which are used in machines at the work site to apply road markings. The vehicles in which the boilers are placed are not used to transport other dangerous goods.  </w:t>
      </w:r>
    </w:p>
    <w:p w:rsidR="004328EB" w:rsidRPr="00C40F68" w:rsidRDefault="004328EB" w:rsidP="004328EB">
      <w:pPr>
        <w:pStyle w:val="SingleTxtG"/>
      </w:pPr>
      <w:r w:rsidRPr="000A7F3D">
        <w:t>3.</w:t>
      </w:r>
      <w:r w:rsidRPr="000A7F3D">
        <w:tab/>
        <w:t xml:space="preserve">The configuration for the application of road markings is very similar to the configuration used for  aggregate and stone asphalt. </w:t>
      </w:r>
      <w:r w:rsidRPr="00C40F68">
        <w:t xml:space="preserve">In addition the application of road markings on (newly) applied asphalt is directly connected to the process of applying asphalt. </w:t>
      </w:r>
    </w:p>
    <w:p w:rsidR="004328EB" w:rsidRPr="000A7F3D" w:rsidRDefault="004328EB" w:rsidP="004328EB">
      <w:pPr>
        <w:pStyle w:val="SingleTxtG"/>
      </w:pPr>
      <w:r w:rsidRPr="000A7F3D">
        <w:t>4.</w:t>
      </w:r>
      <w:r w:rsidRPr="000A7F3D">
        <w:tab/>
        <w:t>The boilers are designed in such a way that compliance with the regulatory provisions for packagings cannot be achieved.</w:t>
      </w:r>
    </w:p>
    <w:p w:rsidR="004328EB" w:rsidRPr="000A7F3D" w:rsidRDefault="004328EB" w:rsidP="004328EB">
      <w:pPr>
        <w:pStyle w:val="SingleTxtG"/>
      </w:pPr>
      <w:r w:rsidRPr="000A7F3D">
        <w:t>5.</w:t>
      </w:r>
      <w:r w:rsidRPr="000A7F3D">
        <w:tab/>
        <w:t>If the Joint Meeting considers it necessary that additional safety precautions should be taken, an alternative proposal is developed in paragraph 7.</w:t>
      </w:r>
    </w:p>
    <w:p w:rsidR="004328EB" w:rsidRPr="000A7F3D" w:rsidRDefault="004328EB" w:rsidP="004328EB">
      <w:pPr>
        <w:pStyle w:val="H1G"/>
      </w:pPr>
      <w:r>
        <w:tab/>
      </w:r>
      <w:r>
        <w:tab/>
      </w:r>
      <w:r w:rsidRPr="000A7F3D">
        <w:t>Proposal 1 (Alternative 1)</w:t>
      </w:r>
    </w:p>
    <w:p w:rsidR="004328EB" w:rsidRPr="00C40F68" w:rsidRDefault="004328EB" w:rsidP="004328EB">
      <w:pPr>
        <w:pStyle w:val="SingleTxtG"/>
        <w:rPr>
          <w:b/>
          <w:bCs/>
        </w:rPr>
      </w:pPr>
      <w:r>
        <w:t>6.</w:t>
      </w:r>
      <w:r>
        <w:tab/>
      </w:r>
      <w:r w:rsidRPr="00C40F68">
        <w:t xml:space="preserve">Amend </w:t>
      </w:r>
      <w:r w:rsidR="008F0881">
        <w:t>s</w:t>
      </w:r>
      <w:r w:rsidRPr="00C40F68">
        <w:t xml:space="preserve">pecial </w:t>
      </w:r>
      <w:r w:rsidR="008F0881">
        <w:t>p</w:t>
      </w:r>
      <w:r w:rsidRPr="00C40F68">
        <w:t>rovision 643 to read as follows:</w:t>
      </w:r>
    </w:p>
    <w:p w:rsidR="004328EB" w:rsidRPr="00C40F68" w:rsidRDefault="004328EB" w:rsidP="004328EB">
      <w:pPr>
        <w:pStyle w:val="Hoofdtekst"/>
        <w:spacing w:before="120"/>
        <w:ind w:left="1134" w:right="1134"/>
        <w:jc w:val="both"/>
        <w:rPr>
          <w:rFonts w:ascii="Times New Roman" w:hAnsi="Times New Roman" w:cs="Times New Roman"/>
          <w:color w:val="auto"/>
          <w:sz w:val="20"/>
          <w:szCs w:val="20"/>
        </w:rPr>
      </w:pPr>
      <w:r w:rsidRPr="00C40F68">
        <w:rPr>
          <w:rFonts w:ascii="Times New Roman" w:hAnsi="Times New Roman" w:cs="Times New Roman"/>
          <w:color w:val="auto"/>
          <w:sz w:val="20"/>
          <w:szCs w:val="20"/>
        </w:rPr>
        <w:t>"</w:t>
      </w:r>
      <w:r w:rsidRPr="00C40F68">
        <w:rPr>
          <w:rFonts w:ascii="Times New Roman" w:hAnsi="Times New Roman" w:cs="Times New Roman"/>
          <w:b/>
          <w:bCs/>
          <w:color w:val="auto"/>
          <w:sz w:val="20"/>
          <w:szCs w:val="20"/>
        </w:rPr>
        <w:t>643</w:t>
      </w:r>
      <w:r w:rsidRPr="00C40F68">
        <w:rPr>
          <w:rFonts w:ascii="Times New Roman" w:hAnsi="Times New Roman" w:cs="Times New Roman"/>
          <w:color w:val="auto"/>
          <w:sz w:val="20"/>
          <w:szCs w:val="20"/>
        </w:rPr>
        <w:tab/>
      </w:r>
      <w:r>
        <w:rPr>
          <w:rFonts w:ascii="Times New Roman" w:hAnsi="Times New Roman" w:cs="Times New Roman"/>
          <w:color w:val="auto"/>
          <w:sz w:val="20"/>
          <w:szCs w:val="20"/>
        </w:rPr>
        <w:t>E</w:t>
      </w:r>
      <w:r w:rsidRPr="00C40F68">
        <w:rPr>
          <w:rFonts w:ascii="Times New Roman" w:hAnsi="Times New Roman" w:cs="Times New Roman"/>
          <w:color w:val="auto"/>
          <w:sz w:val="20"/>
          <w:szCs w:val="20"/>
        </w:rPr>
        <w:t>levated temperature substances for the purpose of applying road markings</w:t>
      </w:r>
      <w:r>
        <w:rPr>
          <w:rFonts w:ascii="Times New Roman" w:hAnsi="Times New Roman" w:cs="Times New Roman"/>
          <w:color w:val="auto"/>
          <w:sz w:val="20"/>
          <w:szCs w:val="20"/>
        </w:rPr>
        <w:t xml:space="preserve"> and s</w:t>
      </w:r>
      <w:r w:rsidRPr="00C40F68">
        <w:rPr>
          <w:rFonts w:ascii="Times New Roman" w:hAnsi="Times New Roman" w:cs="Times New Roman"/>
          <w:color w:val="auto"/>
          <w:sz w:val="20"/>
          <w:szCs w:val="20"/>
        </w:rPr>
        <w:t>tone or aggregate asphalt are not subject to the requirements for Class 9</w:t>
      </w:r>
      <w:r w:rsidR="008F0881">
        <w:rPr>
          <w:rFonts w:ascii="Times New Roman" w:hAnsi="Times New Roman" w:cs="Times New Roman"/>
          <w:color w:val="auto"/>
          <w:sz w:val="20"/>
          <w:szCs w:val="20"/>
        </w:rPr>
        <w:t>.”.</w:t>
      </w:r>
    </w:p>
    <w:p w:rsidR="004328EB" w:rsidRPr="000A7F3D" w:rsidRDefault="004328EB" w:rsidP="004328EB">
      <w:pPr>
        <w:pStyle w:val="H1G"/>
      </w:pPr>
      <w:r>
        <w:tab/>
      </w:r>
      <w:r>
        <w:tab/>
      </w:r>
      <w:r w:rsidRPr="000A7F3D">
        <w:t>Proposal 2 (Alternative 2)</w:t>
      </w:r>
    </w:p>
    <w:p w:rsidR="004328EB" w:rsidRPr="00C40F68" w:rsidRDefault="004328EB" w:rsidP="004328EB">
      <w:pPr>
        <w:pStyle w:val="SingleTxtG"/>
      </w:pPr>
      <w:r>
        <w:t>7.</w:t>
      </w:r>
      <w:r>
        <w:tab/>
      </w:r>
      <w:r w:rsidR="008F0881">
        <w:t>New special provision:</w:t>
      </w:r>
    </w:p>
    <w:p w:rsidR="004328EB" w:rsidRPr="00C40F68" w:rsidRDefault="004328EB" w:rsidP="004328EB">
      <w:pPr>
        <w:pStyle w:val="SingleTxtG"/>
      </w:pPr>
      <w:r w:rsidRPr="008F0881">
        <w:t>“</w:t>
      </w:r>
      <w:proofErr w:type="gramStart"/>
      <w:r w:rsidRPr="00C40F68">
        <w:rPr>
          <w:b/>
        </w:rPr>
        <w:t>6</w:t>
      </w:r>
      <w:r w:rsidR="008F0881">
        <w:rPr>
          <w:b/>
        </w:rPr>
        <w:t>XX</w:t>
      </w:r>
      <w:r w:rsidRPr="00C40F68">
        <w:t xml:space="preserve">  Stone</w:t>
      </w:r>
      <w:proofErr w:type="gramEnd"/>
      <w:r w:rsidRPr="00C40F68">
        <w:t xml:space="preserve"> or aggregate asphalt are not subject to the requirements for Class 9 </w:t>
      </w:r>
    </w:p>
    <w:p w:rsidR="004328EB" w:rsidRPr="00C40F68" w:rsidRDefault="004328EB" w:rsidP="004328EB">
      <w:pPr>
        <w:pStyle w:val="SingleTxtG"/>
      </w:pPr>
      <w:r w:rsidRPr="00C40F68">
        <w:t>Elevated temperature substances for the purpose of applying road markings are not subject to the requirements of Class 9, provided that the following conditions are met:</w:t>
      </w:r>
    </w:p>
    <w:p w:rsidR="004328EB" w:rsidRPr="00C40F68" w:rsidRDefault="004328EB" w:rsidP="004328EB">
      <w:pPr>
        <w:pStyle w:val="Bullet1G"/>
        <w:rPr>
          <w:bCs/>
        </w:rPr>
      </w:pPr>
      <w:r w:rsidRPr="00C40F68">
        <w:t xml:space="preserve">the temperature of the outer surface of the boiler does not exceed 70 </w:t>
      </w:r>
      <w:r w:rsidRPr="00C40F68">
        <w:rPr>
          <w:rFonts w:ascii="Cambria Math" w:hAnsi="Cambria Math"/>
        </w:rPr>
        <w:t>℃</w:t>
      </w:r>
      <w:r w:rsidRPr="00C40F68">
        <w:t>;</w:t>
      </w:r>
    </w:p>
    <w:p w:rsidR="004328EB" w:rsidRPr="00C40F68" w:rsidRDefault="004328EB" w:rsidP="004328EB">
      <w:pPr>
        <w:pStyle w:val="Bullet1G"/>
        <w:rPr>
          <w:bCs/>
        </w:rPr>
      </w:pPr>
      <w:r w:rsidRPr="00C40F68">
        <w:t xml:space="preserve">the boiler is closed in such a way that any loss of product is prevented during </w:t>
      </w:r>
      <w:bookmarkStart w:id="0" w:name="_GoBack"/>
      <w:bookmarkEnd w:id="0"/>
      <w:r w:rsidRPr="00C40F68">
        <w:t>transport;</w:t>
      </w:r>
    </w:p>
    <w:p w:rsidR="004328EB" w:rsidRPr="00C40F68" w:rsidRDefault="004328EB" w:rsidP="004328EB">
      <w:pPr>
        <w:pStyle w:val="Bullet1G"/>
        <w:rPr>
          <w:bCs/>
        </w:rPr>
      </w:pPr>
      <w:proofErr w:type="gramStart"/>
      <w:r w:rsidRPr="00C40F68">
        <w:t>the</w:t>
      </w:r>
      <w:proofErr w:type="gramEnd"/>
      <w:r w:rsidRPr="00C40F68">
        <w:t xml:space="preserve"> maximum capacity of the boiler is limited to </w:t>
      </w:r>
      <w:r>
        <w:t>3</w:t>
      </w:r>
      <w:r w:rsidR="008F0881">
        <w:t> </w:t>
      </w:r>
      <w:r w:rsidRPr="00C40F68">
        <w:t>0</w:t>
      </w:r>
      <w:r>
        <w:t>0</w:t>
      </w:r>
      <w:r w:rsidRPr="00C40F68">
        <w:t>0</w:t>
      </w:r>
      <w:r w:rsidRPr="008F0881">
        <w:rPr>
          <w:i/>
        </w:rPr>
        <w:t xml:space="preserve"> l</w:t>
      </w:r>
      <w:r w:rsidRPr="00C40F68">
        <w:t>.”</w:t>
      </w:r>
      <w:r w:rsidR="008F0881">
        <w:t>.</w:t>
      </w:r>
    </w:p>
    <w:p w:rsidR="004328EB" w:rsidRPr="00C40F68" w:rsidRDefault="004328EB" w:rsidP="004328EB">
      <w:pPr>
        <w:pStyle w:val="HChG"/>
      </w:pPr>
      <w:r>
        <w:lastRenderedPageBreak/>
        <w:tab/>
      </w:r>
      <w:r>
        <w:tab/>
      </w:r>
      <w:r w:rsidRPr="00C40F68">
        <w:t>Justification</w:t>
      </w:r>
    </w:p>
    <w:p w:rsidR="004328EB" w:rsidRDefault="004328EB" w:rsidP="004328EB">
      <w:pPr>
        <w:ind w:left="1134" w:right="1134"/>
        <w:jc w:val="both"/>
        <w:rPr>
          <w:lang w:val="en-US"/>
        </w:rPr>
      </w:pPr>
      <w:r w:rsidRPr="000A7F3D">
        <w:rPr>
          <w:rStyle w:val="SingleTxtGChar"/>
        </w:rPr>
        <w:t>Ensuring uniform application of the regulations concerning the transport of elevated temperature substances, thus preventing inequality between contracting parties due to different interpretation of rules by designated supervisory and monitoring authorities</w:t>
      </w:r>
      <w:r>
        <w:rPr>
          <w:lang w:val="en-US"/>
        </w:rPr>
        <w:t>.</w:t>
      </w:r>
    </w:p>
    <w:p w:rsidR="004328EB" w:rsidRPr="00622C4E" w:rsidRDefault="004328EB" w:rsidP="004328EB">
      <w:pPr>
        <w:spacing w:before="240"/>
        <w:ind w:left="1134" w:right="1134"/>
        <w:jc w:val="center"/>
        <w:rPr>
          <w:u w:val="single"/>
        </w:rPr>
      </w:pPr>
      <w:r w:rsidRPr="00622C4E">
        <w:rPr>
          <w:u w:val="single"/>
        </w:rPr>
        <w:tab/>
      </w:r>
      <w:r w:rsidRPr="00622C4E">
        <w:rPr>
          <w:u w:val="single"/>
        </w:rPr>
        <w:tab/>
      </w:r>
      <w:r w:rsidRPr="00622C4E">
        <w:rPr>
          <w:u w:val="single"/>
        </w:rPr>
        <w:tab/>
      </w:r>
    </w:p>
    <w:sectPr w:rsidR="004328EB" w:rsidRPr="00622C4E" w:rsidSect="002C3DE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5C" w:rsidRDefault="00966A5C"/>
  </w:endnote>
  <w:endnote w:type="continuationSeparator" w:id="0">
    <w:p w:rsidR="00966A5C" w:rsidRDefault="00966A5C"/>
  </w:endnote>
  <w:endnote w:type="continuationNotice" w:id="1">
    <w:p w:rsidR="00966A5C" w:rsidRDefault="00966A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EB" w:rsidRPr="009D2A5B" w:rsidRDefault="0045050F" w:rsidP="009D2A5B">
    <w:pPr>
      <w:pStyle w:val="Pieddepage"/>
      <w:tabs>
        <w:tab w:val="right" w:pos="9598"/>
      </w:tabs>
    </w:pPr>
    <w:r w:rsidRPr="009D2A5B">
      <w:rPr>
        <w:b/>
        <w:sz w:val="18"/>
      </w:rPr>
      <w:fldChar w:fldCharType="begin"/>
    </w:r>
    <w:r w:rsidR="004328EB" w:rsidRPr="009D2A5B">
      <w:rPr>
        <w:b/>
        <w:sz w:val="18"/>
      </w:rPr>
      <w:instrText xml:space="preserve"> PAGE  \* MERGEFORMAT </w:instrText>
    </w:r>
    <w:r w:rsidRPr="009D2A5B">
      <w:rPr>
        <w:b/>
        <w:sz w:val="18"/>
      </w:rPr>
      <w:fldChar w:fldCharType="separate"/>
    </w:r>
    <w:r w:rsidR="001C1723">
      <w:rPr>
        <w:b/>
        <w:noProof/>
        <w:sz w:val="18"/>
      </w:rPr>
      <w:t>2</w:t>
    </w:r>
    <w:r w:rsidRPr="009D2A5B">
      <w:rPr>
        <w:b/>
        <w:sz w:val="18"/>
      </w:rPr>
      <w:fldChar w:fldCharType="end"/>
    </w:r>
    <w:r w:rsidR="004328EB">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EB" w:rsidRPr="009D2A5B" w:rsidRDefault="004328EB" w:rsidP="009D2A5B">
    <w:pPr>
      <w:pStyle w:val="Pieddepage"/>
      <w:tabs>
        <w:tab w:val="right" w:pos="9598"/>
      </w:tabs>
      <w:rPr>
        <w:b/>
        <w:sz w:val="18"/>
      </w:rPr>
    </w:pPr>
    <w:r>
      <w:tab/>
    </w:r>
    <w:r w:rsidR="0045050F" w:rsidRPr="009D2A5B">
      <w:rPr>
        <w:b/>
        <w:sz w:val="18"/>
      </w:rPr>
      <w:fldChar w:fldCharType="begin"/>
    </w:r>
    <w:r w:rsidRPr="009D2A5B">
      <w:rPr>
        <w:b/>
        <w:sz w:val="18"/>
      </w:rPr>
      <w:instrText xml:space="preserve"> PAGE  \* MERGEFORMAT </w:instrText>
    </w:r>
    <w:r w:rsidR="0045050F" w:rsidRPr="009D2A5B">
      <w:rPr>
        <w:b/>
        <w:sz w:val="18"/>
      </w:rPr>
      <w:fldChar w:fldCharType="separate"/>
    </w:r>
    <w:r w:rsidR="001C1723">
      <w:rPr>
        <w:b/>
        <w:noProof/>
        <w:sz w:val="18"/>
      </w:rPr>
      <w:t>3</w:t>
    </w:r>
    <w:r w:rsidR="0045050F" w:rsidRPr="009D2A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EB" w:rsidRPr="0048397A" w:rsidRDefault="004328EB">
    <w:pPr>
      <w:pStyle w:val="Pieddepage"/>
      <w:rPr>
        <w:sz w:val="20"/>
      </w:rPr>
    </w:pPr>
    <w:r>
      <w:rPr>
        <w:sz w:val="20"/>
      </w:rPr>
      <w:t>GE.15-</w:t>
    </w:r>
    <w:r w:rsidR="00BD61DA">
      <w:rPr>
        <w:noProof/>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1905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5C" w:rsidRPr="000B175B" w:rsidRDefault="00966A5C" w:rsidP="000B175B">
      <w:pPr>
        <w:tabs>
          <w:tab w:val="right" w:pos="2155"/>
        </w:tabs>
        <w:spacing w:after="80"/>
        <w:ind w:left="680"/>
        <w:rPr>
          <w:u w:val="single"/>
        </w:rPr>
      </w:pPr>
      <w:r>
        <w:rPr>
          <w:u w:val="single"/>
        </w:rPr>
        <w:tab/>
      </w:r>
    </w:p>
  </w:footnote>
  <w:footnote w:type="continuationSeparator" w:id="0">
    <w:p w:rsidR="00966A5C" w:rsidRPr="00FC68B7" w:rsidRDefault="00966A5C" w:rsidP="00FC68B7">
      <w:pPr>
        <w:tabs>
          <w:tab w:val="left" w:pos="2155"/>
        </w:tabs>
        <w:spacing w:after="80"/>
        <w:ind w:left="680"/>
        <w:rPr>
          <w:u w:val="single"/>
        </w:rPr>
      </w:pPr>
      <w:r>
        <w:rPr>
          <w:u w:val="single"/>
        </w:rPr>
        <w:tab/>
      </w:r>
    </w:p>
  </w:footnote>
  <w:footnote w:type="continuationNotice" w:id="1">
    <w:p w:rsidR="00966A5C" w:rsidRDefault="00966A5C"/>
  </w:footnote>
  <w:footnote w:id="2">
    <w:p w:rsidR="004328EB" w:rsidRPr="00BA3578" w:rsidRDefault="004328EB" w:rsidP="00BE3AB6">
      <w:pPr>
        <w:pStyle w:val="Notedebasdepage"/>
        <w:widowControl w:val="0"/>
        <w:tabs>
          <w:tab w:val="clear" w:pos="1021"/>
          <w:tab w:val="right" w:pos="1020"/>
        </w:tabs>
      </w:pPr>
      <w:r>
        <w:tab/>
      </w:r>
      <w:r>
        <w:rPr>
          <w:rStyle w:val="Appelnotedebasdep"/>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4328EB" w:rsidRPr="00BA3578" w:rsidRDefault="004328EB" w:rsidP="00BE3AB6">
      <w:pPr>
        <w:pStyle w:val="Notedebasdepage"/>
        <w:widowControl w:val="0"/>
        <w:tabs>
          <w:tab w:val="clear" w:pos="1021"/>
          <w:tab w:val="right" w:pos="1020"/>
        </w:tabs>
      </w:pPr>
      <w:r w:rsidRPr="00BA3578">
        <w:tab/>
      </w:r>
      <w:r w:rsidRPr="00BA3578">
        <w:rPr>
          <w:rStyle w:val="Appelnotedebasdep"/>
        </w:rPr>
        <w:footnoteRef/>
      </w:r>
      <w:r w:rsidRPr="00BA3578">
        <w:tab/>
        <w:t>Circulated by the Intergovernmental Organisation for International Carriage by Rail (OTIF) under the symbol OTIF/RID/RC/2015/</w:t>
      </w:r>
      <w:r>
        <w:t>5</w:t>
      </w:r>
      <w:r w:rsidRPr="004328EB">
        <w:t>3</w:t>
      </w:r>
      <w:r w:rsidRPr="00BA357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EB" w:rsidRPr="009D2A5B" w:rsidRDefault="004328EB" w:rsidP="001F4316">
    <w:pPr>
      <w:pStyle w:val="En-tte"/>
    </w:pPr>
    <w:r w:rsidRPr="009D2A5B">
      <w:t>ECE/TRANS/WP.15/AC.1/201</w:t>
    </w:r>
    <w:r>
      <w:t>5/53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EB" w:rsidRPr="009D2A5B" w:rsidRDefault="004328EB" w:rsidP="009D2A5B">
    <w:pPr>
      <w:pStyle w:val="En-tte"/>
      <w:jc w:val="right"/>
    </w:pPr>
    <w:r>
      <w:t>ECE/TRANS/WP.15/AC.1/2015</w:t>
    </w:r>
    <w:r w:rsidRPr="009D2A5B">
      <w:t>/</w:t>
    </w:r>
    <w:r>
      <w:t>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701"/>
        </w:tabs>
        <w:ind w:left="1701" w:hanging="170"/>
      </w:pPr>
      <w:rPr>
        <w:rFonts w:ascii="Times New Roman" w:hAnsi="Times New Roman" w:cs="Times New Roman"/>
        <w:b w:val="0"/>
        <w:i w:val="0"/>
        <w:sz w:val="20"/>
      </w:rPr>
    </w:lvl>
  </w:abstractNum>
  <w:abstractNum w:abstractNumId="11">
    <w:nsid w:val="00000003"/>
    <w:multiLevelType w:val="singleLevel"/>
    <w:tmpl w:val="00000003"/>
    <w:name w:val="WW8Num3"/>
    <w:lvl w:ilvl="0">
      <w:start w:val="1"/>
      <w:numFmt w:val="bullet"/>
      <w:lvlText w:val="•"/>
      <w:lvlJc w:val="left"/>
      <w:pPr>
        <w:tabs>
          <w:tab w:val="num" w:pos="2268"/>
        </w:tabs>
        <w:ind w:left="2268" w:hanging="170"/>
      </w:pPr>
      <w:rPr>
        <w:rFonts w:ascii="Times New Roman" w:hAnsi="Times New Roman" w:cs="Times New Roman"/>
      </w:rPr>
    </w:lvl>
  </w:abstractNum>
  <w:abstractNum w:abstractNumId="12">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6B7ED5"/>
    <w:multiLevelType w:val="hybridMultilevel"/>
    <w:tmpl w:val="2E90948C"/>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1C8A1943"/>
    <w:multiLevelType w:val="hybridMultilevel"/>
    <w:tmpl w:val="94587F3A"/>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20167F"/>
    <w:multiLevelType w:val="hybridMultilevel"/>
    <w:tmpl w:val="DEB6773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2B4582"/>
    <w:multiLevelType w:val="hybridMultilevel"/>
    <w:tmpl w:val="98C088B0"/>
    <w:name w:val="List test level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32B83"/>
    <w:multiLevelType w:val="hybridMultilevel"/>
    <w:tmpl w:val="47A05206"/>
    <w:lvl w:ilvl="0" w:tplc="100C000F">
      <w:start w:val="1"/>
      <w:numFmt w:val="decimal"/>
      <w:lvlText w:val="%1."/>
      <w:lvlJc w:val="left"/>
      <w:pPr>
        <w:ind w:left="1494" w:hanging="360"/>
      </w:p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3">
    <w:nsid w:val="52AA1372"/>
    <w:multiLevelType w:val="hybridMultilevel"/>
    <w:tmpl w:val="E506BED2"/>
    <w:lvl w:ilvl="0" w:tplc="3D8227BC">
      <w:start w:val="3"/>
      <w:numFmt w:val="bullet"/>
      <w:lvlText w:val=""/>
      <w:lvlJc w:val="left"/>
      <w:pPr>
        <w:ind w:left="1494" w:hanging="360"/>
      </w:pPr>
      <w:rPr>
        <w:rFonts w:ascii="Symbol" w:eastAsia="Calibri"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37D0003"/>
    <w:multiLevelType w:val="hybridMultilevel"/>
    <w:tmpl w:val="5B8C93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4E6650"/>
    <w:multiLevelType w:val="hybridMultilevel"/>
    <w:tmpl w:val="CC4E7F10"/>
    <w:lvl w:ilvl="0" w:tplc="8C4849AC">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nsid w:val="6C7764D1"/>
    <w:multiLevelType w:val="hybridMultilevel"/>
    <w:tmpl w:val="2998F4CE"/>
    <w:lvl w:ilvl="0" w:tplc="872C072E">
      <w:start w:val="1"/>
      <w:numFmt w:val="decimal"/>
      <w:lvlText w:val="%1."/>
      <w:lvlJc w:val="left"/>
      <w:pPr>
        <w:ind w:left="1689" w:hanging="555"/>
      </w:pPr>
      <w:rPr>
        <w:rFonts w:hint="default"/>
      </w:rPr>
    </w:lvl>
    <w:lvl w:ilvl="1" w:tplc="100C0003">
      <w:start w:val="1"/>
      <w:numFmt w:val="lowerLetter"/>
      <w:lvlText w:val="%2."/>
      <w:lvlJc w:val="left"/>
      <w:pPr>
        <w:ind w:left="2214" w:hanging="360"/>
      </w:pPr>
    </w:lvl>
    <w:lvl w:ilvl="2" w:tplc="100C0005" w:tentative="1">
      <w:start w:val="1"/>
      <w:numFmt w:val="lowerRoman"/>
      <w:lvlText w:val="%3."/>
      <w:lvlJc w:val="right"/>
      <w:pPr>
        <w:ind w:left="2934" w:hanging="180"/>
      </w:pPr>
    </w:lvl>
    <w:lvl w:ilvl="3" w:tplc="100C0001" w:tentative="1">
      <w:start w:val="1"/>
      <w:numFmt w:val="decimal"/>
      <w:lvlText w:val="%4."/>
      <w:lvlJc w:val="left"/>
      <w:pPr>
        <w:ind w:left="3654" w:hanging="360"/>
      </w:pPr>
    </w:lvl>
    <w:lvl w:ilvl="4" w:tplc="100C0003" w:tentative="1">
      <w:start w:val="1"/>
      <w:numFmt w:val="lowerLetter"/>
      <w:lvlText w:val="%5."/>
      <w:lvlJc w:val="left"/>
      <w:pPr>
        <w:ind w:left="4374" w:hanging="360"/>
      </w:pPr>
    </w:lvl>
    <w:lvl w:ilvl="5" w:tplc="100C0005" w:tentative="1">
      <w:start w:val="1"/>
      <w:numFmt w:val="lowerRoman"/>
      <w:lvlText w:val="%6."/>
      <w:lvlJc w:val="right"/>
      <w:pPr>
        <w:ind w:left="5094" w:hanging="180"/>
      </w:pPr>
    </w:lvl>
    <w:lvl w:ilvl="6" w:tplc="100C0001" w:tentative="1">
      <w:start w:val="1"/>
      <w:numFmt w:val="decimal"/>
      <w:lvlText w:val="%7."/>
      <w:lvlJc w:val="left"/>
      <w:pPr>
        <w:ind w:left="5814" w:hanging="360"/>
      </w:pPr>
    </w:lvl>
    <w:lvl w:ilvl="7" w:tplc="100C0003" w:tentative="1">
      <w:start w:val="1"/>
      <w:numFmt w:val="lowerLetter"/>
      <w:lvlText w:val="%8."/>
      <w:lvlJc w:val="left"/>
      <w:pPr>
        <w:ind w:left="6534" w:hanging="360"/>
      </w:pPr>
    </w:lvl>
    <w:lvl w:ilvl="8" w:tplc="100C0005" w:tentative="1">
      <w:start w:val="1"/>
      <w:numFmt w:val="lowerRoman"/>
      <w:lvlText w:val="%9."/>
      <w:lvlJc w:val="right"/>
      <w:pPr>
        <w:ind w:left="7254" w:hanging="180"/>
      </w:pPr>
    </w:lvl>
  </w:abstractNum>
  <w:abstractNum w:abstractNumId="28">
    <w:nsid w:val="75E223DA"/>
    <w:multiLevelType w:val="hybridMultilevel"/>
    <w:tmpl w:val="5B7ACB42"/>
    <w:lvl w:ilvl="0" w:tplc="99E8D3D0">
      <w:start w:val="1"/>
      <w:numFmt w:val="bullet"/>
      <w:lvlText w:val="•"/>
      <w:lvlJc w:val="left"/>
      <w:pPr>
        <w:tabs>
          <w:tab w:val="num" w:pos="2268"/>
        </w:tabs>
        <w:ind w:left="2268" w:hanging="170"/>
      </w:pPr>
      <w:rPr>
        <w:rFonts w:ascii="Times New Roman" w:hAnsi="Times New Roman" w:cs="Times New Roman" w:hint="default"/>
      </w:rPr>
    </w:lvl>
    <w:lvl w:ilvl="1" w:tplc="041D0019" w:tentative="1">
      <w:start w:val="1"/>
      <w:numFmt w:val="bullet"/>
      <w:lvlText w:val="o"/>
      <w:lvlJc w:val="left"/>
      <w:pPr>
        <w:tabs>
          <w:tab w:val="num" w:pos="1440"/>
        </w:tabs>
        <w:ind w:left="1440" w:hanging="360"/>
      </w:pPr>
      <w:rPr>
        <w:rFonts w:ascii="Courier New" w:hAnsi="Courier New" w:cs="Wingdings"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cs="Wingdings"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cs="Wingdings"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29">
    <w:nsid w:val="75FC1F82"/>
    <w:multiLevelType w:val="hybridMultilevel"/>
    <w:tmpl w:val="38127E04"/>
    <w:lvl w:ilvl="0" w:tplc="3A60C988">
      <w:start w:val="1"/>
      <w:numFmt w:val="decimal"/>
      <w:lvlText w:val="%1."/>
      <w:lvlJc w:val="left"/>
      <w:pPr>
        <w:ind w:left="1689" w:hanging="555"/>
      </w:pPr>
      <w:rPr>
        <w:rFonts w:hint="default"/>
      </w:rPr>
    </w:lvl>
    <w:lvl w:ilvl="1" w:tplc="040C0003" w:tentative="1">
      <w:start w:val="1"/>
      <w:numFmt w:val="lowerLetter"/>
      <w:lvlText w:val="%2."/>
      <w:lvlJc w:val="left"/>
      <w:pPr>
        <w:ind w:left="2214" w:hanging="360"/>
      </w:pPr>
    </w:lvl>
    <w:lvl w:ilvl="2" w:tplc="040C0005" w:tentative="1">
      <w:start w:val="1"/>
      <w:numFmt w:val="lowerRoman"/>
      <w:lvlText w:val="%3."/>
      <w:lvlJc w:val="right"/>
      <w:pPr>
        <w:ind w:left="2934" w:hanging="180"/>
      </w:pPr>
    </w:lvl>
    <w:lvl w:ilvl="3" w:tplc="040C0001" w:tentative="1">
      <w:start w:val="1"/>
      <w:numFmt w:val="decimal"/>
      <w:lvlText w:val="%4."/>
      <w:lvlJc w:val="left"/>
      <w:pPr>
        <w:ind w:left="3654" w:hanging="360"/>
      </w:pPr>
    </w:lvl>
    <w:lvl w:ilvl="4" w:tplc="040C0003" w:tentative="1">
      <w:start w:val="1"/>
      <w:numFmt w:val="lowerLetter"/>
      <w:lvlText w:val="%5."/>
      <w:lvlJc w:val="left"/>
      <w:pPr>
        <w:ind w:left="4374" w:hanging="360"/>
      </w:pPr>
    </w:lvl>
    <w:lvl w:ilvl="5" w:tplc="040C0005" w:tentative="1">
      <w:start w:val="1"/>
      <w:numFmt w:val="lowerRoman"/>
      <w:lvlText w:val="%6."/>
      <w:lvlJc w:val="right"/>
      <w:pPr>
        <w:ind w:left="5094" w:hanging="180"/>
      </w:pPr>
    </w:lvl>
    <w:lvl w:ilvl="6" w:tplc="040C0001" w:tentative="1">
      <w:start w:val="1"/>
      <w:numFmt w:val="decimal"/>
      <w:lvlText w:val="%7."/>
      <w:lvlJc w:val="left"/>
      <w:pPr>
        <w:ind w:left="5814" w:hanging="360"/>
      </w:pPr>
    </w:lvl>
    <w:lvl w:ilvl="7" w:tplc="040C0003" w:tentative="1">
      <w:start w:val="1"/>
      <w:numFmt w:val="lowerLetter"/>
      <w:lvlText w:val="%8."/>
      <w:lvlJc w:val="left"/>
      <w:pPr>
        <w:ind w:left="6534" w:hanging="360"/>
      </w:pPr>
    </w:lvl>
    <w:lvl w:ilvl="8" w:tplc="040C0005"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2"/>
  </w:num>
  <w:num w:numId="14">
    <w:abstractNumId w:val="24"/>
  </w:num>
  <w:num w:numId="15">
    <w:abstractNumId w:val="15"/>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25"/>
  </w:num>
  <w:num w:numId="21">
    <w:abstractNumId w:val="22"/>
  </w:num>
  <w:num w:numId="22">
    <w:abstractNumId w:val="14"/>
  </w:num>
  <w:num w:numId="23">
    <w:abstractNumId w:val="17"/>
  </w:num>
  <w:num w:numId="24">
    <w:abstractNumId w:val="23"/>
  </w:num>
  <w:num w:numId="25">
    <w:abstractNumId w:val="27"/>
  </w:num>
  <w:num w:numId="26">
    <w:abstractNumId w:val="10"/>
  </w:num>
  <w:num w:numId="27">
    <w:abstractNumId w:val="11"/>
  </w:num>
  <w:num w:numId="28">
    <w:abstractNumId w:val="28"/>
  </w:num>
  <w:num w:numId="29">
    <w:abstractNumId w:val="18"/>
  </w:num>
  <w:num w:numId="30">
    <w:abstractNumId w:val="18"/>
  </w:num>
  <w:num w:numId="31">
    <w:abstractNumId w:val="26"/>
  </w:num>
  <w:num w:numId="32">
    <w:abstractNumId w:val="18"/>
  </w:num>
  <w:num w:numId="33">
    <w:abstractNumId w:val="18"/>
  </w:num>
  <w:num w:numId="34">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10"/>
  </w:hdrShapeDefaults>
  <w:footnotePr>
    <w:footnote w:id="-1"/>
    <w:footnote w:id="0"/>
    <w:footnote w:id="1"/>
  </w:footnotePr>
  <w:endnotePr>
    <w:numFmt w:val="decimal"/>
    <w:endnote w:id="-1"/>
    <w:endnote w:id="0"/>
    <w:endnote w:id="1"/>
  </w:endnotePr>
  <w:compat/>
  <w:rsids>
    <w:rsidRoot w:val="000C4D51"/>
    <w:rsid w:val="000003B4"/>
    <w:rsid w:val="00000D70"/>
    <w:rsid w:val="00016421"/>
    <w:rsid w:val="00020331"/>
    <w:rsid w:val="00037F90"/>
    <w:rsid w:val="00042BD3"/>
    <w:rsid w:val="00046B1F"/>
    <w:rsid w:val="00050F6B"/>
    <w:rsid w:val="00057E97"/>
    <w:rsid w:val="00072C8C"/>
    <w:rsid w:val="000733B5"/>
    <w:rsid w:val="00081815"/>
    <w:rsid w:val="000931C0"/>
    <w:rsid w:val="000B0595"/>
    <w:rsid w:val="000B175B"/>
    <w:rsid w:val="000B3A0F"/>
    <w:rsid w:val="000B4EF7"/>
    <w:rsid w:val="000B6A95"/>
    <w:rsid w:val="000B6F0E"/>
    <w:rsid w:val="000B6F1B"/>
    <w:rsid w:val="000C237A"/>
    <w:rsid w:val="000C2C03"/>
    <w:rsid w:val="000C2D2E"/>
    <w:rsid w:val="000C4D51"/>
    <w:rsid w:val="000E0415"/>
    <w:rsid w:val="00101F43"/>
    <w:rsid w:val="001103AA"/>
    <w:rsid w:val="0011666B"/>
    <w:rsid w:val="00155068"/>
    <w:rsid w:val="00156AC5"/>
    <w:rsid w:val="00165F3A"/>
    <w:rsid w:val="001A69F3"/>
    <w:rsid w:val="001B090E"/>
    <w:rsid w:val="001B13A5"/>
    <w:rsid w:val="001B4174"/>
    <w:rsid w:val="001B4B04"/>
    <w:rsid w:val="001B70AE"/>
    <w:rsid w:val="001C1723"/>
    <w:rsid w:val="001C6663"/>
    <w:rsid w:val="001C7895"/>
    <w:rsid w:val="001D0C8C"/>
    <w:rsid w:val="001D1419"/>
    <w:rsid w:val="001D26DF"/>
    <w:rsid w:val="001D3A03"/>
    <w:rsid w:val="001D3E68"/>
    <w:rsid w:val="001E0B9E"/>
    <w:rsid w:val="001E7B67"/>
    <w:rsid w:val="001F4316"/>
    <w:rsid w:val="001F476E"/>
    <w:rsid w:val="001F7435"/>
    <w:rsid w:val="00202DA8"/>
    <w:rsid w:val="0021157B"/>
    <w:rsid w:val="00211E0B"/>
    <w:rsid w:val="00217012"/>
    <w:rsid w:val="0023400E"/>
    <w:rsid w:val="00236F25"/>
    <w:rsid w:val="002429F0"/>
    <w:rsid w:val="00255D79"/>
    <w:rsid w:val="002571C0"/>
    <w:rsid w:val="00262D89"/>
    <w:rsid w:val="00266762"/>
    <w:rsid w:val="0026733A"/>
    <w:rsid w:val="00267F5F"/>
    <w:rsid w:val="00275FD3"/>
    <w:rsid w:val="00282724"/>
    <w:rsid w:val="00284EB0"/>
    <w:rsid w:val="00286B4D"/>
    <w:rsid w:val="002A603B"/>
    <w:rsid w:val="002B52F2"/>
    <w:rsid w:val="002C3DE1"/>
    <w:rsid w:val="002D0D11"/>
    <w:rsid w:val="002D37B3"/>
    <w:rsid w:val="002D4643"/>
    <w:rsid w:val="002D4B6C"/>
    <w:rsid w:val="002F175C"/>
    <w:rsid w:val="002F2240"/>
    <w:rsid w:val="00302E18"/>
    <w:rsid w:val="0031495B"/>
    <w:rsid w:val="003229D8"/>
    <w:rsid w:val="00337EF1"/>
    <w:rsid w:val="00352709"/>
    <w:rsid w:val="00371178"/>
    <w:rsid w:val="0037328A"/>
    <w:rsid w:val="0037785B"/>
    <w:rsid w:val="003825A4"/>
    <w:rsid w:val="003A6810"/>
    <w:rsid w:val="003C2CC4"/>
    <w:rsid w:val="003D4B23"/>
    <w:rsid w:val="004062C2"/>
    <w:rsid w:val="00410C89"/>
    <w:rsid w:val="00411FB5"/>
    <w:rsid w:val="0041592F"/>
    <w:rsid w:val="00422B6F"/>
    <w:rsid w:val="00422E03"/>
    <w:rsid w:val="00426B9B"/>
    <w:rsid w:val="004325CB"/>
    <w:rsid w:val="004328EB"/>
    <w:rsid w:val="00437DE4"/>
    <w:rsid w:val="004422B8"/>
    <w:rsid w:val="00442A83"/>
    <w:rsid w:val="0045050F"/>
    <w:rsid w:val="0045495B"/>
    <w:rsid w:val="00475B86"/>
    <w:rsid w:val="0048397A"/>
    <w:rsid w:val="004A12F2"/>
    <w:rsid w:val="004B3DBF"/>
    <w:rsid w:val="004C1C16"/>
    <w:rsid w:val="004C2461"/>
    <w:rsid w:val="004C4EF4"/>
    <w:rsid w:val="004C7462"/>
    <w:rsid w:val="004D4E04"/>
    <w:rsid w:val="004E0C05"/>
    <w:rsid w:val="004E173F"/>
    <w:rsid w:val="004E77B2"/>
    <w:rsid w:val="004F6A8A"/>
    <w:rsid w:val="00503DEB"/>
    <w:rsid w:val="00504B2D"/>
    <w:rsid w:val="005130F6"/>
    <w:rsid w:val="00515740"/>
    <w:rsid w:val="0052136D"/>
    <w:rsid w:val="00522B58"/>
    <w:rsid w:val="0052775E"/>
    <w:rsid w:val="00527937"/>
    <w:rsid w:val="00534F52"/>
    <w:rsid w:val="00536A26"/>
    <w:rsid w:val="005420F2"/>
    <w:rsid w:val="00556524"/>
    <w:rsid w:val="005608A7"/>
    <w:rsid w:val="005628B6"/>
    <w:rsid w:val="005715E8"/>
    <w:rsid w:val="00572217"/>
    <w:rsid w:val="005728A0"/>
    <w:rsid w:val="00580343"/>
    <w:rsid w:val="005B1C19"/>
    <w:rsid w:val="005B3DB3"/>
    <w:rsid w:val="005B4E13"/>
    <w:rsid w:val="005C0AE0"/>
    <w:rsid w:val="005C4FC4"/>
    <w:rsid w:val="005D0297"/>
    <w:rsid w:val="005D3EE2"/>
    <w:rsid w:val="005F7B75"/>
    <w:rsid w:val="006001EE"/>
    <w:rsid w:val="00605042"/>
    <w:rsid w:val="00611C33"/>
    <w:rsid w:val="00611FC4"/>
    <w:rsid w:val="006147C9"/>
    <w:rsid w:val="006176FB"/>
    <w:rsid w:val="00624A11"/>
    <w:rsid w:val="006348B1"/>
    <w:rsid w:val="00635FFB"/>
    <w:rsid w:val="00636EDC"/>
    <w:rsid w:val="00640B26"/>
    <w:rsid w:val="00642783"/>
    <w:rsid w:val="006453E5"/>
    <w:rsid w:val="00652D0A"/>
    <w:rsid w:val="006623D5"/>
    <w:rsid w:val="00662BB6"/>
    <w:rsid w:val="00667F8F"/>
    <w:rsid w:val="00684C21"/>
    <w:rsid w:val="006A2530"/>
    <w:rsid w:val="006A7D45"/>
    <w:rsid w:val="006B3AB0"/>
    <w:rsid w:val="006C3589"/>
    <w:rsid w:val="006D29D1"/>
    <w:rsid w:val="006D37AF"/>
    <w:rsid w:val="006D51D0"/>
    <w:rsid w:val="006D5297"/>
    <w:rsid w:val="006E0F61"/>
    <w:rsid w:val="006E564B"/>
    <w:rsid w:val="006E7191"/>
    <w:rsid w:val="006E743E"/>
    <w:rsid w:val="00703577"/>
    <w:rsid w:val="0070507C"/>
    <w:rsid w:val="00705894"/>
    <w:rsid w:val="0072632A"/>
    <w:rsid w:val="007327D5"/>
    <w:rsid w:val="0075753E"/>
    <w:rsid w:val="007611CF"/>
    <w:rsid w:val="00761807"/>
    <w:rsid w:val="007629C8"/>
    <w:rsid w:val="0077047D"/>
    <w:rsid w:val="007779CC"/>
    <w:rsid w:val="007807CE"/>
    <w:rsid w:val="0078180E"/>
    <w:rsid w:val="00787505"/>
    <w:rsid w:val="00794BBE"/>
    <w:rsid w:val="007B6BA5"/>
    <w:rsid w:val="007C3390"/>
    <w:rsid w:val="007C4F4B"/>
    <w:rsid w:val="007D6054"/>
    <w:rsid w:val="007E01E9"/>
    <w:rsid w:val="007E63F3"/>
    <w:rsid w:val="007F007D"/>
    <w:rsid w:val="007F6611"/>
    <w:rsid w:val="007F7106"/>
    <w:rsid w:val="00802B58"/>
    <w:rsid w:val="00811920"/>
    <w:rsid w:val="00815AD0"/>
    <w:rsid w:val="008242D7"/>
    <w:rsid w:val="008257B1"/>
    <w:rsid w:val="00843767"/>
    <w:rsid w:val="008679D9"/>
    <w:rsid w:val="00871389"/>
    <w:rsid w:val="00883999"/>
    <w:rsid w:val="00886626"/>
    <w:rsid w:val="008878DE"/>
    <w:rsid w:val="008979B1"/>
    <w:rsid w:val="008A158D"/>
    <w:rsid w:val="008A6B25"/>
    <w:rsid w:val="008A6C4F"/>
    <w:rsid w:val="008B2335"/>
    <w:rsid w:val="008E0678"/>
    <w:rsid w:val="008E2A90"/>
    <w:rsid w:val="008F0881"/>
    <w:rsid w:val="009223CA"/>
    <w:rsid w:val="00926C53"/>
    <w:rsid w:val="00940F93"/>
    <w:rsid w:val="00966A5C"/>
    <w:rsid w:val="00970688"/>
    <w:rsid w:val="0097392F"/>
    <w:rsid w:val="009760F3"/>
    <w:rsid w:val="0097625A"/>
    <w:rsid w:val="00981F4B"/>
    <w:rsid w:val="0099020C"/>
    <w:rsid w:val="009A0E8D"/>
    <w:rsid w:val="009B1518"/>
    <w:rsid w:val="009B26E7"/>
    <w:rsid w:val="009C20E9"/>
    <w:rsid w:val="009C454F"/>
    <w:rsid w:val="009D1E26"/>
    <w:rsid w:val="009D2A5B"/>
    <w:rsid w:val="009F59F0"/>
    <w:rsid w:val="00A00A3F"/>
    <w:rsid w:val="00A01150"/>
    <w:rsid w:val="00A01489"/>
    <w:rsid w:val="00A11D46"/>
    <w:rsid w:val="00A3009E"/>
    <w:rsid w:val="00A3026E"/>
    <w:rsid w:val="00A338F1"/>
    <w:rsid w:val="00A50FDB"/>
    <w:rsid w:val="00A556DD"/>
    <w:rsid w:val="00A72F22"/>
    <w:rsid w:val="00A7360F"/>
    <w:rsid w:val="00A748A6"/>
    <w:rsid w:val="00A769F4"/>
    <w:rsid w:val="00A776B4"/>
    <w:rsid w:val="00A94361"/>
    <w:rsid w:val="00AA293C"/>
    <w:rsid w:val="00AB6192"/>
    <w:rsid w:val="00AE69D8"/>
    <w:rsid w:val="00AE759E"/>
    <w:rsid w:val="00B11BB4"/>
    <w:rsid w:val="00B21292"/>
    <w:rsid w:val="00B22BC2"/>
    <w:rsid w:val="00B30179"/>
    <w:rsid w:val="00B408AF"/>
    <w:rsid w:val="00B421C1"/>
    <w:rsid w:val="00B55C71"/>
    <w:rsid w:val="00B56E4A"/>
    <w:rsid w:val="00B56E9C"/>
    <w:rsid w:val="00B61320"/>
    <w:rsid w:val="00B64B1F"/>
    <w:rsid w:val="00B6553F"/>
    <w:rsid w:val="00B70F1E"/>
    <w:rsid w:val="00B7797F"/>
    <w:rsid w:val="00B77D05"/>
    <w:rsid w:val="00B81206"/>
    <w:rsid w:val="00B81E12"/>
    <w:rsid w:val="00BA717E"/>
    <w:rsid w:val="00BB2FAB"/>
    <w:rsid w:val="00BB7CD1"/>
    <w:rsid w:val="00BC3FA0"/>
    <w:rsid w:val="00BC74E9"/>
    <w:rsid w:val="00BD5D88"/>
    <w:rsid w:val="00BD61DA"/>
    <w:rsid w:val="00BE07CF"/>
    <w:rsid w:val="00BE3AB6"/>
    <w:rsid w:val="00BE4997"/>
    <w:rsid w:val="00BF68A8"/>
    <w:rsid w:val="00BF7313"/>
    <w:rsid w:val="00C028AA"/>
    <w:rsid w:val="00C10FE6"/>
    <w:rsid w:val="00C11A03"/>
    <w:rsid w:val="00C14B3C"/>
    <w:rsid w:val="00C22C0C"/>
    <w:rsid w:val="00C37EE0"/>
    <w:rsid w:val="00C4527F"/>
    <w:rsid w:val="00C463DD"/>
    <w:rsid w:val="00C4724C"/>
    <w:rsid w:val="00C629A0"/>
    <w:rsid w:val="00C64629"/>
    <w:rsid w:val="00C7280D"/>
    <w:rsid w:val="00C745C3"/>
    <w:rsid w:val="00C93BA1"/>
    <w:rsid w:val="00CA7CBB"/>
    <w:rsid w:val="00CB3E03"/>
    <w:rsid w:val="00CB4BDA"/>
    <w:rsid w:val="00CB666E"/>
    <w:rsid w:val="00CC18B5"/>
    <w:rsid w:val="00CE4A8F"/>
    <w:rsid w:val="00CF08CE"/>
    <w:rsid w:val="00D00103"/>
    <w:rsid w:val="00D053EC"/>
    <w:rsid w:val="00D11AB8"/>
    <w:rsid w:val="00D12083"/>
    <w:rsid w:val="00D2031B"/>
    <w:rsid w:val="00D25FE2"/>
    <w:rsid w:val="00D33060"/>
    <w:rsid w:val="00D33BF4"/>
    <w:rsid w:val="00D3782B"/>
    <w:rsid w:val="00D43252"/>
    <w:rsid w:val="00D45320"/>
    <w:rsid w:val="00D47EEA"/>
    <w:rsid w:val="00D547F6"/>
    <w:rsid w:val="00D56346"/>
    <w:rsid w:val="00D611A8"/>
    <w:rsid w:val="00D724C7"/>
    <w:rsid w:val="00D74781"/>
    <w:rsid w:val="00D773DF"/>
    <w:rsid w:val="00D8353D"/>
    <w:rsid w:val="00D95303"/>
    <w:rsid w:val="00D978C6"/>
    <w:rsid w:val="00DA3C1C"/>
    <w:rsid w:val="00DA5DF2"/>
    <w:rsid w:val="00DC228E"/>
    <w:rsid w:val="00DD0300"/>
    <w:rsid w:val="00DD2535"/>
    <w:rsid w:val="00DD318A"/>
    <w:rsid w:val="00E046DF"/>
    <w:rsid w:val="00E15557"/>
    <w:rsid w:val="00E27346"/>
    <w:rsid w:val="00E36538"/>
    <w:rsid w:val="00E4196D"/>
    <w:rsid w:val="00E43319"/>
    <w:rsid w:val="00E60A71"/>
    <w:rsid w:val="00E71BC8"/>
    <w:rsid w:val="00E7260F"/>
    <w:rsid w:val="00E73F5D"/>
    <w:rsid w:val="00E77E4E"/>
    <w:rsid w:val="00E9355B"/>
    <w:rsid w:val="00E940D0"/>
    <w:rsid w:val="00E9554F"/>
    <w:rsid w:val="00E96630"/>
    <w:rsid w:val="00EB1706"/>
    <w:rsid w:val="00EB74F8"/>
    <w:rsid w:val="00EC106A"/>
    <w:rsid w:val="00EC5CC8"/>
    <w:rsid w:val="00ED7A2A"/>
    <w:rsid w:val="00EE6B3A"/>
    <w:rsid w:val="00EE71D3"/>
    <w:rsid w:val="00EE78E7"/>
    <w:rsid w:val="00EF1D7F"/>
    <w:rsid w:val="00F2361A"/>
    <w:rsid w:val="00F31E5F"/>
    <w:rsid w:val="00F369D6"/>
    <w:rsid w:val="00F400F6"/>
    <w:rsid w:val="00F4507C"/>
    <w:rsid w:val="00F60C43"/>
    <w:rsid w:val="00F6100A"/>
    <w:rsid w:val="00F66565"/>
    <w:rsid w:val="00F75DBE"/>
    <w:rsid w:val="00F93781"/>
    <w:rsid w:val="00F9603F"/>
    <w:rsid w:val="00FA3B96"/>
    <w:rsid w:val="00FA4B15"/>
    <w:rsid w:val="00FA7997"/>
    <w:rsid w:val="00FB613B"/>
    <w:rsid w:val="00FC68B7"/>
    <w:rsid w:val="00FC6F20"/>
    <w:rsid w:val="00FD37CF"/>
    <w:rsid w:val="00FD763F"/>
    <w:rsid w:val="00FE106A"/>
    <w:rsid w:val="00FF145D"/>
    <w:rsid w:val="00FF4F0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3825A4"/>
    <w:pPr>
      <w:spacing w:line="240" w:lineRule="auto"/>
      <w:outlineLvl w:val="1"/>
    </w:pPr>
  </w:style>
  <w:style w:type="paragraph" w:styleId="Titre3">
    <w:name w:val="heading 3"/>
    <w:basedOn w:val="Normal"/>
    <w:next w:val="Normal"/>
    <w:qFormat/>
    <w:rsid w:val="003825A4"/>
    <w:pPr>
      <w:spacing w:line="240" w:lineRule="auto"/>
      <w:outlineLvl w:val="2"/>
    </w:pPr>
  </w:style>
  <w:style w:type="paragraph" w:styleId="Titre4">
    <w:name w:val="heading 4"/>
    <w:basedOn w:val="Normal"/>
    <w:next w:val="Normal"/>
    <w:qFormat/>
    <w:rsid w:val="003825A4"/>
    <w:pPr>
      <w:spacing w:line="240" w:lineRule="auto"/>
      <w:outlineLvl w:val="3"/>
    </w:pPr>
  </w:style>
  <w:style w:type="paragraph" w:styleId="Titre5">
    <w:name w:val="heading 5"/>
    <w:basedOn w:val="Normal"/>
    <w:next w:val="Normal"/>
    <w:qFormat/>
    <w:rsid w:val="003825A4"/>
    <w:pPr>
      <w:spacing w:line="240" w:lineRule="auto"/>
      <w:outlineLvl w:val="4"/>
    </w:pPr>
  </w:style>
  <w:style w:type="paragraph" w:styleId="Titre6">
    <w:name w:val="heading 6"/>
    <w:basedOn w:val="Normal"/>
    <w:next w:val="Normal"/>
    <w:qFormat/>
    <w:rsid w:val="003825A4"/>
    <w:pPr>
      <w:spacing w:line="240" w:lineRule="auto"/>
      <w:outlineLvl w:val="5"/>
    </w:pPr>
  </w:style>
  <w:style w:type="paragraph" w:styleId="Titre7">
    <w:name w:val="heading 7"/>
    <w:basedOn w:val="Normal"/>
    <w:next w:val="Normal"/>
    <w:qFormat/>
    <w:rsid w:val="003825A4"/>
    <w:pPr>
      <w:spacing w:line="240" w:lineRule="auto"/>
      <w:outlineLvl w:val="6"/>
    </w:pPr>
  </w:style>
  <w:style w:type="paragraph" w:styleId="Titre8">
    <w:name w:val="heading 8"/>
    <w:basedOn w:val="Normal"/>
    <w:next w:val="Normal"/>
    <w:qFormat/>
    <w:rsid w:val="003825A4"/>
    <w:pPr>
      <w:spacing w:line="240" w:lineRule="auto"/>
      <w:outlineLvl w:val="7"/>
    </w:pPr>
  </w:style>
  <w:style w:type="paragraph" w:styleId="Titre9">
    <w:name w:val="heading 9"/>
    <w:basedOn w:val="Normal"/>
    <w:next w:val="Normal"/>
    <w:qFormat/>
    <w:rsid w:val="003825A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3825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3825A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3825A4"/>
    <w:pPr>
      <w:numPr>
        <w:numId w:val="13"/>
      </w:numPr>
      <w:tabs>
        <w:tab w:val="clear" w:pos="1494"/>
      </w:tabs>
    </w:pPr>
  </w:style>
  <w:style w:type="paragraph" w:customStyle="1" w:styleId="SingleTxtG">
    <w:name w:val="_ Single Txt_G"/>
    <w:basedOn w:val="Normal"/>
    <w:link w:val="SingleTxtGChar"/>
    <w:qFormat/>
    <w:rsid w:val="003825A4"/>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3825A4"/>
    <w:rPr>
      <w:rFonts w:cs="Courier New"/>
    </w:rPr>
  </w:style>
  <w:style w:type="paragraph" w:styleId="Corpsdetexte">
    <w:name w:val="Body Text"/>
    <w:basedOn w:val="Normal"/>
    <w:next w:val="Normal"/>
    <w:semiHidden/>
    <w:rsid w:val="003825A4"/>
  </w:style>
  <w:style w:type="paragraph" w:styleId="Retraitcorpsdetexte">
    <w:name w:val="Body Text Indent"/>
    <w:basedOn w:val="Normal"/>
    <w:semiHidden/>
    <w:rsid w:val="003825A4"/>
    <w:pPr>
      <w:spacing w:after="120"/>
      <w:ind w:left="283"/>
    </w:pPr>
  </w:style>
  <w:style w:type="paragraph" w:styleId="Normalcentr">
    <w:name w:val="Block Text"/>
    <w:basedOn w:val="Normal"/>
    <w:semiHidden/>
    <w:rsid w:val="003825A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qFormat/>
    <w:rsid w:val="007B6BA5"/>
    <w:rPr>
      <w:rFonts w:ascii="Times New Roman" w:hAnsi="Times New Roman"/>
      <w:sz w:val="18"/>
      <w:vertAlign w:val="superscript"/>
    </w:rPr>
  </w:style>
  <w:style w:type="paragraph" w:styleId="Notedebasdepage">
    <w:name w:val="footnote text"/>
    <w:aliases w:val="5_G"/>
    <w:basedOn w:val="Normal"/>
    <w:link w:val="NotedebasdepageC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3825A4"/>
    <w:rPr>
      <w:sz w:val="6"/>
    </w:rPr>
  </w:style>
  <w:style w:type="paragraph" w:styleId="Commentaire">
    <w:name w:val="annotation text"/>
    <w:basedOn w:val="Normal"/>
    <w:semiHidden/>
    <w:rsid w:val="003825A4"/>
  </w:style>
  <w:style w:type="character" w:styleId="Numrodeligne">
    <w:name w:val="line number"/>
    <w:semiHidden/>
    <w:rsid w:val="003825A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3825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25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25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25A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character" w:customStyle="1" w:styleId="SingleTxtGChar">
    <w:name w:val="_ Single Txt_G Char"/>
    <w:link w:val="SingleTxtG"/>
    <w:rsid w:val="00F60C43"/>
    <w:rPr>
      <w:lang w:eastAsia="en-US"/>
    </w:rPr>
  </w:style>
  <w:style w:type="paragraph" w:styleId="Textedebulles">
    <w:name w:val="Balloon Text"/>
    <w:basedOn w:val="Normal"/>
    <w:link w:val="TextedebullesCar"/>
    <w:rsid w:val="001A69F3"/>
    <w:pPr>
      <w:spacing w:line="240" w:lineRule="auto"/>
    </w:pPr>
    <w:rPr>
      <w:rFonts w:ascii="Tahoma" w:hAnsi="Tahoma"/>
      <w:sz w:val="16"/>
      <w:szCs w:val="16"/>
    </w:rPr>
  </w:style>
  <w:style w:type="character" w:customStyle="1" w:styleId="TextedebullesCar">
    <w:name w:val="Texte de bulles Car"/>
    <w:link w:val="Textedebulles"/>
    <w:rsid w:val="001A69F3"/>
    <w:rPr>
      <w:rFonts w:ascii="Tahoma" w:hAnsi="Tahoma" w:cs="Tahoma"/>
      <w:sz w:val="16"/>
      <w:szCs w:val="16"/>
      <w:lang w:eastAsia="en-US"/>
    </w:rPr>
  </w:style>
  <w:style w:type="paragraph" w:customStyle="1" w:styleId="List1">
    <w:name w:val="List 1."/>
    <w:basedOn w:val="Normal"/>
    <w:qFormat/>
    <w:rsid w:val="00284EB0"/>
    <w:pPr>
      <w:numPr>
        <w:numId w:val="17"/>
      </w:numPr>
      <w:suppressAutoHyphens w:val="0"/>
      <w:spacing w:before="360" w:after="120" w:line="240" w:lineRule="auto"/>
      <w:jc w:val="both"/>
      <w:outlineLvl w:val="0"/>
    </w:pPr>
    <w:rPr>
      <w:rFonts w:ascii="Arial" w:eastAsia="Calibri" w:hAnsi="Arial"/>
      <w:b/>
      <w:caps/>
      <w:sz w:val="22"/>
    </w:rPr>
  </w:style>
  <w:style w:type="paragraph" w:customStyle="1" w:styleId="List2">
    <w:name w:val="List 2."/>
    <w:basedOn w:val="Normal"/>
    <w:qFormat/>
    <w:rsid w:val="00284EB0"/>
    <w:pPr>
      <w:numPr>
        <w:ilvl w:val="1"/>
        <w:numId w:val="17"/>
      </w:numPr>
      <w:suppressAutoHyphens w:val="0"/>
      <w:spacing w:before="240" w:after="120" w:line="240" w:lineRule="auto"/>
      <w:jc w:val="both"/>
      <w:outlineLvl w:val="1"/>
    </w:pPr>
    <w:rPr>
      <w:rFonts w:ascii="Arial" w:eastAsia="Calibri" w:hAnsi="Arial"/>
      <w:b/>
      <w:sz w:val="22"/>
    </w:rPr>
  </w:style>
  <w:style w:type="paragraph" w:customStyle="1" w:styleId="List3">
    <w:name w:val="List 3."/>
    <w:basedOn w:val="Normal"/>
    <w:qFormat/>
    <w:rsid w:val="00284EB0"/>
    <w:pPr>
      <w:numPr>
        <w:ilvl w:val="2"/>
        <w:numId w:val="17"/>
      </w:numPr>
      <w:suppressAutoHyphens w:val="0"/>
      <w:spacing w:after="120" w:line="240" w:lineRule="auto"/>
      <w:jc w:val="both"/>
    </w:pPr>
    <w:rPr>
      <w:rFonts w:ascii="Arial" w:eastAsia="Calibri" w:hAnsi="Arial"/>
      <w:sz w:val="22"/>
    </w:rPr>
  </w:style>
  <w:style w:type="paragraph" w:customStyle="1" w:styleId="List4">
    <w:name w:val="List 4."/>
    <w:basedOn w:val="Normal"/>
    <w:qFormat/>
    <w:rsid w:val="00284EB0"/>
    <w:pPr>
      <w:numPr>
        <w:ilvl w:val="3"/>
        <w:numId w:val="17"/>
      </w:numPr>
      <w:suppressAutoHyphens w:val="0"/>
      <w:spacing w:after="120" w:line="240" w:lineRule="auto"/>
      <w:jc w:val="both"/>
    </w:pPr>
    <w:rPr>
      <w:rFonts w:ascii="Arial" w:eastAsia="Calibri" w:hAnsi="Arial"/>
      <w:sz w:val="22"/>
    </w:rPr>
  </w:style>
  <w:style w:type="paragraph" w:customStyle="1" w:styleId="List5">
    <w:name w:val="List 5."/>
    <w:basedOn w:val="Normal"/>
    <w:qFormat/>
    <w:rsid w:val="00284EB0"/>
    <w:pPr>
      <w:numPr>
        <w:ilvl w:val="4"/>
        <w:numId w:val="17"/>
      </w:numPr>
      <w:suppressAutoHyphens w:val="0"/>
      <w:spacing w:after="120" w:line="240" w:lineRule="auto"/>
      <w:jc w:val="both"/>
    </w:pPr>
    <w:rPr>
      <w:rFonts w:ascii="Arial" w:eastAsia="Calibri" w:hAnsi="Arial"/>
      <w:sz w:val="22"/>
    </w:rPr>
  </w:style>
  <w:style w:type="paragraph" w:customStyle="1" w:styleId="List6">
    <w:name w:val="List 6."/>
    <w:basedOn w:val="Normal"/>
    <w:qFormat/>
    <w:rsid w:val="00284EB0"/>
    <w:pPr>
      <w:numPr>
        <w:ilvl w:val="5"/>
        <w:numId w:val="17"/>
      </w:numPr>
      <w:suppressAutoHyphens w:val="0"/>
      <w:spacing w:after="120" w:line="240" w:lineRule="auto"/>
      <w:jc w:val="both"/>
    </w:pPr>
    <w:rPr>
      <w:rFonts w:ascii="Arial" w:eastAsia="Calibri" w:hAnsi="Arial"/>
      <w:sz w:val="22"/>
    </w:rPr>
  </w:style>
  <w:style w:type="paragraph" w:styleId="Paragraphedeliste">
    <w:name w:val="List Paragraph"/>
    <w:basedOn w:val="Normal"/>
    <w:uiPriority w:val="34"/>
    <w:qFormat/>
    <w:rsid w:val="00D547F6"/>
    <w:pPr>
      <w:suppressAutoHyphens w:val="0"/>
      <w:spacing w:after="120" w:line="240" w:lineRule="auto"/>
      <w:ind w:left="720"/>
      <w:contextualSpacing/>
      <w:jc w:val="both"/>
    </w:pPr>
    <w:rPr>
      <w:rFonts w:ascii="Arial" w:eastAsia="Calibri" w:hAnsi="Arial"/>
      <w:sz w:val="22"/>
    </w:rPr>
  </w:style>
  <w:style w:type="character" w:customStyle="1" w:styleId="NotedebasdepageCar">
    <w:name w:val="Note de bas de page Car"/>
    <w:aliases w:val="5_G Car"/>
    <w:link w:val="Notedebasdepage"/>
    <w:rsid w:val="00FC6F20"/>
    <w:rPr>
      <w:sz w:val="18"/>
      <w:lang w:eastAsia="en-US"/>
    </w:rPr>
  </w:style>
  <w:style w:type="character" w:customStyle="1" w:styleId="HChGChar">
    <w:name w:val="_ H _Ch_G Char"/>
    <w:link w:val="HChG"/>
    <w:rsid w:val="00F9603F"/>
    <w:rPr>
      <w:b/>
      <w:sz w:val="28"/>
      <w:lang w:eastAsia="en-US"/>
    </w:rPr>
  </w:style>
  <w:style w:type="paragraph" w:customStyle="1" w:styleId="Hoofdtekst">
    <w:name w:val="Hoofdtekst"/>
    <w:rsid w:val="004328E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1C9D-2374-4CC6-A630-487703AF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3346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2015-07-01T08:26:00Z</cp:lastPrinted>
  <dcterms:created xsi:type="dcterms:W3CDTF">2015-07-03T07:53:00Z</dcterms:created>
  <dcterms:modified xsi:type="dcterms:W3CDTF">2015-07-03T07:53:00Z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COO.1.1001.1.137854</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COO.2125.100.2.7665352</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deletion of PG for articles</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03.06.2015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*COO.2125.100.2.7665352*</vt:lpwstr>
  </property>
  <property fmtid="{D5CDD505-2E9C-101B-9397-08002B2CF9AE}" pid="91" name="FSC#COOELAK@1.1001:RefBarCode">
    <vt:lpwstr>*COO.2125.100.2.7665353*</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COO.2125.100.2.7665352</vt:lpwstr>
  </property>
  <property fmtid="{D5CDD505-2E9C-101B-9397-08002B2CF9AE}" pid="161" name="FSC#FSCFOLIO@1.1001:docpropproject">
    <vt:lpwstr/>
  </property>
</Properties>
</file>