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23" w:rsidRPr="00076B39" w:rsidRDefault="00732D23" w:rsidP="00732D23">
      <w:pPr>
        <w:spacing w:before="120"/>
        <w:rPr>
          <w:b/>
          <w:sz w:val="28"/>
          <w:szCs w:val="28"/>
          <w:lang w:val="fr-FR"/>
        </w:rPr>
      </w:pPr>
      <w:bookmarkStart w:id="0" w:name="_GoBack"/>
      <w:bookmarkEnd w:id="0"/>
      <w:r w:rsidRPr="00076B39">
        <w:rPr>
          <w:b/>
          <w:sz w:val="28"/>
          <w:szCs w:val="28"/>
          <w:lang w:val="fr-FR"/>
        </w:rPr>
        <w:t>Commission économique pour l’Europe</w:t>
      </w:r>
    </w:p>
    <w:p w:rsidR="00732D23" w:rsidRPr="00076B39" w:rsidRDefault="00732D23" w:rsidP="00732D23">
      <w:pPr>
        <w:spacing w:before="120"/>
        <w:rPr>
          <w:sz w:val="28"/>
          <w:szCs w:val="28"/>
          <w:lang w:val="fr-FR"/>
        </w:rPr>
      </w:pPr>
      <w:r w:rsidRPr="00076B39">
        <w:rPr>
          <w:sz w:val="28"/>
          <w:szCs w:val="28"/>
          <w:lang w:val="fr-FR"/>
        </w:rPr>
        <w:t>Comité des transports intérieurs</w:t>
      </w:r>
    </w:p>
    <w:p w:rsidR="00732D23" w:rsidRPr="00076B39" w:rsidRDefault="00732D23" w:rsidP="00F7702D">
      <w:pPr>
        <w:tabs>
          <w:tab w:val="right" w:pos="9600"/>
        </w:tabs>
        <w:spacing w:before="120"/>
        <w:rPr>
          <w:b/>
          <w:sz w:val="24"/>
          <w:szCs w:val="24"/>
          <w:lang w:val="fr-FR"/>
        </w:rPr>
      </w:pPr>
      <w:r w:rsidRPr="00076B39">
        <w:rPr>
          <w:b/>
          <w:sz w:val="24"/>
          <w:szCs w:val="24"/>
          <w:lang w:val="fr-FR"/>
        </w:rPr>
        <w:t>Groupe de travail des transports de marchandises dangereuses</w:t>
      </w:r>
      <w:r w:rsidR="00F7702D" w:rsidRPr="00076B39">
        <w:rPr>
          <w:b/>
          <w:sz w:val="24"/>
          <w:szCs w:val="24"/>
          <w:lang w:val="fr-FR"/>
        </w:rPr>
        <w:t xml:space="preserve"> </w:t>
      </w:r>
      <w:r w:rsidR="00F7702D" w:rsidRPr="00076B39">
        <w:rPr>
          <w:b/>
          <w:sz w:val="24"/>
          <w:szCs w:val="24"/>
          <w:lang w:val="fr-FR"/>
        </w:rPr>
        <w:tab/>
      </w:r>
      <w:r w:rsidR="00EE074B" w:rsidRPr="00076B39">
        <w:rPr>
          <w:b/>
          <w:sz w:val="18"/>
          <w:szCs w:val="18"/>
          <w:lang w:val="fr-FR"/>
        </w:rPr>
        <w:t>9 septembre</w:t>
      </w:r>
      <w:r w:rsidR="00450B3B" w:rsidRPr="00076B39">
        <w:rPr>
          <w:b/>
          <w:sz w:val="18"/>
          <w:szCs w:val="18"/>
          <w:lang w:val="fr-FR"/>
        </w:rPr>
        <w:t xml:space="preserve"> 201</w:t>
      </w:r>
      <w:r w:rsidR="00E62CD2" w:rsidRPr="00076B39">
        <w:rPr>
          <w:b/>
          <w:sz w:val="18"/>
          <w:szCs w:val="18"/>
          <w:lang w:val="fr-FR"/>
        </w:rPr>
        <w:t>5</w:t>
      </w:r>
    </w:p>
    <w:p w:rsidR="00732D23" w:rsidRPr="00076B39" w:rsidRDefault="00732D23" w:rsidP="00732D23">
      <w:pPr>
        <w:spacing w:before="120"/>
        <w:rPr>
          <w:b/>
          <w:lang w:val="fr-FR"/>
        </w:rPr>
      </w:pPr>
      <w:r w:rsidRPr="00076B39">
        <w:rPr>
          <w:b/>
          <w:lang w:val="fr-FR"/>
        </w:rPr>
        <w:t>Réunion commune de la Commission d’experts du RID et</w:t>
      </w:r>
      <w:r w:rsidRPr="00076B39">
        <w:rPr>
          <w:b/>
          <w:lang w:val="fr-FR"/>
        </w:rPr>
        <w:br/>
        <w:t>du Groupe de travail des transports de marchandises dangereuses</w:t>
      </w:r>
    </w:p>
    <w:p w:rsidR="009516B4" w:rsidRPr="00076B39" w:rsidRDefault="00E62CD2" w:rsidP="009516B4">
      <w:pPr>
        <w:rPr>
          <w:lang w:val="fr-FR"/>
        </w:rPr>
      </w:pPr>
      <w:r w:rsidRPr="00076B39">
        <w:rPr>
          <w:lang w:val="fr-FR"/>
        </w:rPr>
        <w:t>Genève</w:t>
      </w:r>
      <w:r w:rsidR="00732D23" w:rsidRPr="00076B39">
        <w:rPr>
          <w:lang w:val="fr-FR"/>
        </w:rPr>
        <w:t>, 1</w:t>
      </w:r>
      <w:r w:rsidRPr="00076B39">
        <w:rPr>
          <w:lang w:val="fr-FR"/>
        </w:rPr>
        <w:t>5</w:t>
      </w:r>
      <w:r w:rsidR="00732D23" w:rsidRPr="00076B39">
        <w:rPr>
          <w:lang w:val="fr-FR"/>
        </w:rPr>
        <w:t>-</w:t>
      </w:r>
      <w:r w:rsidR="00FD17E8" w:rsidRPr="00076B39">
        <w:rPr>
          <w:lang w:val="fr-FR"/>
        </w:rPr>
        <w:t>2</w:t>
      </w:r>
      <w:r w:rsidRPr="00076B39">
        <w:rPr>
          <w:lang w:val="fr-FR"/>
        </w:rPr>
        <w:t>5</w:t>
      </w:r>
      <w:r w:rsidR="00732D23" w:rsidRPr="00076B39">
        <w:rPr>
          <w:lang w:val="fr-FR"/>
        </w:rPr>
        <w:t xml:space="preserve"> </w:t>
      </w:r>
      <w:r w:rsidR="00BE54C6" w:rsidRPr="00076B39">
        <w:rPr>
          <w:lang w:val="fr-FR"/>
        </w:rPr>
        <w:t>septembre</w:t>
      </w:r>
      <w:r w:rsidR="00732D23" w:rsidRPr="00076B39">
        <w:rPr>
          <w:lang w:val="fr-FR"/>
        </w:rPr>
        <w:t xml:space="preserve"> 201</w:t>
      </w:r>
      <w:r w:rsidRPr="00076B39">
        <w:rPr>
          <w:lang w:val="fr-FR"/>
        </w:rPr>
        <w:t>5</w:t>
      </w:r>
      <w:r w:rsidR="00732D23" w:rsidRPr="00076B39">
        <w:rPr>
          <w:lang w:val="fr-FR"/>
        </w:rPr>
        <w:br/>
      </w:r>
      <w:r w:rsidR="00EE074B" w:rsidRPr="00076B39">
        <w:rPr>
          <w:lang w:val="fr-FR"/>
        </w:rPr>
        <w:t>Point 3 a)</w:t>
      </w:r>
      <w:r w:rsidR="009516B4" w:rsidRPr="00076B39">
        <w:rPr>
          <w:lang w:val="fr-FR"/>
        </w:rPr>
        <w:t xml:space="preserve"> de l’ordre du jour provisoire</w:t>
      </w:r>
    </w:p>
    <w:p w:rsidR="00EE074B" w:rsidRPr="00076B39" w:rsidRDefault="00EE074B" w:rsidP="00EE074B">
      <w:pPr>
        <w:spacing w:line="240" w:lineRule="auto"/>
        <w:ind w:right="1134"/>
        <w:rPr>
          <w:b/>
          <w:lang w:val="fr-FR"/>
        </w:rPr>
      </w:pPr>
      <w:r w:rsidRPr="00076B39">
        <w:rPr>
          <w:b/>
          <w:lang w:val="fr-FR"/>
        </w:rPr>
        <w:t>Propositions d’amendements au RID/ADR/ADN:</w:t>
      </w:r>
      <w:r w:rsidRPr="00076B39">
        <w:rPr>
          <w:b/>
          <w:lang w:val="fr-FR"/>
        </w:rPr>
        <w:br/>
        <w:t>questions en suspens</w:t>
      </w:r>
    </w:p>
    <w:p w:rsidR="00EE074B" w:rsidRPr="00076B39" w:rsidRDefault="009516B4" w:rsidP="00EE074B">
      <w:pPr>
        <w:pStyle w:val="HChG"/>
        <w:rPr>
          <w:lang w:val="fr-FR"/>
        </w:rPr>
      </w:pPr>
      <w:r w:rsidRPr="00076B39">
        <w:rPr>
          <w:lang w:val="fr-FR"/>
        </w:rPr>
        <w:tab/>
      </w:r>
      <w:r w:rsidRPr="00076B39">
        <w:rPr>
          <w:lang w:val="fr-FR"/>
        </w:rPr>
        <w:tab/>
      </w:r>
      <w:r w:rsidR="00CE5322" w:rsidRPr="00076B39">
        <w:rPr>
          <w:lang w:val="fr-FR"/>
        </w:rPr>
        <w:t>Document ECE/TRANS/WP.15/AC.1/2015/26/Rev.1 – Version française</w:t>
      </w:r>
    </w:p>
    <w:p w:rsidR="00EE074B" w:rsidRPr="00076B39" w:rsidRDefault="00EE074B" w:rsidP="00EE074B">
      <w:pPr>
        <w:pStyle w:val="H1G"/>
        <w:rPr>
          <w:lang w:val="fr-FR"/>
        </w:rPr>
      </w:pPr>
      <w:r w:rsidRPr="00076B39">
        <w:rPr>
          <w:lang w:val="fr-FR"/>
        </w:rPr>
        <w:tab/>
      </w:r>
      <w:r w:rsidRPr="00076B39">
        <w:rPr>
          <w:lang w:val="fr-FR"/>
        </w:rPr>
        <w:tab/>
      </w:r>
      <w:r w:rsidR="00CE5322" w:rsidRPr="00076B39">
        <w:rPr>
          <w:lang w:val="fr-FR"/>
        </w:rPr>
        <w:t>Note du secrétariat</w:t>
      </w:r>
    </w:p>
    <w:p w:rsidR="00CE5322" w:rsidRPr="00076B39" w:rsidRDefault="00CE5322" w:rsidP="00CE5322">
      <w:pPr>
        <w:pStyle w:val="SingleTxtG"/>
        <w:rPr>
          <w:lang w:val="fr-FR"/>
        </w:rPr>
      </w:pPr>
      <w:r w:rsidRPr="00076B39">
        <w:rPr>
          <w:lang w:val="fr-FR"/>
        </w:rPr>
        <w:t>Suite à un problème technique, les traductions officielles du document ECE/TRANS/WP.15/AC.1/2015/26/Rev.1 ne seront pas disponibles pour la session. La présente version française a été préparée par le secrétariat.</w:t>
      </w:r>
    </w:p>
    <w:p w:rsidR="00CE5322" w:rsidRPr="00076B39" w:rsidRDefault="00CE5322">
      <w:pPr>
        <w:suppressAutoHyphens w:val="0"/>
        <w:spacing w:line="240" w:lineRule="auto"/>
        <w:rPr>
          <w:lang w:val="fr-FR"/>
        </w:rPr>
      </w:pPr>
      <w:r w:rsidRPr="00076B39">
        <w:rPr>
          <w:lang w:val="fr-FR"/>
        </w:rPr>
        <w:br w:type="page"/>
      </w:r>
    </w:p>
    <w:p w:rsidR="00673AC4" w:rsidRPr="00076B39" w:rsidRDefault="00673AC4" w:rsidP="00673AC4">
      <w:pPr>
        <w:pStyle w:val="HChG"/>
        <w:rPr>
          <w:lang w:val="fr-FR"/>
        </w:rPr>
      </w:pPr>
      <w:r w:rsidRPr="00076B39">
        <w:rPr>
          <w:lang w:val="fr-FR"/>
        </w:rPr>
        <w:lastRenderedPageBreak/>
        <w:tab/>
      </w:r>
      <w:r w:rsidRPr="00076B39">
        <w:rPr>
          <w:lang w:val="fr-FR"/>
        </w:rPr>
        <w:tab/>
        <w:t xml:space="preserve">Possibilité d’utilisation de procédures électroniques pour l’examen des conseillers à la sécurité, des conducteurs de véhicules ADR et des experts ADN </w:t>
      </w:r>
    </w:p>
    <w:p w:rsidR="00673AC4" w:rsidRPr="00076B39" w:rsidRDefault="00673AC4" w:rsidP="00673AC4">
      <w:pPr>
        <w:pStyle w:val="H1G"/>
        <w:rPr>
          <w:lang w:val="fr-FR"/>
        </w:rPr>
      </w:pPr>
      <w:r w:rsidRPr="00076B39">
        <w:rPr>
          <w:lang w:val="fr-FR"/>
        </w:rPr>
        <w:tab/>
      </w:r>
      <w:r w:rsidRPr="00076B39">
        <w:rPr>
          <w:lang w:val="fr-FR"/>
        </w:rPr>
        <w:tab/>
        <w:t>Communication du Gouvernement allemand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73AC4" w:rsidRPr="00076B39" w:rsidTr="00673AC4">
        <w:trPr>
          <w:jc w:val="center"/>
        </w:trPr>
        <w:tc>
          <w:tcPr>
            <w:tcW w:w="9637" w:type="dxa"/>
            <w:tcBorders>
              <w:top w:val="single" w:sz="4" w:space="0" w:color="auto"/>
              <w:left w:val="single" w:sz="4" w:space="0" w:color="auto"/>
              <w:bottom w:val="nil"/>
              <w:right w:val="single" w:sz="4" w:space="0" w:color="auto"/>
            </w:tcBorders>
            <w:hideMark/>
          </w:tcPr>
          <w:p w:rsidR="00673AC4" w:rsidRPr="00076B39" w:rsidRDefault="00673AC4">
            <w:pPr>
              <w:kinsoku w:val="0"/>
              <w:overflowPunct w:val="0"/>
              <w:autoSpaceDE w:val="0"/>
              <w:autoSpaceDN w:val="0"/>
              <w:adjustRightInd w:val="0"/>
              <w:snapToGrid w:val="0"/>
              <w:spacing w:before="240" w:after="120"/>
              <w:ind w:left="255"/>
              <w:rPr>
                <w:i/>
                <w:sz w:val="24"/>
                <w:lang w:val="fr-FR"/>
              </w:rPr>
            </w:pPr>
            <w:r w:rsidRPr="00076B39">
              <w:rPr>
                <w:i/>
                <w:sz w:val="24"/>
                <w:lang w:val="fr-FR"/>
              </w:rPr>
              <w:t>Résumé</w:t>
            </w:r>
          </w:p>
        </w:tc>
      </w:tr>
      <w:tr w:rsidR="00673AC4" w:rsidRPr="00076B39" w:rsidTr="00673AC4">
        <w:trPr>
          <w:jc w:val="center"/>
        </w:trPr>
        <w:tc>
          <w:tcPr>
            <w:tcW w:w="9637" w:type="dxa"/>
            <w:tcBorders>
              <w:top w:val="nil"/>
              <w:left w:val="single" w:sz="4" w:space="0" w:color="auto"/>
              <w:bottom w:val="nil"/>
              <w:right w:val="single" w:sz="4" w:space="0" w:color="auto"/>
            </w:tcBorders>
            <w:hideMark/>
          </w:tcPr>
          <w:p w:rsidR="00673AC4" w:rsidRPr="00076B39" w:rsidRDefault="00673AC4" w:rsidP="00673AC4">
            <w:pPr>
              <w:pStyle w:val="SingleTxtG"/>
              <w:ind w:left="3402" w:hanging="2268"/>
              <w:rPr>
                <w:szCs w:val="24"/>
                <w:lang w:val="fr-FR"/>
              </w:rPr>
            </w:pPr>
            <w:r w:rsidRPr="00076B39">
              <w:rPr>
                <w:b/>
                <w:szCs w:val="24"/>
                <w:lang w:val="fr-FR"/>
              </w:rPr>
              <w:t>Résumé analytique</w:t>
            </w:r>
            <w:r w:rsidRPr="00076B39">
              <w:rPr>
                <w:lang w:val="fr-FR"/>
              </w:rPr>
              <w:t>:</w:t>
            </w:r>
            <w:r w:rsidRPr="00076B39">
              <w:rPr>
                <w:szCs w:val="24"/>
                <w:lang w:val="fr-FR"/>
              </w:rPr>
              <w:tab/>
            </w:r>
            <w:r w:rsidRPr="00076B39">
              <w:rPr>
                <w:szCs w:val="24"/>
                <w:lang w:val="fr-FR"/>
              </w:rPr>
              <w:tab/>
              <w:t xml:space="preserve">Les dispositions actuelles de la section 1.8.3 du RID/ADR/ADN et de la section 8.2.2 de l’ADR/ADN stipulent que les examens doivent se faire «par écrit». Lors de sa session de mars 2015, la Réunion commune a approuvé le principe d'inclure des dispositions pour l'utilisation de procédures électroniques pour les examens de conseiller à la sécurité. Certains commentaires ont été faits sur les différentes dispositions, et autant que possible, ceux-ci ont été pris en compte dans cette nouvelle proposition. </w:t>
            </w:r>
          </w:p>
        </w:tc>
      </w:tr>
      <w:tr w:rsidR="00673AC4" w:rsidRPr="00076B39" w:rsidTr="00673AC4">
        <w:trPr>
          <w:jc w:val="center"/>
        </w:trPr>
        <w:tc>
          <w:tcPr>
            <w:tcW w:w="9637" w:type="dxa"/>
            <w:tcBorders>
              <w:top w:val="nil"/>
              <w:left w:val="single" w:sz="4" w:space="0" w:color="auto"/>
              <w:bottom w:val="nil"/>
              <w:right w:val="single" w:sz="4" w:space="0" w:color="auto"/>
            </w:tcBorders>
            <w:hideMark/>
          </w:tcPr>
          <w:p w:rsidR="00673AC4" w:rsidRPr="00076B39" w:rsidRDefault="00673AC4">
            <w:pPr>
              <w:pStyle w:val="SingleTxtG"/>
              <w:keepNext/>
              <w:ind w:left="3402" w:hanging="2268"/>
              <w:rPr>
                <w:szCs w:val="24"/>
                <w:lang w:val="fr-FR"/>
              </w:rPr>
            </w:pPr>
            <w:r w:rsidRPr="00076B39">
              <w:rPr>
                <w:b/>
                <w:szCs w:val="24"/>
                <w:lang w:val="fr-FR"/>
              </w:rPr>
              <w:t>Mesures à prendre</w:t>
            </w:r>
            <w:r w:rsidRPr="00076B39">
              <w:rPr>
                <w:lang w:val="fr-FR"/>
              </w:rPr>
              <w:t xml:space="preserve">: </w:t>
            </w:r>
            <w:r w:rsidRPr="00076B39">
              <w:rPr>
                <w:szCs w:val="24"/>
                <w:lang w:val="fr-FR"/>
              </w:rPr>
              <w:tab/>
              <w:t>Modification des dispositions existantes et ajout de nouvelles dispositions concernant l’examen des conseillers à la sécurité dans la section 1.8.3 du RID/ADR/ADN.</w:t>
            </w:r>
          </w:p>
          <w:p w:rsidR="00673AC4" w:rsidRPr="00076B39" w:rsidRDefault="00673AC4">
            <w:pPr>
              <w:pStyle w:val="SingleTxtG"/>
              <w:keepNext/>
              <w:ind w:left="3402" w:hanging="2268"/>
              <w:rPr>
                <w:szCs w:val="24"/>
                <w:lang w:val="fr-FR"/>
              </w:rPr>
            </w:pPr>
            <w:r w:rsidRPr="00076B39">
              <w:rPr>
                <w:szCs w:val="24"/>
                <w:lang w:val="fr-FR"/>
              </w:rPr>
              <w:tab/>
              <w:t>Note au Groupe de travail des transports de marchandises dangereuses (WP.15) et au Comité de sécurité de l’ADN pour que des modifications équivalentes soient apportées à la section 8.2.2 de l’ADR/ADN en ce qui concerne l’examen des conducteurs de véhicules et des experts.</w:t>
            </w:r>
          </w:p>
          <w:p w:rsidR="00673AC4" w:rsidRPr="00076B39" w:rsidRDefault="00673AC4">
            <w:pPr>
              <w:pStyle w:val="SingleTxtG"/>
              <w:keepNext/>
              <w:ind w:left="3402" w:hanging="2268"/>
              <w:rPr>
                <w:lang w:val="fr-FR"/>
              </w:rPr>
            </w:pPr>
          </w:p>
        </w:tc>
      </w:tr>
      <w:tr w:rsidR="00673AC4" w:rsidRPr="00076B39" w:rsidTr="00673AC4">
        <w:trPr>
          <w:jc w:val="center"/>
        </w:trPr>
        <w:tc>
          <w:tcPr>
            <w:tcW w:w="9637" w:type="dxa"/>
            <w:tcBorders>
              <w:top w:val="nil"/>
              <w:left w:val="single" w:sz="4" w:space="0" w:color="auto"/>
              <w:bottom w:val="nil"/>
              <w:right w:val="single" w:sz="4" w:space="0" w:color="auto"/>
            </w:tcBorders>
            <w:hideMark/>
          </w:tcPr>
          <w:p w:rsidR="00673AC4" w:rsidRPr="00076B39" w:rsidRDefault="00673AC4" w:rsidP="007F730C">
            <w:pPr>
              <w:pStyle w:val="SingleTxtG"/>
              <w:ind w:left="3402" w:hanging="2268"/>
              <w:jc w:val="left"/>
              <w:rPr>
                <w:szCs w:val="24"/>
                <w:lang w:val="fr-FR"/>
              </w:rPr>
            </w:pPr>
            <w:r w:rsidRPr="00076B39">
              <w:rPr>
                <w:szCs w:val="24"/>
                <w:lang w:val="fr-FR"/>
              </w:rPr>
              <w:t>Documents de référence:</w:t>
            </w:r>
            <w:r w:rsidRPr="00076B39">
              <w:rPr>
                <w:szCs w:val="24"/>
                <w:lang w:val="fr-FR"/>
              </w:rPr>
              <w:tab/>
              <w:t>ECE/TRANS/WP.15/AC.1/2015/21 (Allemagne) et rapport de la Réunion commune sur sa session de mars 2015</w:t>
            </w:r>
            <w:r w:rsidRPr="00076B39">
              <w:rPr>
                <w:szCs w:val="24"/>
                <w:lang w:val="fr-FR"/>
              </w:rPr>
              <w:br/>
              <w:t>ECE/TRANS/WP.15/AC.1/138, paragraphe 35;</w:t>
            </w:r>
            <w:r w:rsidRPr="00076B39">
              <w:rPr>
                <w:szCs w:val="24"/>
                <w:lang w:val="fr-FR"/>
              </w:rPr>
              <w:br/>
            </w:r>
            <w:r w:rsidR="001F43B4" w:rsidRPr="00076B39">
              <w:rPr>
                <w:szCs w:val="24"/>
                <w:lang w:val="fr-FR"/>
              </w:rPr>
              <w:t>document informel INF.13 (Allemagne) et rapport de la Réunion commune sur sa session de septembre 2014</w:t>
            </w:r>
            <w:r w:rsidR="001F43B4" w:rsidRPr="00076B39">
              <w:rPr>
                <w:szCs w:val="24"/>
                <w:lang w:val="fr-FR"/>
              </w:rPr>
              <w:br/>
              <w:t>ECE/TRANS/WP.15/AC.1/136, paragraphe 36;</w:t>
            </w:r>
            <w:r w:rsidR="001F43B4" w:rsidRPr="00076B39">
              <w:rPr>
                <w:szCs w:val="24"/>
                <w:lang w:val="fr-FR"/>
              </w:rPr>
              <w:br/>
              <w:t>document informel INF.9 (Allemagne) et rapport de la Réunion commune sur sa session de septembre 2012;</w:t>
            </w:r>
            <w:r w:rsidR="001F43B4" w:rsidRPr="00076B39">
              <w:rPr>
                <w:szCs w:val="24"/>
                <w:lang w:val="fr-FR"/>
              </w:rPr>
              <w:br/>
              <w:t>ECE/TRANS/WP.15/AC.1/128, paragraphes 29 and 30;</w:t>
            </w:r>
            <w:r w:rsidR="001F43B4" w:rsidRPr="00076B39">
              <w:rPr>
                <w:szCs w:val="24"/>
                <w:lang w:val="fr-FR"/>
              </w:rPr>
              <w:br/>
              <w:t>ECE/TRANS/WP.15/2014/3 et rapport de la quatre-vingt-seizième session du WP.15 (ECE/TRANS/WP.15/224), paragraphes 10 à 12.</w:t>
            </w:r>
          </w:p>
        </w:tc>
      </w:tr>
      <w:tr w:rsidR="00673AC4" w:rsidRPr="00076B39" w:rsidTr="00673AC4">
        <w:trPr>
          <w:jc w:val="center"/>
        </w:trPr>
        <w:tc>
          <w:tcPr>
            <w:tcW w:w="9637" w:type="dxa"/>
            <w:tcBorders>
              <w:top w:val="nil"/>
              <w:left w:val="single" w:sz="4" w:space="0" w:color="auto"/>
              <w:bottom w:val="single" w:sz="4" w:space="0" w:color="auto"/>
              <w:right w:val="single" w:sz="4" w:space="0" w:color="auto"/>
            </w:tcBorders>
          </w:tcPr>
          <w:p w:rsidR="00673AC4" w:rsidRPr="00076B39" w:rsidRDefault="00673AC4">
            <w:pPr>
              <w:kinsoku w:val="0"/>
              <w:overflowPunct w:val="0"/>
              <w:autoSpaceDE w:val="0"/>
              <w:autoSpaceDN w:val="0"/>
              <w:adjustRightInd w:val="0"/>
              <w:snapToGrid w:val="0"/>
              <w:rPr>
                <w:lang w:val="fr-FR"/>
              </w:rPr>
            </w:pPr>
          </w:p>
        </w:tc>
      </w:tr>
    </w:tbl>
    <w:p w:rsidR="00673AC4" w:rsidRPr="00076B39" w:rsidRDefault="00673AC4" w:rsidP="00673AC4">
      <w:pPr>
        <w:rPr>
          <w:lang w:val="fr-FR"/>
        </w:rPr>
      </w:pPr>
    </w:p>
    <w:p w:rsidR="00673AC4" w:rsidRPr="00076B39" w:rsidRDefault="00673AC4" w:rsidP="00673AC4">
      <w:pPr>
        <w:pStyle w:val="HChG"/>
        <w:rPr>
          <w:lang w:val="fr-FR"/>
        </w:rPr>
      </w:pPr>
      <w:r w:rsidRPr="00076B39">
        <w:rPr>
          <w:lang w:val="fr-FR"/>
        </w:rPr>
        <w:tab/>
      </w:r>
      <w:r w:rsidRPr="00076B39">
        <w:rPr>
          <w:lang w:val="fr-FR"/>
        </w:rPr>
        <w:tab/>
        <w:t>Introduction</w:t>
      </w:r>
    </w:p>
    <w:p w:rsidR="00673AC4" w:rsidRPr="00076B39" w:rsidRDefault="00673AC4" w:rsidP="00673AC4">
      <w:pPr>
        <w:pStyle w:val="SingleTxtG"/>
        <w:rPr>
          <w:lang w:val="fr-FR"/>
        </w:rPr>
      </w:pPr>
      <w:r w:rsidRPr="00076B39">
        <w:rPr>
          <w:lang w:val="fr-FR"/>
        </w:rPr>
        <w:t>1.</w:t>
      </w:r>
      <w:r w:rsidRPr="00076B39">
        <w:rPr>
          <w:lang w:val="fr-FR"/>
        </w:rPr>
        <w:tab/>
      </w:r>
      <w:r w:rsidR="007F730C" w:rsidRPr="00076B39">
        <w:rPr>
          <w:lang w:val="fr-FR"/>
        </w:rPr>
        <w:t>Lors de la dernière session de la Réunion commune</w:t>
      </w:r>
      <w:r w:rsidRPr="00076B39">
        <w:rPr>
          <w:lang w:val="fr-FR"/>
        </w:rPr>
        <w:t xml:space="preserve"> (Bern</w:t>
      </w:r>
      <w:r w:rsidR="007F730C" w:rsidRPr="00076B39">
        <w:rPr>
          <w:lang w:val="fr-FR"/>
        </w:rPr>
        <w:t>e</w:t>
      </w:r>
      <w:r w:rsidRPr="00076B39">
        <w:rPr>
          <w:lang w:val="fr-FR"/>
        </w:rPr>
        <w:t xml:space="preserve">, 23 </w:t>
      </w:r>
      <w:r w:rsidR="007F730C" w:rsidRPr="00076B39">
        <w:rPr>
          <w:lang w:val="fr-FR"/>
        </w:rPr>
        <w:t>au</w:t>
      </w:r>
      <w:r w:rsidRPr="00076B39">
        <w:rPr>
          <w:lang w:val="fr-FR"/>
        </w:rPr>
        <w:t xml:space="preserve"> 27 </w:t>
      </w:r>
      <w:r w:rsidR="007F730C" w:rsidRPr="00076B39">
        <w:rPr>
          <w:lang w:val="fr-FR"/>
        </w:rPr>
        <w:t>mars</w:t>
      </w:r>
      <w:r w:rsidRPr="00076B39">
        <w:rPr>
          <w:lang w:val="fr-FR"/>
        </w:rPr>
        <w:t xml:space="preserve"> 2015), </w:t>
      </w:r>
      <w:r w:rsidR="007F730C" w:rsidRPr="00076B39">
        <w:rPr>
          <w:lang w:val="fr-FR"/>
        </w:rPr>
        <w:t xml:space="preserve">l’Allemagne </w:t>
      </w:r>
      <w:r w:rsidR="007F730C" w:rsidRPr="007F730C">
        <w:rPr>
          <w:rFonts w:ascii="inherit" w:hAnsi="inherit" w:cs="Courier New"/>
          <w:color w:val="212121"/>
          <w:lang w:val="fr-FR" w:eastAsia="fr-FR"/>
        </w:rPr>
        <w:t>a présenté le document</w:t>
      </w:r>
      <w:r w:rsidRPr="00076B39">
        <w:rPr>
          <w:lang w:val="fr-FR"/>
        </w:rPr>
        <w:t xml:space="preserve"> ECE/TRANS/WP.15/AC.1/2015/21, </w:t>
      </w:r>
      <w:r w:rsidR="007F730C" w:rsidRPr="007F730C">
        <w:rPr>
          <w:rFonts w:ascii="inherit" w:hAnsi="inherit" w:cs="Courier New"/>
          <w:color w:val="212121"/>
          <w:lang w:val="fr-FR" w:eastAsia="fr-FR"/>
        </w:rPr>
        <w:t>dont le but était d'introduire</w:t>
      </w:r>
      <w:r w:rsidR="007F730C" w:rsidRPr="00076B39">
        <w:rPr>
          <w:rFonts w:ascii="inherit" w:hAnsi="inherit" w:cs="Courier New"/>
          <w:color w:val="212121"/>
          <w:lang w:val="fr-FR" w:eastAsia="fr-FR"/>
        </w:rPr>
        <w:t>,</w:t>
      </w:r>
      <w:r w:rsidR="007F730C" w:rsidRPr="007F730C">
        <w:rPr>
          <w:rFonts w:ascii="inherit" w:hAnsi="inherit" w:cs="Courier New"/>
          <w:color w:val="212121"/>
          <w:lang w:val="fr-FR" w:eastAsia="fr-FR"/>
        </w:rPr>
        <w:t xml:space="preserve"> comme</w:t>
      </w:r>
      <w:r w:rsidR="007F730C" w:rsidRPr="00076B39">
        <w:rPr>
          <w:rFonts w:ascii="inherit" w:hAnsi="inherit" w:cs="Courier New"/>
          <w:color w:val="212121"/>
          <w:lang w:val="fr-FR" w:eastAsia="fr-FR"/>
        </w:rPr>
        <w:t xml:space="preserve"> une alternative possible à l'e</w:t>
      </w:r>
      <w:r w:rsidR="007F730C" w:rsidRPr="007F730C">
        <w:rPr>
          <w:rFonts w:ascii="inherit" w:hAnsi="inherit" w:cs="Courier New"/>
          <w:color w:val="212121"/>
          <w:lang w:val="fr-FR" w:eastAsia="fr-FR"/>
        </w:rPr>
        <w:t>xamen écrit</w:t>
      </w:r>
      <w:r w:rsidR="007F730C" w:rsidRPr="00076B39">
        <w:rPr>
          <w:rFonts w:ascii="inherit" w:hAnsi="inherit" w:cs="Courier New"/>
          <w:color w:val="212121"/>
          <w:lang w:val="fr-FR" w:eastAsia="fr-FR"/>
        </w:rPr>
        <w:t xml:space="preserve">, </w:t>
      </w:r>
      <w:r w:rsidR="007F730C" w:rsidRPr="007F730C">
        <w:rPr>
          <w:rFonts w:ascii="inherit" w:hAnsi="inherit" w:cs="Courier New"/>
          <w:color w:val="212121"/>
          <w:lang w:val="fr-FR" w:eastAsia="fr-FR"/>
        </w:rPr>
        <w:t xml:space="preserve">des </w:t>
      </w:r>
      <w:r w:rsidR="007F730C" w:rsidRPr="00076B39">
        <w:rPr>
          <w:rFonts w:ascii="inherit" w:hAnsi="inherit" w:cs="Courier New"/>
          <w:color w:val="212121"/>
          <w:lang w:val="fr-FR" w:eastAsia="fr-FR"/>
        </w:rPr>
        <w:t xml:space="preserve">procédures </w:t>
      </w:r>
      <w:r w:rsidR="007F730C" w:rsidRPr="007F730C">
        <w:rPr>
          <w:rFonts w:ascii="inherit" w:hAnsi="inherit" w:cs="Courier New"/>
          <w:color w:val="212121"/>
          <w:lang w:val="fr-FR" w:eastAsia="fr-FR"/>
        </w:rPr>
        <w:t xml:space="preserve"> électroniques </w:t>
      </w:r>
      <w:r w:rsidR="007F730C" w:rsidRPr="00076B39">
        <w:rPr>
          <w:rFonts w:ascii="inherit" w:hAnsi="inherit" w:cs="Courier New"/>
          <w:color w:val="212121"/>
          <w:lang w:val="fr-FR" w:eastAsia="fr-FR"/>
        </w:rPr>
        <w:t>pour</w:t>
      </w:r>
      <w:r w:rsidR="007F730C" w:rsidRPr="007F730C">
        <w:rPr>
          <w:rFonts w:ascii="inherit" w:hAnsi="inherit" w:cs="Courier New"/>
          <w:color w:val="212121"/>
          <w:lang w:val="fr-FR" w:eastAsia="fr-FR"/>
        </w:rPr>
        <w:t xml:space="preserve"> l'exame</w:t>
      </w:r>
      <w:r w:rsidR="007F730C" w:rsidRPr="00076B39">
        <w:rPr>
          <w:rFonts w:ascii="inherit" w:hAnsi="inherit" w:cs="Courier New"/>
          <w:color w:val="212121"/>
          <w:lang w:val="fr-FR" w:eastAsia="fr-FR"/>
        </w:rPr>
        <w:t>n des conseillers à la sécurité</w:t>
      </w:r>
      <w:r w:rsidR="007F730C" w:rsidRPr="007F730C">
        <w:rPr>
          <w:rFonts w:ascii="inherit" w:hAnsi="inherit" w:cs="Courier New"/>
          <w:color w:val="212121"/>
          <w:lang w:val="fr-FR" w:eastAsia="fr-FR"/>
        </w:rPr>
        <w:t xml:space="preserve">, les conducteurs de véhicules ADR et </w:t>
      </w:r>
      <w:r w:rsidR="007F730C" w:rsidRPr="00076B39">
        <w:rPr>
          <w:rFonts w:ascii="inherit" w:hAnsi="inherit" w:cs="Courier New"/>
          <w:color w:val="212121"/>
          <w:lang w:val="fr-FR" w:eastAsia="fr-FR"/>
        </w:rPr>
        <w:t>des experts ADN</w:t>
      </w:r>
      <w:r w:rsidR="007F730C" w:rsidRPr="007F730C">
        <w:rPr>
          <w:rFonts w:ascii="inherit" w:hAnsi="inherit" w:cs="Courier New"/>
          <w:color w:val="212121"/>
          <w:lang w:val="fr-FR" w:eastAsia="fr-FR"/>
        </w:rPr>
        <w:t>.</w:t>
      </w:r>
    </w:p>
    <w:p w:rsidR="007F730C" w:rsidRPr="00076B39" w:rsidRDefault="00673AC4" w:rsidP="007F730C">
      <w:pPr>
        <w:pStyle w:val="SingleTxtG"/>
        <w:rPr>
          <w:lang w:val="fr-FR"/>
        </w:rPr>
      </w:pPr>
      <w:r w:rsidRPr="00076B39">
        <w:rPr>
          <w:lang w:val="fr-FR"/>
        </w:rPr>
        <w:lastRenderedPageBreak/>
        <w:t>2.</w:t>
      </w:r>
      <w:r w:rsidRPr="00076B39">
        <w:rPr>
          <w:lang w:val="fr-FR"/>
        </w:rPr>
        <w:tab/>
      </w:r>
      <w:r w:rsidR="007F730C" w:rsidRPr="00076B39">
        <w:rPr>
          <w:lang w:val="fr-FR"/>
        </w:rPr>
        <w:t>La Réunion commune a adopté le principe d’inclure des dispositions pour l’utilisation de procédures électroniques pour l’examen des conseillers à la sécurité. Comme de nombreux commentaires ont été émis sur les détails de la proposition, le représentant de l’Allemagne a prié les délégations concernées de lui transmettre ces commentaires par écrit afin qu’il puisse soumettre une proposition révisée (voir aussi ECE/TRANS/WP.15/AC.1/138, paragraphe 35).</w:t>
      </w:r>
    </w:p>
    <w:p w:rsidR="007F730C" w:rsidRPr="00076B39" w:rsidRDefault="00673AC4" w:rsidP="00673AC4">
      <w:pPr>
        <w:pStyle w:val="SingleTxtG"/>
        <w:rPr>
          <w:lang w:val="fr-FR"/>
        </w:rPr>
      </w:pPr>
      <w:r w:rsidRPr="00076B39">
        <w:rPr>
          <w:lang w:val="fr-FR"/>
        </w:rPr>
        <w:t>3.</w:t>
      </w:r>
      <w:r w:rsidRPr="00076B39">
        <w:rPr>
          <w:lang w:val="fr-FR"/>
        </w:rPr>
        <w:tab/>
      </w:r>
      <w:r w:rsidR="007F730C" w:rsidRPr="00076B39">
        <w:rPr>
          <w:lang w:val="fr-FR"/>
        </w:rPr>
        <w:t>L'Allemagne a reçu des propositions de l'Espagne et du Danemark sur ce sujet. À cet égard, il a été souligné en particulier que certaines des dispositions du nouveau 1.8.3.12.5 tel que proposé dans le document 2015/21 s’appliquaient aussi bien à l'examen écrit qu’à l'examen électronique. Il a donc été recommandé de déplacer ces dispositions au début du 1.8.3.12 (par exemple après le 1.8.3.12.2) de sorte qu'il est clair que ces dispositions s’appliquent généralement aux deux formes d</w:t>
      </w:r>
      <w:r w:rsidR="00076B39">
        <w:rPr>
          <w:lang w:val="fr-FR"/>
        </w:rPr>
        <w:t>'examen</w:t>
      </w:r>
      <w:r w:rsidR="007F730C" w:rsidRPr="00076B39">
        <w:rPr>
          <w:lang w:val="fr-FR"/>
        </w:rPr>
        <w:t>. Le point de vue a été exprimé que certaines des dispositions ét</w:t>
      </w:r>
      <w:r w:rsidR="00076B39" w:rsidRPr="00076B39">
        <w:rPr>
          <w:lang w:val="fr-FR"/>
        </w:rPr>
        <w:t>aient trop détaillées pour le RID/ADR/ADN</w:t>
      </w:r>
      <w:r w:rsidR="007F730C" w:rsidRPr="00076B39">
        <w:rPr>
          <w:lang w:val="fr-FR"/>
        </w:rPr>
        <w:t>.</w:t>
      </w:r>
    </w:p>
    <w:p w:rsidR="00076B39" w:rsidRPr="00076B39" w:rsidRDefault="00076B39" w:rsidP="00673AC4">
      <w:pPr>
        <w:pStyle w:val="SingleTxtG"/>
        <w:rPr>
          <w:lang w:val="fr-FR"/>
        </w:rPr>
      </w:pPr>
      <w:r>
        <w:rPr>
          <w:lang w:val="fr-FR"/>
        </w:rPr>
        <w:t>4.</w:t>
      </w:r>
      <w:r>
        <w:rPr>
          <w:lang w:val="fr-FR"/>
        </w:rPr>
        <w:tab/>
        <w:t>En outre</w:t>
      </w:r>
      <w:r w:rsidRPr="00076B39">
        <w:rPr>
          <w:lang w:val="fr-FR"/>
        </w:rPr>
        <w:t xml:space="preserve">, lors de la dernière </w:t>
      </w:r>
      <w:r>
        <w:rPr>
          <w:lang w:val="fr-FR"/>
        </w:rPr>
        <w:t>R</w:t>
      </w:r>
      <w:r w:rsidRPr="00076B39">
        <w:rPr>
          <w:lang w:val="fr-FR"/>
        </w:rPr>
        <w:t xml:space="preserve">éunion </w:t>
      </w:r>
      <w:r>
        <w:rPr>
          <w:lang w:val="fr-FR"/>
        </w:rPr>
        <w:t xml:space="preserve">commune, le </w:t>
      </w:r>
      <w:r w:rsidRPr="00076B39">
        <w:rPr>
          <w:lang w:val="fr-FR"/>
        </w:rPr>
        <w:t xml:space="preserve">représentant de l'Allemagne a commenté comme suit </w:t>
      </w:r>
      <w:r>
        <w:rPr>
          <w:lang w:val="fr-FR"/>
        </w:rPr>
        <w:t>l</w:t>
      </w:r>
      <w:r w:rsidRPr="00076B39">
        <w:rPr>
          <w:lang w:val="fr-FR"/>
        </w:rPr>
        <w:t xml:space="preserve">es </w:t>
      </w:r>
      <w:r>
        <w:rPr>
          <w:lang w:val="fr-FR"/>
        </w:rPr>
        <w:t xml:space="preserve">remarques et </w:t>
      </w:r>
      <w:r w:rsidRPr="00076B39">
        <w:rPr>
          <w:lang w:val="fr-FR"/>
        </w:rPr>
        <w:t xml:space="preserve">demandes </w:t>
      </w:r>
      <w:r>
        <w:rPr>
          <w:lang w:val="fr-FR"/>
        </w:rPr>
        <w:t>de modifications</w:t>
      </w:r>
      <w:r w:rsidRPr="00076B39">
        <w:rPr>
          <w:lang w:val="fr-FR"/>
        </w:rPr>
        <w:t xml:space="preserve"> </w:t>
      </w:r>
      <w:r>
        <w:rPr>
          <w:lang w:val="fr-FR"/>
        </w:rPr>
        <w:t>suivantes:</w:t>
      </w:r>
    </w:p>
    <w:p w:rsidR="00673AC4" w:rsidRPr="00076B39" w:rsidRDefault="00673AC4" w:rsidP="00673AC4">
      <w:pPr>
        <w:pStyle w:val="SingleTxtG"/>
        <w:rPr>
          <w:lang w:val="fr-FR"/>
        </w:rPr>
      </w:pPr>
      <w:r w:rsidRPr="00076B39">
        <w:rPr>
          <w:b/>
          <w:lang w:val="fr-FR"/>
        </w:rPr>
        <w:t>1.8.3.10</w:t>
      </w:r>
    </w:p>
    <w:p w:rsidR="00673AC4" w:rsidRPr="00076B39" w:rsidRDefault="00673AC4" w:rsidP="00673AC4">
      <w:pPr>
        <w:pStyle w:val="SingleTxtG"/>
        <w:rPr>
          <w:lang w:val="fr-FR"/>
        </w:rPr>
      </w:pPr>
      <w:r w:rsidRPr="00076B39">
        <w:rPr>
          <w:lang w:val="fr-FR"/>
        </w:rPr>
        <w:t>5.</w:t>
      </w:r>
      <w:r w:rsidRPr="00076B39">
        <w:rPr>
          <w:lang w:val="fr-FR"/>
        </w:rPr>
        <w:tab/>
      </w:r>
      <w:r w:rsidR="00076B39">
        <w:rPr>
          <w:lang w:val="fr-FR"/>
        </w:rPr>
        <w:t>Au 2ème tiret, ajouter «si nécessaire» après «y compris»</w:t>
      </w:r>
      <w:r w:rsidRPr="00076B39">
        <w:rPr>
          <w:lang w:val="fr-FR"/>
        </w:rPr>
        <w:t>.</w:t>
      </w:r>
    </w:p>
    <w:p w:rsidR="00673AC4" w:rsidRPr="00076B39" w:rsidRDefault="00076B39" w:rsidP="00673AC4">
      <w:pPr>
        <w:pStyle w:val="SingleTxtG"/>
        <w:rPr>
          <w:lang w:val="fr-FR"/>
        </w:rPr>
      </w:pPr>
      <w:r>
        <w:rPr>
          <w:lang w:val="fr-FR"/>
        </w:rPr>
        <w:t>Cette demande d’amendement a été prise en compte dans la version révisée</w:t>
      </w:r>
      <w:r w:rsidR="00673AC4" w:rsidRPr="00076B39">
        <w:rPr>
          <w:lang w:val="fr-FR"/>
        </w:rPr>
        <w:t>.</w:t>
      </w:r>
    </w:p>
    <w:p w:rsidR="00673AC4" w:rsidRPr="00076B39" w:rsidRDefault="00076B39" w:rsidP="00673AC4">
      <w:pPr>
        <w:pStyle w:val="SingleTxtG"/>
        <w:rPr>
          <w:lang w:val="fr-FR"/>
        </w:rPr>
      </w:pPr>
      <w:r>
        <w:rPr>
          <w:b/>
          <w:lang w:val="fr-FR"/>
        </w:rPr>
        <w:t>Procéder à des études de cas</w:t>
      </w:r>
    </w:p>
    <w:p w:rsidR="00076B39" w:rsidRDefault="00673AC4" w:rsidP="00673AC4">
      <w:pPr>
        <w:pStyle w:val="SingleTxtG"/>
        <w:rPr>
          <w:lang w:val="fr-FR"/>
        </w:rPr>
      </w:pPr>
      <w:r w:rsidRPr="00076B39">
        <w:rPr>
          <w:lang w:val="fr-FR"/>
        </w:rPr>
        <w:t>6.</w:t>
      </w:r>
      <w:r w:rsidRPr="00076B39">
        <w:rPr>
          <w:lang w:val="fr-FR"/>
        </w:rPr>
        <w:tab/>
      </w:r>
      <w:r w:rsidR="00076B39" w:rsidRPr="00076B39">
        <w:rPr>
          <w:lang w:val="fr-FR"/>
        </w:rPr>
        <w:t xml:space="preserve">Une étude de cas peut </w:t>
      </w:r>
      <w:r w:rsidR="00076B39">
        <w:rPr>
          <w:lang w:val="fr-FR"/>
        </w:rPr>
        <w:t>toujours</w:t>
      </w:r>
      <w:r w:rsidR="00076B39" w:rsidRPr="00076B39">
        <w:rPr>
          <w:lang w:val="fr-FR"/>
        </w:rPr>
        <w:t xml:space="preserve"> être réalisée </w:t>
      </w:r>
      <w:r w:rsidR="00076B39">
        <w:rPr>
          <w:lang w:val="fr-FR"/>
        </w:rPr>
        <w:t>en tant qu’</w:t>
      </w:r>
      <w:r w:rsidR="00076B39" w:rsidRPr="00076B39">
        <w:rPr>
          <w:lang w:val="fr-FR"/>
        </w:rPr>
        <w:t xml:space="preserve">examen </w:t>
      </w:r>
      <w:proofErr w:type="gramStart"/>
      <w:r w:rsidR="00076B39" w:rsidRPr="00076B39">
        <w:rPr>
          <w:lang w:val="fr-FR"/>
        </w:rPr>
        <w:t>écrit ,</w:t>
      </w:r>
      <w:proofErr w:type="gramEnd"/>
      <w:r w:rsidR="00076B39" w:rsidRPr="00076B39">
        <w:rPr>
          <w:lang w:val="fr-FR"/>
        </w:rPr>
        <w:t xml:space="preserve"> </w:t>
      </w:r>
      <w:r w:rsidR="00076B39">
        <w:rPr>
          <w:lang w:val="fr-FR"/>
        </w:rPr>
        <w:t xml:space="preserve">voir </w:t>
      </w:r>
      <w:r w:rsidR="00076B39" w:rsidRPr="00076B39">
        <w:rPr>
          <w:lang w:val="fr-FR"/>
        </w:rPr>
        <w:t xml:space="preserve">aussi la phrase introductive </w:t>
      </w:r>
      <w:r w:rsidR="00076B39">
        <w:rPr>
          <w:lang w:val="fr-FR"/>
        </w:rPr>
        <w:t>du nouveau</w:t>
      </w:r>
      <w:r w:rsidR="00076B39" w:rsidRPr="00076B39">
        <w:rPr>
          <w:lang w:val="fr-FR"/>
        </w:rPr>
        <w:t xml:space="preserve"> 1.8.3.12.5</w:t>
      </w:r>
      <w:r w:rsidR="00076B39">
        <w:rPr>
          <w:lang w:val="fr-FR"/>
        </w:rPr>
        <w:t xml:space="preserve"> proposé</w:t>
      </w:r>
      <w:r w:rsidR="00076B39" w:rsidRPr="00076B39">
        <w:rPr>
          <w:lang w:val="fr-FR"/>
        </w:rPr>
        <w:t xml:space="preserve">: </w:t>
      </w:r>
      <w:r w:rsidR="00076B39">
        <w:rPr>
          <w:lang w:val="fr-FR"/>
        </w:rPr>
        <w:t>«</w:t>
      </w:r>
      <w:r w:rsidR="00076B39" w:rsidRPr="00076B39">
        <w:rPr>
          <w:lang w:val="fr-FR"/>
        </w:rPr>
        <w:t xml:space="preserve">Les examens écrits peuvent être effectués , en tout ou en partie, </w:t>
      </w:r>
      <w:r w:rsidR="00076B39">
        <w:rPr>
          <w:lang w:val="fr-FR"/>
        </w:rPr>
        <w:t>sous la forme d’examens électroniques».</w:t>
      </w:r>
    </w:p>
    <w:p w:rsidR="00673AC4" w:rsidRPr="00076B39" w:rsidRDefault="00076B39" w:rsidP="00673AC4">
      <w:pPr>
        <w:pStyle w:val="SingleTxtG"/>
        <w:rPr>
          <w:lang w:val="fr-FR"/>
        </w:rPr>
      </w:pPr>
      <w:r>
        <w:rPr>
          <w:b/>
          <w:lang w:val="fr-FR"/>
        </w:rPr>
        <w:t xml:space="preserve">1.8.3.12.5 a), </w:t>
      </w:r>
      <w:r w:rsidR="00673AC4" w:rsidRPr="00076B39">
        <w:rPr>
          <w:b/>
          <w:lang w:val="fr-FR"/>
        </w:rPr>
        <w:t xml:space="preserve">d) </w:t>
      </w:r>
      <w:r>
        <w:rPr>
          <w:b/>
          <w:lang w:val="fr-FR"/>
        </w:rPr>
        <w:t xml:space="preserve">et </w:t>
      </w:r>
      <w:r w:rsidR="00673AC4" w:rsidRPr="00076B39">
        <w:rPr>
          <w:b/>
          <w:lang w:val="fr-FR"/>
        </w:rPr>
        <w:t>e)</w:t>
      </w:r>
    </w:p>
    <w:p w:rsidR="007E2A9E" w:rsidRDefault="00673AC4" w:rsidP="00673AC4">
      <w:pPr>
        <w:pStyle w:val="SingleTxtG"/>
        <w:rPr>
          <w:lang w:val="fr-FR"/>
        </w:rPr>
      </w:pPr>
      <w:r w:rsidRPr="00076B39">
        <w:rPr>
          <w:lang w:val="fr-FR"/>
        </w:rPr>
        <w:t>7.</w:t>
      </w:r>
      <w:r w:rsidRPr="00076B39">
        <w:rPr>
          <w:lang w:val="fr-FR"/>
        </w:rPr>
        <w:tab/>
      </w:r>
      <w:r w:rsidR="007E2A9E">
        <w:rPr>
          <w:lang w:val="fr-FR"/>
        </w:rPr>
        <w:t>En principe</w:t>
      </w:r>
      <w:r w:rsidR="007E2A9E" w:rsidRPr="007E2A9E">
        <w:rPr>
          <w:lang w:val="fr-FR"/>
        </w:rPr>
        <w:t xml:space="preserve">, le contenu des paragraphes </w:t>
      </w:r>
      <w:r w:rsidR="007E2A9E">
        <w:rPr>
          <w:lang w:val="fr-FR"/>
        </w:rPr>
        <w:t xml:space="preserve">a), d) et </w:t>
      </w:r>
      <w:proofErr w:type="gramStart"/>
      <w:r w:rsidR="007E2A9E" w:rsidRPr="007E2A9E">
        <w:rPr>
          <w:lang w:val="fr-FR"/>
        </w:rPr>
        <w:t>e )</w:t>
      </w:r>
      <w:proofErr w:type="gramEnd"/>
      <w:r w:rsidR="007E2A9E" w:rsidRPr="007E2A9E">
        <w:rPr>
          <w:lang w:val="fr-FR"/>
        </w:rPr>
        <w:t xml:space="preserve"> </w:t>
      </w:r>
      <w:r w:rsidR="007E2A9E">
        <w:rPr>
          <w:lang w:val="fr-FR"/>
        </w:rPr>
        <w:t>s’</w:t>
      </w:r>
      <w:r w:rsidR="007E2A9E" w:rsidRPr="007E2A9E">
        <w:rPr>
          <w:lang w:val="fr-FR"/>
        </w:rPr>
        <w:t>appl</w:t>
      </w:r>
      <w:r w:rsidR="007E2A9E">
        <w:rPr>
          <w:lang w:val="fr-FR"/>
        </w:rPr>
        <w:t>ique également à l'examen écrit</w:t>
      </w:r>
      <w:r w:rsidR="007E2A9E" w:rsidRPr="007E2A9E">
        <w:rPr>
          <w:lang w:val="fr-FR"/>
        </w:rPr>
        <w:t xml:space="preserve">, donc ce texte pourrait être déplacé après </w:t>
      </w:r>
      <w:r w:rsidR="007E2A9E">
        <w:rPr>
          <w:lang w:val="fr-FR"/>
        </w:rPr>
        <w:t>le 1.8.3.12.2</w:t>
      </w:r>
      <w:r w:rsidR="007E2A9E" w:rsidRPr="007E2A9E">
        <w:rPr>
          <w:lang w:val="fr-FR"/>
        </w:rPr>
        <w:t>, par exemple (</w:t>
      </w:r>
      <w:r w:rsidR="007E2A9E">
        <w:rPr>
          <w:lang w:val="fr-FR"/>
        </w:rPr>
        <w:t>s’</w:t>
      </w:r>
      <w:r w:rsidR="007E2A9E" w:rsidRPr="007E2A9E">
        <w:rPr>
          <w:lang w:val="fr-FR"/>
        </w:rPr>
        <w:t xml:space="preserve">applique aux </w:t>
      </w:r>
      <w:r w:rsidR="007E2A9E">
        <w:rPr>
          <w:lang w:val="fr-FR"/>
        </w:rPr>
        <w:t>examens écrits et électroniques)</w:t>
      </w:r>
      <w:r w:rsidR="007E2A9E" w:rsidRPr="007E2A9E">
        <w:rPr>
          <w:lang w:val="fr-FR"/>
        </w:rPr>
        <w:t>.</w:t>
      </w:r>
    </w:p>
    <w:p w:rsidR="00673AC4" w:rsidRPr="00076B39" w:rsidRDefault="007E2A9E" w:rsidP="00673AC4">
      <w:pPr>
        <w:pStyle w:val="SingleTxtG"/>
        <w:rPr>
          <w:lang w:val="fr-FR"/>
        </w:rPr>
      </w:pPr>
      <w:r>
        <w:rPr>
          <w:b/>
          <w:lang w:val="fr-FR"/>
        </w:rPr>
        <w:t xml:space="preserve">1.8.3.12.5 </w:t>
      </w:r>
      <w:r w:rsidR="00673AC4" w:rsidRPr="00076B39">
        <w:rPr>
          <w:b/>
          <w:lang w:val="fr-FR"/>
        </w:rPr>
        <w:t>b)</w:t>
      </w:r>
    </w:p>
    <w:p w:rsidR="007E2A9E" w:rsidRPr="00076B39" w:rsidRDefault="00673AC4" w:rsidP="007E2A9E">
      <w:pPr>
        <w:pStyle w:val="SingleTxtG"/>
        <w:rPr>
          <w:lang w:val="fr-FR"/>
        </w:rPr>
      </w:pPr>
      <w:r w:rsidRPr="00076B39">
        <w:rPr>
          <w:lang w:val="fr-FR"/>
        </w:rPr>
        <w:t>8.</w:t>
      </w:r>
      <w:r w:rsidRPr="00076B39">
        <w:rPr>
          <w:lang w:val="fr-FR"/>
        </w:rPr>
        <w:tab/>
      </w:r>
      <w:r w:rsidR="007E2A9E">
        <w:rPr>
          <w:lang w:val="fr-FR"/>
        </w:rPr>
        <w:t>Dans la première phrase, après «</w:t>
      </w:r>
      <w:r w:rsidR="007E2A9E">
        <w:rPr>
          <w:szCs w:val="24"/>
        </w:rPr>
        <w:t>par l’autorité compétente</w:t>
      </w:r>
      <w:r w:rsidR="007E2A9E">
        <w:rPr>
          <w:lang w:val="fr-FR"/>
        </w:rPr>
        <w:t>», ajouter «ou par un organisme examinateur désigné par elle»</w:t>
      </w:r>
      <w:r w:rsidRPr="00076B39">
        <w:rPr>
          <w:lang w:val="fr-FR"/>
        </w:rPr>
        <w:t xml:space="preserve">. </w:t>
      </w:r>
      <w:r w:rsidR="007E2A9E">
        <w:rPr>
          <w:lang w:val="fr-FR"/>
        </w:rPr>
        <w:t>Cette demande d’amendement a été prise en compte dans la version révisée</w:t>
      </w:r>
      <w:r w:rsidR="007E2A9E" w:rsidRPr="00076B39">
        <w:rPr>
          <w:lang w:val="fr-FR"/>
        </w:rPr>
        <w:t>.</w:t>
      </w:r>
    </w:p>
    <w:p w:rsidR="00673AC4" w:rsidRPr="00076B39" w:rsidRDefault="007E2A9E" w:rsidP="00673AC4">
      <w:pPr>
        <w:pStyle w:val="SingleTxtG"/>
        <w:rPr>
          <w:lang w:val="fr-FR"/>
        </w:rPr>
      </w:pPr>
      <w:r>
        <w:rPr>
          <w:b/>
          <w:lang w:val="fr-FR"/>
        </w:rPr>
        <w:t xml:space="preserve">1.8.3.12.5 </w:t>
      </w:r>
      <w:r w:rsidR="00673AC4" w:rsidRPr="00076B39">
        <w:rPr>
          <w:b/>
          <w:lang w:val="fr-FR"/>
        </w:rPr>
        <w:t>b)</w:t>
      </w:r>
    </w:p>
    <w:p w:rsidR="00673AC4" w:rsidRPr="00076B39" w:rsidRDefault="00673AC4" w:rsidP="00673AC4">
      <w:pPr>
        <w:pStyle w:val="SingleTxtG"/>
        <w:rPr>
          <w:lang w:val="fr-FR"/>
        </w:rPr>
      </w:pPr>
      <w:r w:rsidRPr="00076B39">
        <w:rPr>
          <w:lang w:val="fr-FR"/>
        </w:rPr>
        <w:t>9.</w:t>
      </w:r>
      <w:r w:rsidRPr="00076B39">
        <w:rPr>
          <w:lang w:val="fr-FR"/>
        </w:rPr>
        <w:tab/>
      </w:r>
      <w:r w:rsidR="007E2A9E">
        <w:rPr>
          <w:lang w:val="fr-FR"/>
        </w:rPr>
        <w:t>Dans la phrase «</w:t>
      </w:r>
      <w:r w:rsidR="007E2A9E">
        <w:rPr>
          <w:szCs w:val="24"/>
        </w:rPr>
        <w:t>Le matériel informatique et le logiciel doivent être vérifiés et approuvés par l’autorité compétente.</w:t>
      </w:r>
      <w:r w:rsidR="007E2A9E">
        <w:rPr>
          <w:lang w:val="fr-FR"/>
        </w:rPr>
        <w:t>» on ne fait pas référence à une approbation formelle</w:t>
      </w:r>
      <w:r w:rsidRPr="00076B39">
        <w:rPr>
          <w:lang w:val="fr-FR"/>
        </w:rPr>
        <w:t xml:space="preserve">. </w:t>
      </w:r>
      <w:r w:rsidR="007E2A9E">
        <w:rPr>
          <w:lang w:val="fr-FR"/>
        </w:rPr>
        <w:t>Les termes «vérifiés et acceptés»</w:t>
      </w:r>
      <w:r w:rsidRPr="00076B39">
        <w:rPr>
          <w:lang w:val="fr-FR"/>
        </w:rPr>
        <w:t xml:space="preserve"> </w:t>
      </w:r>
      <w:r w:rsidR="007E2A9E">
        <w:rPr>
          <w:lang w:val="fr-FR"/>
        </w:rPr>
        <w:t>sont proposés à la place</w:t>
      </w:r>
      <w:r w:rsidRPr="00076B39">
        <w:rPr>
          <w:lang w:val="fr-FR"/>
        </w:rPr>
        <w:t>.</w:t>
      </w:r>
    </w:p>
    <w:p w:rsidR="00673AC4" w:rsidRPr="00076B39" w:rsidRDefault="007E2A9E" w:rsidP="00673AC4">
      <w:pPr>
        <w:pStyle w:val="SingleTxtG"/>
        <w:rPr>
          <w:lang w:val="fr-FR"/>
        </w:rPr>
      </w:pPr>
      <w:r>
        <w:rPr>
          <w:b/>
          <w:lang w:val="fr-FR"/>
        </w:rPr>
        <w:t xml:space="preserve">1.8.3.12.5 </w:t>
      </w:r>
      <w:r w:rsidR="00673AC4" w:rsidRPr="00076B39">
        <w:rPr>
          <w:b/>
          <w:lang w:val="fr-FR"/>
        </w:rPr>
        <w:t>b)</w:t>
      </w:r>
    </w:p>
    <w:p w:rsidR="00673AC4" w:rsidRPr="00076B39" w:rsidRDefault="00673AC4" w:rsidP="00673AC4">
      <w:pPr>
        <w:pStyle w:val="SingleTxtG"/>
        <w:rPr>
          <w:lang w:val="fr-FR"/>
        </w:rPr>
      </w:pPr>
      <w:r w:rsidRPr="00076B39">
        <w:rPr>
          <w:lang w:val="fr-FR"/>
        </w:rPr>
        <w:t>10.</w:t>
      </w:r>
      <w:r w:rsidRPr="00076B39">
        <w:rPr>
          <w:lang w:val="fr-FR"/>
        </w:rPr>
        <w:tab/>
      </w:r>
      <w:r w:rsidR="007E2A9E">
        <w:rPr>
          <w:lang w:val="fr-FR"/>
        </w:rPr>
        <w:t>La phrase «</w:t>
      </w:r>
      <w:r w:rsidR="007E2A9E">
        <w:rPr>
          <w:szCs w:val="24"/>
        </w:rPr>
        <w:t>Toute possibilité de manipulation ou de fraude doit être exclue.» a été remplacée par «Toute possibilité de manipulation ou de fraude doit être exclue autant que possible.»</w:t>
      </w:r>
      <w:r w:rsidR="007E2A9E">
        <w:rPr>
          <w:lang w:val="fr-FR"/>
        </w:rPr>
        <w:t>.</w:t>
      </w:r>
    </w:p>
    <w:p w:rsidR="007E2A9E" w:rsidRDefault="007E2A9E" w:rsidP="007E2A9E">
      <w:pPr>
        <w:pStyle w:val="HChG"/>
      </w:pPr>
      <w:r>
        <w:tab/>
      </w:r>
      <w:r>
        <w:tab/>
        <w:t>Propositions d’amendement</w:t>
      </w:r>
    </w:p>
    <w:p w:rsidR="007E2A9E" w:rsidRPr="00076B39" w:rsidRDefault="007E2A9E" w:rsidP="007E2A9E">
      <w:pPr>
        <w:pStyle w:val="SingleTxtG"/>
        <w:rPr>
          <w:lang w:val="fr-FR"/>
        </w:rPr>
      </w:pPr>
      <w:r w:rsidRPr="00076B39">
        <w:rPr>
          <w:lang w:val="fr-FR"/>
        </w:rPr>
        <w:t>11.</w:t>
      </w:r>
      <w:r w:rsidRPr="00076B39">
        <w:rPr>
          <w:lang w:val="fr-FR"/>
        </w:rPr>
        <w:tab/>
      </w:r>
      <w:r w:rsidR="006723DA">
        <w:t xml:space="preserve">Le paragraphe 1.8.3.10 du </w:t>
      </w:r>
      <w:r w:rsidR="006723DA">
        <w:rPr>
          <w:lang w:val="x-none"/>
        </w:rPr>
        <w:t xml:space="preserve">RID/ADR/ADN </w:t>
      </w:r>
      <w:r w:rsidR="006723DA">
        <w:t xml:space="preserve">pourrait être complété comme suit </w:t>
      </w:r>
      <w:r w:rsidR="006723DA">
        <w:rPr>
          <w:lang w:val="x-none"/>
        </w:rPr>
        <w:t>(le</w:t>
      </w:r>
      <w:r w:rsidR="006723DA">
        <w:t> </w:t>
      </w:r>
      <w:r w:rsidR="006723DA">
        <w:rPr>
          <w:lang w:val="x-none"/>
        </w:rPr>
        <w:t xml:space="preserve">nouveau </w:t>
      </w:r>
      <w:r w:rsidR="006723DA">
        <w:t>texte</w:t>
      </w:r>
      <w:r w:rsidR="006723DA">
        <w:rPr>
          <w:lang w:val="x-none"/>
        </w:rPr>
        <w:t xml:space="preserve"> est </w:t>
      </w:r>
      <w:r w:rsidR="006723DA">
        <w:rPr>
          <w:u w:val="single"/>
        </w:rPr>
        <w:t>souligné</w:t>
      </w:r>
      <w:r w:rsidR="006723DA">
        <w:t xml:space="preserve"> et les modifications par rapport au document -/2015/21 sont en </w:t>
      </w:r>
      <w:r w:rsidR="006723DA" w:rsidRPr="007E2A9E">
        <w:rPr>
          <w:i/>
          <w:u w:val="single"/>
        </w:rPr>
        <w:t>italiques</w:t>
      </w:r>
      <w:r w:rsidR="006723DA">
        <w:rPr>
          <w:lang w:val="x-none"/>
        </w:rPr>
        <w:t>):</w:t>
      </w:r>
    </w:p>
    <w:p w:rsidR="007E2A9E" w:rsidRDefault="007E2A9E" w:rsidP="007E2A9E">
      <w:pPr>
        <w:pStyle w:val="SingleTxtG"/>
      </w:pPr>
      <w:r>
        <w:lastRenderedPageBreak/>
        <w:t>«</w:t>
      </w:r>
      <w:r>
        <w:rPr>
          <w:b/>
          <w:lang w:val="x-none"/>
        </w:rPr>
        <w:t>1.8.3.10</w:t>
      </w:r>
      <w:r>
        <w:rPr>
          <w:lang w:val="x-none"/>
        </w:rPr>
        <w:tab/>
      </w:r>
      <w:r>
        <w:t>L’examen doit être organisé par l’autorité compétente ou par un organisme examinateur désigné par elle. L’organisme examinateur ne doit pas être un organisme de formation.</w:t>
      </w:r>
    </w:p>
    <w:p w:rsidR="007E2A9E" w:rsidRDefault="007E2A9E" w:rsidP="007E2A9E">
      <w:pPr>
        <w:pStyle w:val="SingleTxtG"/>
      </w:pPr>
      <w:r>
        <w:t>La désignation de l’organisme examinateur doit se faire sous forme écrite. Cet agrément peut avoir une durée limitée et doit être fondé sur les critères suivants:</w:t>
      </w:r>
    </w:p>
    <w:p w:rsidR="007E2A9E" w:rsidRDefault="009A446A" w:rsidP="007E2A9E">
      <w:pPr>
        <w:pStyle w:val="SingleTxtG"/>
      </w:pPr>
      <w:r>
        <w:t>-</w:t>
      </w:r>
      <w:r>
        <w:tab/>
      </w:r>
      <w:r w:rsidR="007E2A9E">
        <w:t>Compétence de l’organisme examinateur;</w:t>
      </w:r>
    </w:p>
    <w:p w:rsidR="007E2A9E" w:rsidRDefault="009A446A" w:rsidP="007E2A9E">
      <w:pPr>
        <w:pStyle w:val="SingleTxtG"/>
        <w:rPr>
          <w:u w:val="single"/>
        </w:rPr>
      </w:pPr>
      <w:r>
        <w:t>-</w:t>
      </w:r>
      <w:r>
        <w:tab/>
      </w:r>
      <w:r w:rsidR="007E2A9E">
        <w:t xml:space="preserve">Spécifications des modalités de l’examen proposées par l’organisme examinateur, </w:t>
      </w:r>
      <w:r w:rsidR="007E2A9E">
        <w:rPr>
          <w:u w:val="single"/>
        </w:rPr>
        <w:t>y compris</w:t>
      </w:r>
      <w:r w:rsidRPr="009A446A">
        <w:rPr>
          <w:i/>
          <w:u w:val="single"/>
        </w:rPr>
        <w:t>, si nécessaire,</w:t>
      </w:r>
      <w:r w:rsidR="007E2A9E">
        <w:rPr>
          <w:u w:val="single"/>
        </w:rPr>
        <w:t xml:space="preserve"> de l’infrastructure et de l’organisation des examens électroniques conformément au paragraphe 1.8.3.12.5</w:t>
      </w:r>
      <w:r>
        <w:rPr>
          <w:u w:val="single"/>
        </w:rPr>
        <w:t xml:space="preserve">, </w:t>
      </w:r>
      <w:r w:rsidRPr="009A446A">
        <w:rPr>
          <w:i/>
          <w:u w:val="single"/>
        </w:rPr>
        <w:t>si ceux-ci doivent être effectués</w:t>
      </w:r>
      <w:r w:rsidR="007E2A9E">
        <w:t>;</w:t>
      </w:r>
    </w:p>
    <w:p w:rsidR="007E2A9E" w:rsidRDefault="009A446A" w:rsidP="007E2A9E">
      <w:pPr>
        <w:pStyle w:val="SingleTxtG"/>
      </w:pPr>
      <w:r>
        <w:t>-</w:t>
      </w:r>
      <w:r>
        <w:tab/>
      </w:r>
      <w:r w:rsidR="007E2A9E">
        <w:t>Mesures destinées à assurer l’impartialité des examens;</w:t>
      </w:r>
    </w:p>
    <w:p w:rsidR="007E2A9E" w:rsidRDefault="009A446A" w:rsidP="007E2A9E">
      <w:pPr>
        <w:pStyle w:val="SingleTxtG"/>
      </w:pPr>
      <w:r>
        <w:t>-</w:t>
      </w:r>
      <w:r>
        <w:tab/>
      </w:r>
      <w:r w:rsidR="007E2A9E">
        <w:t>Indépendance de l’organisme par rapport à toute personne physique ou morale employant des conseillers à la sécurité».</w:t>
      </w:r>
    </w:p>
    <w:p w:rsidR="006723DA" w:rsidRDefault="006723DA" w:rsidP="006723DA">
      <w:pPr>
        <w:pStyle w:val="SingleTxtG"/>
      </w:pPr>
      <w:r w:rsidRPr="00076B39">
        <w:rPr>
          <w:lang w:val="fr-FR"/>
        </w:rPr>
        <w:t>12.</w:t>
      </w:r>
      <w:r w:rsidRPr="00076B39">
        <w:rPr>
          <w:lang w:val="fr-FR"/>
        </w:rPr>
        <w:tab/>
      </w:r>
      <w:r>
        <w:t xml:space="preserve">Le paragraphe 1.8.3.12.2 du </w:t>
      </w:r>
      <w:r>
        <w:rPr>
          <w:lang w:val="x-none"/>
        </w:rPr>
        <w:t xml:space="preserve">RID/ADR/ADN </w:t>
      </w:r>
      <w:r>
        <w:t xml:space="preserve">pourrait être modifié comme suit </w:t>
      </w:r>
      <w:r>
        <w:rPr>
          <w:lang w:val="x-none"/>
        </w:rPr>
        <w:t>(le</w:t>
      </w:r>
      <w:r>
        <w:t> </w:t>
      </w:r>
      <w:r>
        <w:rPr>
          <w:lang w:val="x-none"/>
        </w:rPr>
        <w:t xml:space="preserve">nouveau </w:t>
      </w:r>
      <w:r>
        <w:t>texte</w:t>
      </w:r>
      <w:r>
        <w:rPr>
          <w:lang w:val="x-none"/>
        </w:rPr>
        <w:t xml:space="preserve"> est </w:t>
      </w:r>
      <w:r>
        <w:rPr>
          <w:u w:val="single"/>
        </w:rPr>
        <w:t>souligné</w:t>
      </w:r>
      <w:r>
        <w:t xml:space="preserve"> et les modifications par rapport au document -/2015/21 sont en </w:t>
      </w:r>
      <w:r w:rsidRPr="007E2A9E">
        <w:rPr>
          <w:i/>
          <w:u w:val="single"/>
        </w:rPr>
        <w:t>italiques</w:t>
      </w:r>
      <w:r>
        <w:rPr>
          <w:lang w:val="x-none"/>
        </w:rPr>
        <w:t>):</w:t>
      </w:r>
    </w:p>
    <w:p w:rsidR="006723DA" w:rsidRDefault="006723DA" w:rsidP="009E50BA">
      <w:pPr>
        <w:pStyle w:val="SingleTxtG"/>
      </w:pPr>
      <w:r>
        <w:rPr>
          <w:lang w:val="fr-FR"/>
        </w:rPr>
        <w:t>«</w:t>
      </w:r>
      <w:r w:rsidRPr="006723DA">
        <w:rPr>
          <w:i/>
          <w:szCs w:val="24"/>
          <w:u w:val="single"/>
        </w:rPr>
        <w:t>L’autorité compétente ou un organisme examinateur désigné par elle doit superviser tous les examens</w:t>
      </w:r>
      <w:r w:rsidRPr="006723DA">
        <w:rPr>
          <w:i/>
          <w:u w:val="single"/>
          <w:lang w:val="fr-FR"/>
        </w:rPr>
        <w:t>.</w:t>
      </w:r>
      <w:r>
        <w:rPr>
          <w:i/>
          <w:u w:val="single"/>
          <w:lang w:val="fr-FR"/>
        </w:rPr>
        <w:t xml:space="preserve"> </w:t>
      </w:r>
      <w:r w:rsidRPr="006723DA">
        <w:rPr>
          <w:i/>
          <w:u w:val="single"/>
          <w:lang w:val="fr-FR"/>
        </w:rPr>
        <w:t>Toute possibilité de manipulation ou de fraude doit être exclue</w:t>
      </w:r>
      <w:r>
        <w:rPr>
          <w:i/>
          <w:u w:val="single"/>
          <w:lang w:val="fr-FR"/>
        </w:rPr>
        <w:t xml:space="preserve"> autant que possible</w:t>
      </w:r>
      <w:r w:rsidRPr="006723DA">
        <w:rPr>
          <w:i/>
          <w:u w:val="single"/>
          <w:lang w:val="fr-FR"/>
        </w:rPr>
        <w:t>.</w:t>
      </w:r>
      <w:r>
        <w:rPr>
          <w:i/>
          <w:u w:val="single"/>
          <w:lang w:val="fr-FR"/>
        </w:rPr>
        <w:t xml:space="preserve"> </w:t>
      </w:r>
      <w:r w:rsidRPr="006723DA">
        <w:rPr>
          <w:i/>
          <w:u w:val="single"/>
          <w:lang w:val="fr-FR"/>
        </w:rPr>
        <w:t xml:space="preserve">L’authentification du candidat </w:t>
      </w:r>
      <w:r>
        <w:rPr>
          <w:i/>
          <w:u w:val="single"/>
          <w:lang w:val="fr-FR"/>
        </w:rPr>
        <w:t>doit être assurée.</w:t>
      </w:r>
      <w:r>
        <w:rPr>
          <w:lang w:val="fr-FR"/>
        </w:rPr>
        <w:t xml:space="preserve"> </w:t>
      </w:r>
      <w:r w:rsidRPr="001D04A4">
        <w:rPr>
          <w:lang w:val="fr-FR"/>
        </w:rPr>
        <w:t>L’utilisation pour l’épreuve écrite de documents autres que des règlements internationaux ou nationaux est interdite.</w:t>
      </w:r>
      <w:r>
        <w:rPr>
          <w:lang w:val="fr-FR"/>
        </w:rPr>
        <w:t xml:space="preserve"> </w:t>
      </w:r>
      <w:r w:rsidRPr="006723DA">
        <w:rPr>
          <w:i/>
          <w:szCs w:val="24"/>
          <w:u w:val="single"/>
        </w:rPr>
        <w:t>Tous les documents d’examen doivent être documentés et conservés sous forme imprimée ou dans un fichier électronique</w:t>
      </w:r>
      <w:r>
        <w:rPr>
          <w:i/>
          <w:szCs w:val="24"/>
          <w:u w:val="single"/>
        </w:rPr>
        <w:t>.</w:t>
      </w:r>
      <w:r>
        <w:rPr>
          <w:lang w:val="fr-FR"/>
        </w:rPr>
        <w:t>».</w:t>
      </w:r>
    </w:p>
    <w:p w:rsidR="009E50BA" w:rsidRDefault="009E50BA" w:rsidP="009E50BA">
      <w:pPr>
        <w:pStyle w:val="SingleTxtG"/>
      </w:pPr>
      <w:r w:rsidRPr="00076B39">
        <w:rPr>
          <w:lang w:val="fr-FR"/>
        </w:rPr>
        <w:t>13.</w:t>
      </w:r>
      <w:r w:rsidRPr="00076B39">
        <w:rPr>
          <w:lang w:val="fr-FR"/>
        </w:rPr>
        <w:tab/>
      </w:r>
      <w:r>
        <w:t>Le nouveau paragraphe 1.8.3.12.</w:t>
      </w:r>
      <w:r w:rsidR="00D01A25">
        <w:t>5</w:t>
      </w:r>
      <w:r>
        <w:t xml:space="preserve"> suivant pourrait être ajouté dans le </w:t>
      </w:r>
      <w:r>
        <w:rPr>
          <w:lang w:val="x-none"/>
        </w:rPr>
        <w:t>RID/</w:t>
      </w:r>
      <w:r>
        <w:t>l’</w:t>
      </w:r>
      <w:r>
        <w:rPr>
          <w:lang w:val="x-none"/>
        </w:rPr>
        <w:t>ADR/</w:t>
      </w:r>
      <w:r>
        <w:t>l’</w:t>
      </w:r>
      <w:r>
        <w:rPr>
          <w:lang w:val="x-none"/>
        </w:rPr>
        <w:t>ADN (le</w:t>
      </w:r>
      <w:r>
        <w:t> </w:t>
      </w:r>
      <w:r>
        <w:rPr>
          <w:lang w:val="x-none"/>
        </w:rPr>
        <w:t xml:space="preserve">nouveau </w:t>
      </w:r>
      <w:r>
        <w:t>texte</w:t>
      </w:r>
      <w:r>
        <w:rPr>
          <w:lang w:val="x-none"/>
        </w:rPr>
        <w:t xml:space="preserve"> est </w:t>
      </w:r>
      <w:r>
        <w:rPr>
          <w:u w:val="single"/>
        </w:rPr>
        <w:t>souligné</w:t>
      </w:r>
      <w:r>
        <w:t xml:space="preserve"> et les modifications par rapport au document -/2015/21 sont en </w:t>
      </w:r>
      <w:r w:rsidRPr="007E2A9E">
        <w:rPr>
          <w:i/>
          <w:u w:val="single"/>
        </w:rPr>
        <w:t>italiques</w:t>
      </w:r>
      <w:r>
        <w:rPr>
          <w:lang w:val="x-none"/>
        </w:rPr>
        <w:t>):</w:t>
      </w:r>
    </w:p>
    <w:p w:rsidR="009E50BA" w:rsidRDefault="009E50BA" w:rsidP="009E50BA">
      <w:pPr>
        <w:pStyle w:val="SingleTxtG"/>
        <w:rPr>
          <w:lang w:val="x-none"/>
        </w:rPr>
      </w:pPr>
      <w:r>
        <w:t>«</w:t>
      </w:r>
      <w:r>
        <w:rPr>
          <w:b/>
          <w:lang w:val="x-none"/>
        </w:rPr>
        <w:t>1.8.3.12.5</w:t>
      </w:r>
      <w:r>
        <w:rPr>
          <w:lang w:val="x-none"/>
        </w:rPr>
        <w:tab/>
      </w:r>
      <w:r>
        <w:t>Les examens écrits peuvent être effectués, en tout ou partie, sous forme d’examens électroniques, les réponses étant enregistrées et évaluées à l’aide de techniques électroniques de traitement des données, pour autant que les conditions suivantes soient remplies</w:t>
      </w:r>
      <w:r>
        <w:rPr>
          <w:lang w:val="x-none"/>
        </w:rPr>
        <w:t>:</w:t>
      </w:r>
    </w:p>
    <w:p w:rsidR="00074E12" w:rsidRPr="00D01A25" w:rsidRDefault="00074E12" w:rsidP="00074E12">
      <w:pPr>
        <w:pStyle w:val="SingleTxtG"/>
        <w:rPr>
          <w:i/>
        </w:rPr>
      </w:pPr>
      <w:r w:rsidRPr="00D01A25">
        <w:rPr>
          <w:i/>
          <w:strike/>
          <w:lang w:val="x-none"/>
        </w:rPr>
        <w:t>a)</w:t>
      </w:r>
      <w:r w:rsidRPr="00D01A25">
        <w:rPr>
          <w:i/>
          <w:strike/>
          <w:lang w:val="x-none"/>
        </w:rPr>
        <w:tab/>
      </w:r>
      <w:r w:rsidRPr="00D01A25">
        <w:rPr>
          <w:i/>
          <w:strike/>
        </w:rPr>
        <w:t>L’autorité compétente ou un organisme examinateur désigné par elle doit superviser tous les examens;</w:t>
      </w:r>
      <w:r w:rsidR="00D01A25" w:rsidRPr="00D01A25">
        <w:rPr>
          <w:i/>
          <w:strike/>
        </w:rPr>
        <w:t xml:space="preserve"> </w:t>
      </w:r>
      <w:r w:rsidR="00D01A25">
        <w:rPr>
          <w:i/>
        </w:rPr>
        <w:t>[voir 1.8.3.12.2]</w:t>
      </w:r>
    </w:p>
    <w:p w:rsidR="00D01A25" w:rsidRDefault="00074E12" w:rsidP="009E50BA">
      <w:pPr>
        <w:pStyle w:val="SingleTxtG"/>
      </w:pPr>
      <w:r w:rsidRPr="00D01A25">
        <w:rPr>
          <w:i/>
          <w:strike/>
          <w:lang w:val="x-none"/>
        </w:rPr>
        <w:t>b)</w:t>
      </w:r>
      <w:r w:rsidRPr="00D01A25">
        <w:rPr>
          <w:i/>
          <w:strike/>
        </w:rPr>
        <w:t xml:space="preserve"> </w:t>
      </w:r>
      <w:r>
        <w:rPr>
          <w:i/>
          <w:u w:val="single"/>
        </w:rPr>
        <w:t>a)</w:t>
      </w:r>
      <w:r>
        <w:rPr>
          <w:i/>
          <w:u w:val="single"/>
        </w:rPr>
        <w:tab/>
      </w:r>
      <w:r>
        <w:t xml:space="preserve">Le matériel informatique et le logiciel doivent être vérifiés et </w:t>
      </w:r>
      <w:r w:rsidRPr="00D01A25">
        <w:rPr>
          <w:i/>
          <w:strike/>
          <w:u w:val="single"/>
        </w:rPr>
        <w:t>approuvés</w:t>
      </w:r>
      <w:r w:rsidR="00D01A25">
        <w:rPr>
          <w:i/>
        </w:rPr>
        <w:t xml:space="preserve"> </w:t>
      </w:r>
      <w:r w:rsidR="00D01A25" w:rsidRPr="00D01A25">
        <w:rPr>
          <w:i/>
          <w:u w:val="single"/>
        </w:rPr>
        <w:t>acceptés</w:t>
      </w:r>
      <w:r>
        <w:t xml:space="preserve"> par l’autorité compétente</w:t>
      </w:r>
      <w:r w:rsidR="00D01A25">
        <w:t xml:space="preserve"> </w:t>
      </w:r>
      <w:r w:rsidR="00D01A25" w:rsidRPr="00D01A25">
        <w:rPr>
          <w:i/>
          <w:u w:val="single"/>
          <w:lang w:val="fr-FR"/>
        </w:rPr>
        <w:t>ou par un organisme examinateur désigné par elle</w:t>
      </w:r>
      <w:r>
        <w:t xml:space="preserve">. </w:t>
      </w:r>
      <w:r w:rsidRPr="00D01A25">
        <w:rPr>
          <w:i/>
          <w:strike/>
        </w:rPr>
        <w:t xml:space="preserve">Le fonctionnement de l’application et de ses composants techniques doit être soumis à des contrôles de qualité réguliers. Toute possibilité de manipulation ou de fraude doit être exclue. </w:t>
      </w:r>
      <w:r w:rsidR="00D01A25">
        <w:rPr>
          <w:i/>
        </w:rPr>
        <w:t>[</w:t>
      </w:r>
      <w:proofErr w:type="gramStart"/>
      <w:r w:rsidR="00D01A25">
        <w:rPr>
          <w:i/>
        </w:rPr>
        <w:t>voir</w:t>
      </w:r>
      <w:proofErr w:type="gramEnd"/>
      <w:r w:rsidR="00D01A25">
        <w:rPr>
          <w:i/>
        </w:rPr>
        <w:t xml:space="preserve"> 1.8.3.12.2]</w:t>
      </w:r>
    </w:p>
    <w:p w:rsidR="009E50BA" w:rsidRDefault="00D01A25" w:rsidP="009E50BA">
      <w:pPr>
        <w:pStyle w:val="SingleTxtG"/>
      </w:pPr>
      <w:r w:rsidRPr="00D01A25">
        <w:rPr>
          <w:i/>
          <w:u w:val="single"/>
        </w:rPr>
        <w:t>b)</w:t>
      </w:r>
      <w:r>
        <w:tab/>
      </w:r>
      <w:r w:rsidR="00074E12">
        <w:t xml:space="preserve">Le bon fonctionnement technique doit être assuré. Des dispositions doivent être prises en ce qui concerne les modalités de poursuite de l’examen en cas de dysfonctionnement des dispositifs et applications. Les périphériques de saisie ne doivent disposer d’aucun système d’assistance </w:t>
      </w:r>
      <w:r w:rsidRPr="00D01A25">
        <w:rPr>
          <w:i/>
          <w:u w:val="single"/>
        </w:rPr>
        <w:t>(comme par exemple une fonction de recherche électronique)</w:t>
      </w:r>
      <w:r>
        <w:t xml:space="preserve"> </w:t>
      </w:r>
      <w:r w:rsidR="00074E12">
        <w:t>et les dispositifs ne doivent pas pouvoir communiquer entre eux;</w:t>
      </w:r>
    </w:p>
    <w:p w:rsidR="00D01A25" w:rsidRDefault="00D01A25" w:rsidP="00D01A25">
      <w:pPr>
        <w:pStyle w:val="SingleTxtG"/>
        <w:rPr>
          <w:i/>
        </w:rPr>
      </w:pPr>
      <w:r w:rsidRPr="00D01A25">
        <w:rPr>
          <w:i/>
          <w:strike/>
          <w:lang w:val="x-none"/>
        </w:rPr>
        <w:t>c)</w:t>
      </w:r>
      <w:r w:rsidRPr="00D01A25">
        <w:rPr>
          <w:i/>
          <w:strike/>
          <w:lang w:val="x-none"/>
        </w:rPr>
        <w:tab/>
      </w:r>
      <w:r w:rsidRPr="00D01A25">
        <w:rPr>
          <w:i/>
          <w:strike/>
        </w:rPr>
        <w:t xml:space="preserve">Tous les </w:t>
      </w:r>
      <w:r w:rsidRPr="00D01A25">
        <w:rPr>
          <w:i/>
          <w:strike/>
          <w:lang w:val="x-none"/>
        </w:rPr>
        <w:t xml:space="preserve">candidats </w:t>
      </w:r>
      <w:r w:rsidRPr="00D01A25">
        <w:rPr>
          <w:i/>
          <w:strike/>
        </w:rPr>
        <w:t>qui se présentent à l’examen doivent utiliser les mêmes périphériques de saisie et les mêmes applications. Il faut s’assurer que les candidats ont appris à utiliser ces dispositifs et applications avant l’examen;</w:t>
      </w:r>
      <w:r>
        <w:rPr>
          <w:i/>
          <w:strike/>
        </w:rPr>
        <w:t xml:space="preserve"> </w:t>
      </w:r>
      <w:r w:rsidRPr="00D01A25">
        <w:rPr>
          <w:i/>
        </w:rPr>
        <w:t>[</w:t>
      </w:r>
      <w:r>
        <w:rPr>
          <w:i/>
        </w:rPr>
        <w:t>Trop détaillé pour le RID/l’ADR/l’ADN</w:t>
      </w:r>
      <w:r w:rsidRPr="00D01A25">
        <w:rPr>
          <w:i/>
        </w:rPr>
        <w:t>]</w:t>
      </w:r>
    </w:p>
    <w:p w:rsidR="00D01A25" w:rsidRPr="00D01A25" w:rsidRDefault="00D01A25" w:rsidP="00D01A25">
      <w:pPr>
        <w:pStyle w:val="SingleTxtG"/>
        <w:rPr>
          <w:i/>
          <w:strike/>
        </w:rPr>
      </w:pPr>
      <w:r w:rsidRPr="00D01A25">
        <w:rPr>
          <w:i/>
          <w:strike/>
          <w:lang w:val="x-none"/>
        </w:rPr>
        <w:t>d)</w:t>
      </w:r>
      <w:r w:rsidRPr="00D01A25">
        <w:rPr>
          <w:i/>
          <w:strike/>
          <w:lang w:val="x-none"/>
        </w:rPr>
        <w:tab/>
      </w:r>
      <w:r w:rsidRPr="00D01A25">
        <w:rPr>
          <w:i/>
          <w:strike/>
        </w:rPr>
        <w:t>L’authentification du candidat sur le dispositif utilisé et l’attribution permanente et sans ambiguïté d’exercices et de réponses doivent être assurées;</w:t>
      </w:r>
      <w:r w:rsidRPr="00D01A25">
        <w:rPr>
          <w:i/>
        </w:rPr>
        <w:t xml:space="preserve"> </w:t>
      </w:r>
      <w:r>
        <w:rPr>
          <w:i/>
        </w:rPr>
        <w:t>[voir 1.8.3.12.2]</w:t>
      </w:r>
    </w:p>
    <w:p w:rsidR="00D01A25" w:rsidRDefault="00D01A25" w:rsidP="00D01A25">
      <w:pPr>
        <w:pStyle w:val="SingleTxtG"/>
      </w:pPr>
      <w:r w:rsidRPr="00D01A25">
        <w:rPr>
          <w:i/>
          <w:strike/>
          <w:lang w:val="x-none"/>
        </w:rPr>
        <w:lastRenderedPageBreak/>
        <w:t>e)</w:t>
      </w:r>
      <w:r>
        <w:t xml:space="preserve"> </w:t>
      </w:r>
      <w:r w:rsidR="00673BB2" w:rsidRPr="00673BB2">
        <w:rPr>
          <w:i/>
          <w:u w:val="single"/>
        </w:rPr>
        <w:t>c)</w:t>
      </w:r>
      <w:r>
        <w:rPr>
          <w:lang w:val="x-none"/>
        </w:rPr>
        <w:tab/>
      </w:r>
      <w:r>
        <w:t xml:space="preserve">Les contributions et actions de chaque candidat doivent être enregistrées. La détermination des résultats doit être transparente. </w:t>
      </w:r>
      <w:r w:rsidRPr="00673BB2">
        <w:rPr>
          <w:i/>
          <w:strike/>
        </w:rPr>
        <w:t>Tous les documents d’examen doivent être documentés et conservés sous forme imprimée ou dans un fichier électronique</w:t>
      </w:r>
      <w:r w:rsidR="00673BB2">
        <w:rPr>
          <w:i/>
          <w:strike/>
        </w:rPr>
        <w:t xml:space="preserve"> </w:t>
      </w:r>
      <w:r w:rsidR="00673BB2">
        <w:rPr>
          <w:i/>
        </w:rPr>
        <w:t>[voir 1.8.3.12.2]</w:t>
      </w:r>
      <w:r>
        <w:t>».</w:t>
      </w:r>
    </w:p>
    <w:p w:rsidR="00D01A25" w:rsidRDefault="00673BB2" w:rsidP="00D01A25">
      <w:pPr>
        <w:pStyle w:val="SingleTxtG"/>
        <w:rPr>
          <w:lang w:val="fr-FR"/>
        </w:rPr>
      </w:pPr>
      <w:r w:rsidRPr="00673BB2">
        <w:rPr>
          <w:lang w:val="fr-FR"/>
        </w:rPr>
        <w:t>1</w:t>
      </w:r>
      <w:r>
        <w:rPr>
          <w:lang w:val="fr-FR"/>
        </w:rPr>
        <w:t>4</w:t>
      </w:r>
      <w:r w:rsidRPr="00673BB2">
        <w:rPr>
          <w:lang w:val="fr-FR"/>
        </w:rPr>
        <w:t>.</w:t>
      </w:r>
      <w:r w:rsidRPr="00673BB2">
        <w:rPr>
          <w:lang w:val="fr-FR"/>
        </w:rPr>
        <w:tab/>
        <w:t>Les dispositions de la section 8.2.2 de l’ADR relatives à l’examen marquant la fin du cours de formation des conducteur</w:t>
      </w:r>
      <w:r>
        <w:rPr>
          <w:lang w:val="fr-FR"/>
        </w:rPr>
        <w:t>s et celles de la section 8.2.2</w:t>
      </w:r>
      <w:r w:rsidRPr="00673BB2">
        <w:rPr>
          <w:lang w:val="fr-FR"/>
        </w:rPr>
        <w:t xml:space="preserve"> de l’ADN concernant l’examen marquant la fin du cours de formation des experts prescrivent également un examen écrit. Le Groupe de travail des transports de marchandises dangereuses (WP.15) et le Comité de sécurité de l’ADN pourraient examiner la possibilité d’y introduire également des examens électroniques. L’Allemagne serait disposée à soumettre une proposition allant dans ce sens au (WP.15) et au Comité de sécurité de l’ADN.</w:t>
      </w:r>
    </w:p>
    <w:p w:rsidR="00673BB2" w:rsidRPr="00673BB2" w:rsidRDefault="00673BB2" w:rsidP="00673BB2">
      <w:pPr>
        <w:pStyle w:val="SingleTxtG"/>
        <w:spacing w:before="240" w:after="0"/>
        <w:jc w:val="center"/>
        <w:rPr>
          <w:u w:val="single"/>
        </w:rPr>
      </w:pPr>
      <w:r>
        <w:rPr>
          <w:u w:val="single"/>
        </w:rPr>
        <w:tab/>
      </w:r>
      <w:r>
        <w:rPr>
          <w:u w:val="single"/>
        </w:rPr>
        <w:tab/>
      </w:r>
      <w:r>
        <w:rPr>
          <w:u w:val="single"/>
        </w:rPr>
        <w:tab/>
      </w:r>
    </w:p>
    <w:sectPr w:rsidR="00673BB2" w:rsidRPr="00673BB2" w:rsidSect="009516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C5" w:rsidRDefault="00B50EC5"/>
  </w:endnote>
  <w:endnote w:type="continuationSeparator" w:id="0">
    <w:p w:rsidR="00B50EC5" w:rsidRDefault="00B50EC5"/>
  </w:endnote>
  <w:endnote w:type="continuationNotice" w:id="1">
    <w:p w:rsidR="00B50EC5" w:rsidRDefault="00B50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C5" w:rsidRPr="00453504" w:rsidRDefault="00B50EC5" w:rsidP="00453504">
    <w:pPr>
      <w:pStyle w:val="Footer"/>
    </w:pPr>
    <w:r>
      <w:rPr>
        <w:rStyle w:val="PageNumber"/>
      </w:rPr>
      <w:fldChar w:fldCharType="begin"/>
    </w:r>
    <w:r>
      <w:rPr>
        <w:rStyle w:val="PageNumber"/>
      </w:rPr>
      <w:instrText xml:space="preserve"> PAGE </w:instrText>
    </w:r>
    <w:r>
      <w:rPr>
        <w:rStyle w:val="PageNumber"/>
      </w:rPr>
      <w:fldChar w:fldCharType="separate"/>
    </w:r>
    <w:r w:rsidR="004671C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C5" w:rsidRPr="009516B4" w:rsidRDefault="00B50EC5">
    <w:pPr>
      <w:pStyle w:val="Footer"/>
      <w:jc w:val="right"/>
      <w:rPr>
        <w:b/>
        <w:sz w:val="18"/>
        <w:szCs w:val="18"/>
      </w:rPr>
    </w:pPr>
    <w:r w:rsidRPr="009516B4">
      <w:rPr>
        <w:b/>
        <w:sz w:val="18"/>
        <w:szCs w:val="18"/>
      </w:rPr>
      <w:fldChar w:fldCharType="begin"/>
    </w:r>
    <w:r w:rsidRPr="009516B4">
      <w:rPr>
        <w:b/>
        <w:sz w:val="18"/>
        <w:szCs w:val="18"/>
      </w:rPr>
      <w:instrText xml:space="preserve"> PAGE   \* MERGEFORMAT </w:instrText>
    </w:r>
    <w:r w:rsidRPr="009516B4">
      <w:rPr>
        <w:b/>
        <w:sz w:val="18"/>
        <w:szCs w:val="18"/>
      </w:rPr>
      <w:fldChar w:fldCharType="separate"/>
    </w:r>
    <w:r w:rsidR="004671C6">
      <w:rPr>
        <w:b/>
        <w:noProof/>
        <w:sz w:val="18"/>
        <w:szCs w:val="18"/>
      </w:rPr>
      <w:t>5</w:t>
    </w:r>
    <w:r w:rsidRPr="009516B4">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C5" w:rsidRDefault="00B50EC5">
    <w:pPr>
      <w:pStyle w:val="Footer"/>
    </w:pPr>
    <w:r>
      <w:rPr>
        <w:noProof/>
        <w:lang w:val="en-GB" w:eastAsia="en-GB"/>
      </w:rPr>
      <w:drawing>
        <wp:anchor distT="0" distB="0" distL="114300" distR="114300" simplePos="0" relativeHeight="251658752" behindDoc="0" locked="1" layoutInCell="1" allowOverlap="1" wp14:anchorId="1CF0123D" wp14:editId="40F863F5">
          <wp:simplePos x="0" y="0"/>
          <wp:positionH relativeFrom="column">
            <wp:posOffset>5148580</wp:posOffset>
          </wp:positionH>
          <wp:positionV relativeFrom="paragraph">
            <wp:posOffset>-93980</wp:posOffset>
          </wp:positionV>
          <wp:extent cx="930275" cy="230505"/>
          <wp:effectExtent l="0" t="0" r="3175" b="0"/>
          <wp:wrapNone/>
          <wp:docPr id="7"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C5" w:rsidRPr="00D27D5E" w:rsidRDefault="00B50EC5" w:rsidP="00D27D5E">
      <w:pPr>
        <w:tabs>
          <w:tab w:val="right" w:pos="2155"/>
        </w:tabs>
        <w:spacing w:after="80"/>
        <w:ind w:left="680"/>
        <w:rPr>
          <w:u w:val="single"/>
        </w:rPr>
      </w:pPr>
      <w:r>
        <w:rPr>
          <w:u w:val="single"/>
        </w:rPr>
        <w:tab/>
      </w:r>
    </w:p>
  </w:footnote>
  <w:footnote w:type="continuationSeparator" w:id="0">
    <w:p w:rsidR="00B50EC5" w:rsidRPr="00A80554" w:rsidRDefault="00B50EC5" w:rsidP="00A80554">
      <w:pPr>
        <w:tabs>
          <w:tab w:val="left" w:pos="2155"/>
        </w:tabs>
        <w:spacing w:after="80"/>
        <w:ind w:left="680"/>
        <w:rPr>
          <w:u w:val="single"/>
        </w:rPr>
      </w:pPr>
      <w:r w:rsidRPr="00A80554">
        <w:rPr>
          <w:u w:val="single"/>
        </w:rPr>
        <w:tab/>
      </w:r>
    </w:p>
  </w:footnote>
  <w:footnote w:type="continuationNotice" w:id="1">
    <w:p w:rsidR="00B50EC5" w:rsidRDefault="00B50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C5" w:rsidRPr="009972FE" w:rsidRDefault="00B50EC5" w:rsidP="00036A48">
    <w:pPr>
      <w:pBdr>
        <w:bottom w:val="single" w:sz="4" w:space="1" w:color="auto"/>
      </w:pBdr>
      <w:rPr>
        <w:b/>
        <w:sz w:val="24"/>
        <w:szCs w:val="24"/>
      </w:rPr>
    </w:pPr>
    <w:r>
      <w:rPr>
        <w:noProof/>
        <w:lang w:val="en-GB" w:eastAsia="en-GB"/>
      </w:rPr>
      <mc:AlternateContent>
        <mc:Choice Requires="wps">
          <w:drawing>
            <wp:anchor distT="0" distB="0" distL="114300" distR="114300" simplePos="0" relativeHeight="251657728" behindDoc="0" locked="0" layoutInCell="1" allowOverlap="1" wp14:anchorId="267B4101" wp14:editId="61799D20">
              <wp:simplePos x="0" y="0"/>
              <wp:positionH relativeFrom="page">
                <wp:posOffset>9791700</wp:posOffset>
              </wp:positionH>
              <wp:positionV relativeFrom="margin">
                <wp:posOffset>0</wp:posOffset>
              </wp:positionV>
              <wp:extent cx="215900" cy="6120130"/>
              <wp:effectExtent l="0" t="0" r="317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EC5" w:rsidRPr="00837B9A" w:rsidRDefault="00B50EC5" w:rsidP="00453504">
                          <w:pPr>
                            <w:pStyle w:val="Header"/>
                          </w:pPr>
                          <w:r>
                            <w:t>INF.6</w:t>
                          </w:r>
                        </w:p>
                        <w:p w:rsidR="00B50EC5" w:rsidRDefault="00B50EC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nTdw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" stroked="f">
              <v:textbox style="layout-flow:vertical" inset="0,0,0,0">
                <w:txbxContent>
                  <w:p w:rsidR="00B50EC5" w:rsidRPr="00837B9A" w:rsidRDefault="00B50EC5" w:rsidP="00453504">
                    <w:pPr>
                      <w:pStyle w:val="En-tte"/>
                    </w:pPr>
                    <w:r>
                      <w:t>INF.6</w:t>
                    </w:r>
                  </w:p>
                  <w:p w:rsidR="00B50EC5" w:rsidRDefault="00B50EC5"/>
                </w:txbxContent>
              </v:textbox>
              <w10:wrap anchorx="page" anchory="margin"/>
            </v:shape>
          </w:pict>
        </mc:Fallback>
      </mc:AlternateContent>
    </w:r>
    <w:r>
      <w:rPr>
        <w:b/>
        <w:sz w:val="24"/>
        <w:szCs w:val="24"/>
      </w:rPr>
      <w:t>INF.</w:t>
    </w:r>
    <w:r w:rsidR="004671C6">
      <w:rPr>
        <w:b/>
        <w:sz w:val="24"/>
        <w:szCs w:val="24"/>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C5" w:rsidRPr="00FD17E8" w:rsidRDefault="00B50EC5" w:rsidP="00036A48">
    <w:pPr>
      <w:pBdr>
        <w:bottom w:val="single" w:sz="4" w:space="1" w:color="auto"/>
      </w:pBdr>
      <w:jc w:val="right"/>
      <w:rPr>
        <w:b/>
        <w:sz w:val="24"/>
        <w:szCs w:val="24"/>
      </w:rPr>
    </w:pPr>
    <w:r>
      <w:rPr>
        <w:b/>
        <w:noProof/>
        <w:sz w:val="24"/>
        <w:szCs w:val="24"/>
        <w:lang w:val="en-GB" w:eastAsia="en-GB"/>
      </w:rPr>
      <mc:AlternateContent>
        <mc:Choice Requires="wps">
          <w:drawing>
            <wp:anchor distT="0" distB="0" distL="114300" distR="114300" simplePos="0" relativeHeight="251656704" behindDoc="0" locked="0" layoutInCell="1" allowOverlap="1" wp14:anchorId="035D71C1" wp14:editId="32E19C55">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EC5" w:rsidRPr="00837B9A" w:rsidRDefault="00B50EC5" w:rsidP="00453504">
                          <w:pPr>
                            <w:pStyle w:val="Header"/>
                            <w:jc w:val="right"/>
                          </w:pPr>
                          <w:r>
                            <w:t>INF.6</w:t>
                          </w:r>
                        </w:p>
                        <w:p w:rsidR="00B50EC5" w:rsidRDefault="00B50EC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6fQIAAAYF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7k&#10;NwALFtlp9gy+sBpkA4nhYwJBWDHqYDAr7L4eiOUYyXcKvBWmeAzsGOzGgCjaaJhvuDyEGz9M+8FY&#10;sW8AeXCv0nfgv1pEa7ywOLkWhi3WcPowhGm+fI5ZL5+v1Q8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GEkPun0C&#10;AAAGBQAADgAAAAAAAAAAAAAAAAAuAgAAZHJzL2Uyb0RvYy54bWxQSwECLQAUAAYACAAAACEAWb6k&#10;Y+EAAAAKAQAADwAAAAAAAAAAAAAAAADXBAAAZHJzL2Rvd25yZXYueG1sUEsFBgAAAAAEAAQA8wAA&#10;AOUFAAAAAA==&#10;" stroked="f">
              <v:textbox style="layout-flow:vertical" inset="0,0,0,0">
                <w:txbxContent>
                  <w:p w:rsidR="00B50EC5" w:rsidRPr="00837B9A" w:rsidRDefault="00B50EC5" w:rsidP="00453504">
                    <w:pPr>
                      <w:pStyle w:val="En-tte"/>
                      <w:jc w:val="right"/>
                    </w:pPr>
                    <w:r>
                      <w:t>INF.6</w:t>
                    </w:r>
                  </w:p>
                  <w:p w:rsidR="00B50EC5" w:rsidRDefault="00B50EC5"/>
                </w:txbxContent>
              </v:textbox>
              <w10:wrap anchorx="page" anchory="margin"/>
            </v:shape>
          </w:pict>
        </mc:Fallback>
      </mc:AlternateContent>
    </w:r>
    <w:r w:rsidRPr="00FD17E8">
      <w:rPr>
        <w:b/>
        <w:sz w:val="24"/>
        <w:szCs w:val="24"/>
      </w:rPr>
      <w:t>INF.</w:t>
    </w:r>
    <w:r w:rsidR="004671C6">
      <w:rPr>
        <w:b/>
        <w:sz w:val="24"/>
        <w:szCs w:val="24"/>
      </w:rPr>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C5" w:rsidRPr="00FD17E8" w:rsidRDefault="00B50EC5" w:rsidP="009516B4">
    <w:pPr>
      <w:pStyle w:val="Header"/>
      <w:jc w:val="right"/>
      <w:rPr>
        <w:sz w:val="24"/>
        <w:szCs w:val="24"/>
      </w:rPr>
    </w:pPr>
    <w:r>
      <w:rPr>
        <w:sz w:val="24"/>
        <w:szCs w:val="24"/>
      </w:rPr>
      <w:t>INF.</w:t>
    </w:r>
    <w:r w:rsidR="004671C6">
      <w:rPr>
        <w:sz w:val="24"/>
        <w:szCs w:val="24"/>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1494"/>
        </w:tabs>
        <w:ind w:left="1494" w:hanging="360"/>
      </w:pPr>
      <w:rPr>
        <w:rFonts w:ascii="Wingdings 2" w:hAnsi="Wingdings 2" w:cs="Symbol"/>
      </w:rPr>
    </w:lvl>
    <w:lvl w:ilvl="1">
      <w:start w:val="1"/>
      <w:numFmt w:val="bullet"/>
      <w:lvlText w:val="◦"/>
      <w:lvlJc w:val="left"/>
      <w:pPr>
        <w:tabs>
          <w:tab w:val="num" w:pos="1854"/>
        </w:tabs>
        <w:ind w:left="1854" w:hanging="360"/>
      </w:pPr>
      <w:rPr>
        <w:rFonts w:ascii="OpenSymbol" w:hAnsi="OpenSymbol" w:cs="Arial"/>
      </w:rPr>
    </w:lvl>
    <w:lvl w:ilvl="2">
      <w:start w:val="1"/>
      <w:numFmt w:val="bullet"/>
      <w:lvlText w:val="▪"/>
      <w:lvlJc w:val="left"/>
      <w:pPr>
        <w:tabs>
          <w:tab w:val="num" w:pos="2214"/>
        </w:tabs>
        <w:ind w:left="2214" w:hanging="360"/>
      </w:pPr>
      <w:rPr>
        <w:rFonts w:ascii="OpenSymbol" w:hAnsi="OpenSymbol" w:cs="Arial"/>
      </w:rPr>
    </w:lvl>
    <w:lvl w:ilvl="3">
      <w:start w:val="1"/>
      <w:numFmt w:val="bullet"/>
      <w:lvlText w:val=""/>
      <w:lvlJc w:val="left"/>
      <w:pPr>
        <w:tabs>
          <w:tab w:val="num" w:pos="2574"/>
        </w:tabs>
        <w:ind w:left="2574" w:hanging="360"/>
      </w:pPr>
      <w:rPr>
        <w:rFonts w:ascii="Wingdings 2" w:hAnsi="Wingdings 2" w:cs="Symbol"/>
      </w:rPr>
    </w:lvl>
    <w:lvl w:ilvl="4">
      <w:start w:val="1"/>
      <w:numFmt w:val="bullet"/>
      <w:lvlText w:val="◦"/>
      <w:lvlJc w:val="left"/>
      <w:pPr>
        <w:tabs>
          <w:tab w:val="num" w:pos="2934"/>
        </w:tabs>
        <w:ind w:left="2934" w:hanging="360"/>
      </w:pPr>
      <w:rPr>
        <w:rFonts w:ascii="OpenSymbol" w:hAnsi="OpenSymbol" w:cs="Arial"/>
      </w:rPr>
    </w:lvl>
    <w:lvl w:ilvl="5">
      <w:start w:val="1"/>
      <w:numFmt w:val="bullet"/>
      <w:lvlText w:val="▪"/>
      <w:lvlJc w:val="left"/>
      <w:pPr>
        <w:tabs>
          <w:tab w:val="num" w:pos="3294"/>
        </w:tabs>
        <w:ind w:left="3294" w:hanging="360"/>
      </w:pPr>
      <w:rPr>
        <w:rFonts w:ascii="OpenSymbol" w:hAnsi="OpenSymbol" w:cs="Arial"/>
      </w:rPr>
    </w:lvl>
    <w:lvl w:ilvl="6">
      <w:start w:val="1"/>
      <w:numFmt w:val="bullet"/>
      <w:lvlText w:val=""/>
      <w:lvlJc w:val="left"/>
      <w:pPr>
        <w:tabs>
          <w:tab w:val="num" w:pos="3654"/>
        </w:tabs>
        <w:ind w:left="3654" w:hanging="360"/>
      </w:pPr>
      <w:rPr>
        <w:rFonts w:ascii="Wingdings 2" w:hAnsi="Wingdings 2" w:cs="Symbol"/>
      </w:rPr>
    </w:lvl>
    <w:lvl w:ilvl="7">
      <w:start w:val="1"/>
      <w:numFmt w:val="bullet"/>
      <w:lvlText w:val="◦"/>
      <w:lvlJc w:val="left"/>
      <w:pPr>
        <w:tabs>
          <w:tab w:val="num" w:pos="4014"/>
        </w:tabs>
        <w:ind w:left="4014" w:hanging="360"/>
      </w:pPr>
      <w:rPr>
        <w:rFonts w:ascii="OpenSymbol" w:hAnsi="OpenSymbol" w:cs="Arial"/>
      </w:rPr>
    </w:lvl>
    <w:lvl w:ilvl="8">
      <w:start w:val="1"/>
      <w:numFmt w:val="bullet"/>
      <w:lvlText w:val="▪"/>
      <w:lvlJc w:val="left"/>
      <w:pPr>
        <w:tabs>
          <w:tab w:val="num" w:pos="4374"/>
        </w:tabs>
        <w:ind w:left="4374" w:hanging="360"/>
      </w:pPr>
      <w:rPr>
        <w:rFonts w:ascii="OpenSymbol" w:hAnsi="OpenSymbol" w:cs="Arial"/>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5E5E1402"/>
    <w:multiLevelType w:val="hybridMultilevel"/>
    <w:tmpl w:val="1D6037AA"/>
    <w:lvl w:ilvl="0" w:tplc="0AEC72BC">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1047"/>
    <w:rsid w:val="00016AC5"/>
    <w:rsid w:val="00024671"/>
    <w:rsid w:val="00030ADE"/>
    <w:rsid w:val="000312C0"/>
    <w:rsid w:val="00036A48"/>
    <w:rsid w:val="00042BB8"/>
    <w:rsid w:val="00064D8C"/>
    <w:rsid w:val="00074E12"/>
    <w:rsid w:val="00076B39"/>
    <w:rsid w:val="000964C7"/>
    <w:rsid w:val="000E0246"/>
    <w:rsid w:val="000E7601"/>
    <w:rsid w:val="000F41F2"/>
    <w:rsid w:val="00104EFA"/>
    <w:rsid w:val="00121429"/>
    <w:rsid w:val="001329E3"/>
    <w:rsid w:val="00135C0D"/>
    <w:rsid w:val="00140F54"/>
    <w:rsid w:val="00154636"/>
    <w:rsid w:val="00160540"/>
    <w:rsid w:val="0017182C"/>
    <w:rsid w:val="00177007"/>
    <w:rsid w:val="00186EE9"/>
    <w:rsid w:val="00192EEB"/>
    <w:rsid w:val="001A20FB"/>
    <w:rsid w:val="001A7981"/>
    <w:rsid w:val="001B6F40"/>
    <w:rsid w:val="001D7F8A"/>
    <w:rsid w:val="001E3FEB"/>
    <w:rsid w:val="001E4A02"/>
    <w:rsid w:val="001F43B4"/>
    <w:rsid w:val="00217EF9"/>
    <w:rsid w:val="00223B89"/>
    <w:rsid w:val="00225A8C"/>
    <w:rsid w:val="00226202"/>
    <w:rsid w:val="00232C61"/>
    <w:rsid w:val="002332A9"/>
    <w:rsid w:val="0024382C"/>
    <w:rsid w:val="00262BF7"/>
    <w:rsid w:val="002659F1"/>
    <w:rsid w:val="00265DFB"/>
    <w:rsid w:val="0026718D"/>
    <w:rsid w:val="00271C7C"/>
    <w:rsid w:val="00287E79"/>
    <w:rsid w:val="002928F9"/>
    <w:rsid w:val="002A5D07"/>
    <w:rsid w:val="002B6B55"/>
    <w:rsid w:val="002C5631"/>
    <w:rsid w:val="002F288C"/>
    <w:rsid w:val="003016B7"/>
    <w:rsid w:val="00326433"/>
    <w:rsid w:val="00330F9C"/>
    <w:rsid w:val="00340C35"/>
    <w:rsid w:val="003515AA"/>
    <w:rsid w:val="00370E0F"/>
    <w:rsid w:val="00374106"/>
    <w:rsid w:val="003976D5"/>
    <w:rsid w:val="003D1DF3"/>
    <w:rsid w:val="003D46A7"/>
    <w:rsid w:val="003D5355"/>
    <w:rsid w:val="003D6C68"/>
    <w:rsid w:val="003D76E4"/>
    <w:rsid w:val="00414425"/>
    <w:rsid w:val="004159D0"/>
    <w:rsid w:val="004249E7"/>
    <w:rsid w:val="00426DA1"/>
    <w:rsid w:val="00434168"/>
    <w:rsid w:val="00450B3B"/>
    <w:rsid w:val="00453504"/>
    <w:rsid w:val="00463DB3"/>
    <w:rsid w:val="004671C6"/>
    <w:rsid w:val="0047289E"/>
    <w:rsid w:val="00475DF9"/>
    <w:rsid w:val="00484BEB"/>
    <w:rsid w:val="00497A70"/>
    <w:rsid w:val="00497BFE"/>
    <w:rsid w:val="004A4406"/>
    <w:rsid w:val="004B776B"/>
    <w:rsid w:val="004D53B7"/>
    <w:rsid w:val="004E49BA"/>
    <w:rsid w:val="00543D5E"/>
    <w:rsid w:val="00552C55"/>
    <w:rsid w:val="00571F41"/>
    <w:rsid w:val="0059410B"/>
    <w:rsid w:val="00595BE4"/>
    <w:rsid w:val="005A2451"/>
    <w:rsid w:val="005B738F"/>
    <w:rsid w:val="005B76A3"/>
    <w:rsid w:val="005E5D1F"/>
    <w:rsid w:val="00603391"/>
    <w:rsid w:val="006049FD"/>
    <w:rsid w:val="00611D43"/>
    <w:rsid w:val="00612D48"/>
    <w:rsid w:val="00613A10"/>
    <w:rsid w:val="00616B45"/>
    <w:rsid w:val="00630D9B"/>
    <w:rsid w:val="00631953"/>
    <w:rsid w:val="006360D2"/>
    <w:rsid w:val="006439EC"/>
    <w:rsid w:val="0064420B"/>
    <w:rsid w:val="006723DA"/>
    <w:rsid w:val="00673AC4"/>
    <w:rsid w:val="00673BB2"/>
    <w:rsid w:val="006A047B"/>
    <w:rsid w:val="006B4590"/>
    <w:rsid w:val="006B7AD4"/>
    <w:rsid w:val="006C340C"/>
    <w:rsid w:val="006E5FC7"/>
    <w:rsid w:val="0070347C"/>
    <w:rsid w:val="007176C1"/>
    <w:rsid w:val="0072518A"/>
    <w:rsid w:val="00732D23"/>
    <w:rsid w:val="00783F37"/>
    <w:rsid w:val="00790641"/>
    <w:rsid w:val="00790F2F"/>
    <w:rsid w:val="007A6076"/>
    <w:rsid w:val="007E2A9E"/>
    <w:rsid w:val="007F55CB"/>
    <w:rsid w:val="007F730C"/>
    <w:rsid w:val="00812C1A"/>
    <w:rsid w:val="00825E2F"/>
    <w:rsid w:val="008317F6"/>
    <w:rsid w:val="008352A4"/>
    <w:rsid w:val="00835710"/>
    <w:rsid w:val="00837B9A"/>
    <w:rsid w:val="00844750"/>
    <w:rsid w:val="008B44C4"/>
    <w:rsid w:val="008B7879"/>
    <w:rsid w:val="008C2211"/>
    <w:rsid w:val="008D349C"/>
    <w:rsid w:val="008D3919"/>
    <w:rsid w:val="008E7FAE"/>
    <w:rsid w:val="008F30C3"/>
    <w:rsid w:val="00907FFE"/>
    <w:rsid w:val="00911BF7"/>
    <w:rsid w:val="00926E87"/>
    <w:rsid w:val="009516B4"/>
    <w:rsid w:val="00952FDB"/>
    <w:rsid w:val="00960A6E"/>
    <w:rsid w:val="009640F0"/>
    <w:rsid w:val="00977EC8"/>
    <w:rsid w:val="0098699A"/>
    <w:rsid w:val="00995AB7"/>
    <w:rsid w:val="009972FE"/>
    <w:rsid w:val="009A446A"/>
    <w:rsid w:val="009B18A3"/>
    <w:rsid w:val="009C1C80"/>
    <w:rsid w:val="009D21DC"/>
    <w:rsid w:val="009D3A8C"/>
    <w:rsid w:val="009E01B8"/>
    <w:rsid w:val="009E50BA"/>
    <w:rsid w:val="009E7956"/>
    <w:rsid w:val="00A108F3"/>
    <w:rsid w:val="00A1547F"/>
    <w:rsid w:val="00A2492E"/>
    <w:rsid w:val="00A249B1"/>
    <w:rsid w:val="00A31F07"/>
    <w:rsid w:val="00A33E04"/>
    <w:rsid w:val="00A41235"/>
    <w:rsid w:val="00A535B3"/>
    <w:rsid w:val="00A70163"/>
    <w:rsid w:val="00A80554"/>
    <w:rsid w:val="00AC4710"/>
    <w:rsid w:val="00AC67A1"/>
    <w:rsid w:val="00AC7977"/>
    <w:rsid w:val="00AE08D9"/>
    <w:rsid w:val="00AE352C"/>
    <w:rsid w:val="00B32E2D"/>
    <w:rsid w:val="00B35841"/>
    <w:rsid w:val="00B4466B"/>
    <w:rsid w:val="00B50EC5"/>
    <w:rsid w:val="00B61990"/>
    <w:rsid w:val="00B61ED5"/>
    <w:rsid w:val="00B6602A"/>
    <w:rsid w:val="00B85D99"/>
    <w:rsid w:val="00B93E72"/>
    <w:rsid w:val="00B94939"/>
    <w:rsid w:val="00B95755"/>
    <w:rsid w:val="00BD11AB"/>
    <w:rsid w:val="00BE54C6"/>
    <w:rsid w:val="00BF01C1"/>
    <w:rsid w:val="00BF0556"/>
    <w:rsid w:val="00BF06B0"/>
    <w:rsid w:val="00C01CBB"/>
    <w:rsid w:val="00C12DF0"/>
    <w:rsid w:val="00C24B53"/>
    <w:rsid w:val="00C261F8"/>
    <w:rsid w:val="00C33100"/>
    <w:rsid w:val="00C6570E"/>
    <w:rsid w:val="00C72B41"/>
    <w:rsid w:val="00C750AC"/>
    <w:rsid w:val="00C84CD3"/>
    <w:rsid w:val="00C9012F"/>
    <w:rsid w:val="00C90134"/>
    <w:rsid w:val="00C9084B"/>
    <w:rsid w:val="00C940E9"/>
    <w:rsid w:val="00CA5C49"/>
    <w:rsid w:val="00CB6267"/>
    <w:rsid w:val="00CC5373"/>
    <w:rsid w:val="00CD1A71"/>
    <w:rsid w:val="00CD1FBB"/>
    <w:rsid w:val="00CE2D7B"/>
    <w:rsid w:val="00CE33DE"/>
    <w:rsid w:val="00CE5322"/>
    <w:rsid w:val="00D016B5"/>
    <w:rsid w:val="00D01A25"/>
    <w:rsid w:val="00D034F1"/>
    <w:rsid w:val="00D11B17"/>
    <w:rsid w:val="00D27D5E"/>
    <w:rsid w:val="00D3095F"/>
    <w:rsid w:val="00D60301"/>
    <w:rsid w:val="00DA350C"/>
    <w:rsid w:val="00DA57D4"/>
    <w:rsid w:val="00DB4793"/>
    <w:rsid w:val="00DE01E3"/>
    <w:rsid w:val="00DE6D90"/>
    <w:rsid w:val="00DF002F"/>
    <w:rsid w:val="00E0244D"/>
    <w:rsid w:val="00E554D2"/>
    <w:rsid w:val="00E55D71"/>
    <w:rsid w:val="00E62CD2"/>
    <w:rsid w:val="00E77E73"/>
    <w:rsid w:val="00E81E94"/>
    <w:rsid w:val="00E82607"/>
    <w:rsid w:val="00EA2126"/>
    <w:rsid w:val="00EA31C2"/>
    <w:rsid w:val="00EB1CED"/>
    <w:rsid w:val="00EC3AC6"/>
    <w:rsid w:val="00ED16D7"/>
    <w:rsid w:val="00ED7087"/>
    <w:rsid w:val="00EE074B"/>
    <w:rsid w:val="00EE2EA3"/>
    <w:rsid w:val="00EE419E"/>
    <w:rsid w:val="00EF58D4"/>
    <w:rsid w:val="00F01516"/>
    <w:rsid w:val="00F10320"/>
    <w:rsid w:val="00F10C32"/>
    <w:rsid w:val="00F15382"/>
    <w:rsid w:val="00F57129"/>
    <w:rsid w:val="00F7702D"/>
    <w:rsid w:val="00FA5A79"/>
    <w:rsid w:val="00FB00CB"/>
    <w:rsid w:val="00FB0BFE"/>
    <w:rsid w:val="00FB4C51"/>
    <w:rsid w:val="00FC6818"/>
    <w:rsid w:val="00FD17E8"/>
    <w:rsid w:val="00FF1DBD"/>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paragraph" w:customStyle="1" w:styleId="Hier">
    <w:name w:val="Hier"/>
    <w:basedOn w:val="Normal"/>
    <w:rsid w:val="00CC5373"/>
    <w:pPr>
      <w:tabs>
        <w:tab w:val="left" w:pos="284"/>
      </w:tabs>
      <w:suppressAutoHyphens w:val="0"/>
      <w:spacing w:line="240" w:lineRule="auto"/>
      <w:ind w:left="284" w:hanging="284"/>
    </w:pPr>
    <w:rPr>
      <w:rFonts w:ascii="Arial" w:hAnsi="Arial"/>
      <w:sz w:val="24"/>
      <w:lang w:val="de-DE" w:eastAsia="de-DE"/>
    </w:rPr>
  </w:style>
  <w:style w:type="paragraph" w:customStyle="1" w:styleId="Randnummer">
    <w:name w:val="Randnummer"/>
    <w:basedOn w:val="Normal"/>
    <w:rsid w:val="00CC5373"/>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text">
    <w:name w:val="Normaltext"/>
    <w:basedOn w:val="Normal"/>
    <w:rsid w:val="00CC5373"/>
    <w:pPr>
      <w:tabs>
        <w:tab w:val="left" w:pos="425"/>
        <w:tab w:val="left" w:pos="851"/>
        <w:tab w:val="left" w:pos="1276"/>
      </w:tabs>
      <w:suppressAutoHyphens w:val="0"/>
      <w:spacing w:before="180" w:line="240" w:lineRule="auto"/>
      <w:ind w:left="1080"/>
      <w:jc w:val="both"/>
    </w:pPr>
    <w:rPr>
      <w:rFonts w:ascii="Arial" w:hAnsi="Arial"/>
      <w:color w:val="000000"/>
      <w:sz w:val="18"/>
      <w:lang w:val="de-DE" w:eastAsia="de-DE"/>
    </w:rPr>
  </w:style>
  <w:style w:type="paragraph" w:customStyle="1" w:styleId="NormalList">
    <w:name w:val="Normal List"/>
    <w:basedOn w:val="Normal"/>
    <w:rsid w:val="00CC5373"/>
    <w:pPr>
      <w:tabs>
        <w:tab w:val="left" w:pos="425"/>
        <w:tab w:val="left" w:pos="851"/>
        <w:tab w:val="left" w:pos="1276"/>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List123">
    <w:name w:val="Normal List 123"/>
    <w:basedOn w:val="Normal"/>
    <w:rsid w:val="00CC5373"/>
    <w:pPr>
      <w:suppressAutoHyphens w:val="0"/>
      <w:spacing w:before="60" w:line="240" w:lineRule="auto"/>
      <w:ind w:left="1700" w:hanging="300"/>
      <w:jc w:val="both"/>
    </w:pPr>
    <w:rPr>
      <w:rFonts w:ascii="Arial" w:hAnsi="Arial"/>
      <w:color w:val="000000"/>
      <w:sz w:val="18"/>
      <w:lang w:val="de-DE" w:eastAsia="de-DE"/>
    </w:rPr>
  </w:style>
  <w:style w:type="paragraph" w:styleId="NormalWeb">
    <w:name w:val="Normal (Web)"/>
    <w:basedOn w:val="Normal"/>
    <w:rsid w:val="00CC5373"/>
    <w:pPr>
      <w:suppressAutoHyphens w:val="0"/>
      <w:spacing w:before="60" w:after="120" w:line="288" w:lineRule="auto"/>
    </w:pPr>
    <w:rPr>
      <w:lang w:val="de-DE" w:eastAsia="de-DE"/>
    </w:rPr>
  </w:style>
  <w:style w:type="paragraph" w:customStyle="1" w:styleId="entry">
    <w:name w:val="entry"/>
    <w:basedOn w:val="Normal"/>
    <w:rsid w:val="00CC5373"/>
    <w:pPr>
      <w:suppressAutoHyphens w:val="0"/>
      <w:spacing w:before="60" w:after="120" w:line="312" w:lineRule="auto"/>
    </w:pPr>
    <w:rPr>
      <w:lang w:val="de-DE" w:eastAsia="de-DE"/>
    </w:rPr>
  </w:style>
  <w:style w:type="character" w:customStyle="1" w:styleId="HeaderChar">
    <w:name w:val="Header Char"/>
    <w:aliases w:val="6_G Char"/>
    <w:link w:val="Header"/>
    <w:uiPriority w:val="99"/>
    <w:locked/>
    <w:rsid w:val="00732D23"/>
    <w:rPr>
      <w:b/>
      <w:sz w:val="18"/>
      <w:lang w:val="fr-CH" w:eastAsia="en-US" w:bidi="ar-SA"/>
    </w:rPr>
  </w:style>
  <w:style w:type="character" w:customStyle="1" w:styleId="H1GChar">
    <w:name w:val="_ H_1_G Char"/>
    <w:link w:val="H1G"/>
    <w:rsid w:val="00FD17E8"/>
    <w:rPr>
      <w:b/>
      <w:sz w:val="24"/>
      <w:lang w:val="fr-CH" w:eastAsia="en-US" w:bidi="ar-SA"/>
    </w:rPr>
  </w:style>
  <w:style w:type="character" w:customStyle="1" w:styleId="SingleTxtGChar">
    <w:name w:val="_ Single Txt_G Char"/>
    <w:link w:val="SingleTxtG"/>
    <w:rsid w:val="0098699A"/>
    <w:rPr>
      <w:lang w:val="fr-CH" w:eastAsia="en-US" w:bidi="ar-SA"/>
    </w:rPr>
  </w:style>
  <w:style w:type="paragraph" w:styleId="BalloonText">
    <w:name w:val="Balloon Text"/>
    <w:basedOn w:val="Normal"/>
    <w:semiHidden/>
    <w:rsid w:val="00B61ED5"/>
    <w:rPr>
      <w:rFonts w:ascii="Tahoma" w:hAnsi="Tahoma" w:cs="Tahoma"/>
      <w:sz w:val="16"/>
      <w:szCs w:val="16"/>
    </w:rPr>
  </w:style>
  <w:style w:type="character" w:customStyle="1" w:styleId="WW8Num3z0">
    <w:name w:val="WW8Num3z0"/>
    <w:rsid w:val="002B6B55"/>
    <w:rPr>
      <w:rFonts w:ascii="Symbol" w:hAnsi="Symbol" w:cs="Symbol"/>
    </w:rPr>
  </w:style>
  <w:style w:type="character" w:customStyle="1" w:styleId="Caractresdenotedebasdepage">
    <w:name w:val="Caractères de note de bas de page"/>
    <w:rsid w:val="002B6B55"/>
    <w:rPr>
      <w:rFonts w:ascii="Times New Roman" w:hAnsi="Times New Roman" w:cs="Times New Roman"/>
      <w:sz w:val="18"/>
      <w:vertAlign w:val="superscript"/>
      <w:lang w:val="fr-CH"/>
    </w:rPr>
  </w:style>
  <w:style w:type="character" w:customStyle="1" w:styleId="HChGChar">
    <w:name w:val="_ H _Ch_G Char"/>
    <w:link w:val="HChG"/>
    <w:rsid w:val="009516B4"/>
    <w:rPr>
      <w:b/>
      <w:sz w:val="28"/>
      <w:lang w:val="fr-CH" w:eastAsia="en-US"/>
    </w:rPr>
  </w:style>
  <w:style w:type="paragraph" w:styleId="ListContinue">
    <w:name w:val="List Continue"/>
    <w:basedOn w:val="Normal"/>
    <w:rsid w:val="009516B4"/>
    <w:pPr>
      <w:spacing w:after="120"/>
      <w:ind w:left="283"/>
    </w:pPr>
    <w:rPr>
      <w:lang w:val="en-GB"/>
    </w:rPr>
  </w:style>
  <w:style w:type="paragraph" w:customStyle="1" w:styleId="Tabletitle">
    <w:name w:val="Table title"/>
    <w:basedOn w:val="Normal"/>
    <w:next w:val="Normal"/>
    <w:rsid w:val="009516B4"/>
    <w:pPr>
      <w:keepNext/>
      <w:spacing w:before="120" w:after="120" w:line="230" w:lineRule="exact"/>
      <w:jc w:val="center"/>
    </w:pPr>
    <w:rPr>
      <w:rFonts w:ascii="Arial" w:eastAsia="MS Mincho" w:hAnsi="Arial"/>
      <w:b/>
      <w:lang w:val="en-GB" w:eastAsia="fr-FR"/>
    </w:rPr>
  </w:style>
  <w:style w:type="character" w:customStyle="1" w:styleId="FooterChar">
    <w:name w:val="Footer Char"/>
    <w:aliases w:val="3_G Char"/>
    <w:link w:val="Footer"/>
    <w:uiPriority w:val="99"/>
    <w:rsid w:val="009516B4"/>
    <w:rPr>
      <w:sz w:val="16"/>
      <w:lang w:val="fr-CH" w:eastAsia="en-US"/>
    </w:rPr>
  </w:style>
  <w:style w:type="character" w:customStyle="1" w:styleId="FootnoteTextChar">
    <w:name w:val="Footnote Text Char"/>
    <w:aliases w:val="5_G Char"/>
    <w:link w:val="FootnoteText"/>
    <w:rsid w:val="00EE074B"/>
    <w:rPr>
      <w:sz w:val="18"/>
      <w:lang w:val="fr-CH" w:eastAsia="en-US"/>
    </w:rPr>
  </w:style>
  <w:style w:type="paragraph" w:styleId="ListContinue2">
    <w:name w:val="List Continue 2"/>
    <w:basedOn w:val="Normal"/>
    <w:rsid w:val="00265DFB"/>
    <w:pPr>
      <w:spacing w:after="120"/>
      <w:ind w:left="566"/>
      <w:contextualSpacing/>
    </w:pPr>
  </w:style>
  <w:style w:type="paragraph" w:styleId="HTMLPreformatted">
    <w:name w:val="HTML Preformatted"/>
    <w:basedOn w:val="Normal"/>
    <w:link w:val="HTMLPreformattedChar"/>
    <w:uiPriority w:val="99"/>
    <w:unhideWhenUsed/>
    <w:rsid w:val="007F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7F730C"/>
    <w:rPr>
      <w:rFonts w:ascii="Courier New" w:hAnsi="Courier New" w:cs="Courier New"/>
      <w:lang w:val="fr-FR" w:eastAsia="fr-FR"/>
    </w:rPr>
  </w:style>
  <w:style w:type="paragraph" w:customStyle="1" w:styleId="ParNoG">
    <w:name w:val="_ParNo_G"/>
    <w:basedOn w:val="Normal"/>
    <w:qFormat/>
    <w:rsid w:val="007E2A9E"/>
    <w:pPr>
      <w:numPr>
        <w:numId w:val="9"/>
      </w:numPr>
      <w:kinsoku w:val="0"/>
      <w:overflowPunct w:val="0"/>
      <w:autoSpaceDE w:val="0"/>
      <w:autoSpaceDN w:val="0"/>
      <w:adjustRightInd w:val="0"/>
      <w:snapToGrid w:val="0"/>
      <w:spacing w:after="120"/>
      <w:ind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paragraph" w:customStyle="1" w:styleId="Hier">
    <w:name w:val="Hier"/>
    <w:basedOn w:val="Normal"/>
    <w:rsid w:val="00CC5373"/>
    <w:pPr>
      <w:tabs>
        <w:tab w:val="left" w:pos="284"/>
      </w:tabs>
      <w:suppressAutoHyphens w:val="0"/>
      <w:spacing w:line="240" w:lineRule="auto"/>
      <w:ind w:left="284" w:hanging="284"/>
    </w:pPr>
    <w:rPr>
      <w:rFonts w:ascii="Arial" w:hAnsi="Arial"/>
      <w:sz w:val="24"/>
      <w:lang w:val="de-DE" w:eastAsia="de-DE"/>
    </w:rPr>
  </w:style>
  <w:style w:type="paragraph" w:customStyle="1" w:styleId="Randnummer">
    <w:name w:val="Randnummer"/>
    <w:basedOn w:val="Normal"/>
    <w:rsid w:val="00CC5373"/>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text">
    <w:name w:val="Normaltext"/>
    <w:basedOn w:val="Normal"/>
    <w:rsid w:val="00CC5373"/>
    <w:pPr>
      <w:tabs>
        <w:tab w:val="left" w:pos="425"/>
        <w:tab w:val="left" w:pos="851"/>
        <w:tab w:val="left" w:pos="1276"/>
      </w:tabs>
      <w:suppressAutoHyphens w:val="0"/>
      <w:spacing w:before="180" w:line="240" w:lineRule="auto"/>
      <w:ind w:left="1080"/>
      <w:jc w:val="both"/>
    </w:pPr>
    <w:rPr>
      <w:rFonts w:ascii="Arial" w:hAnsi="Arial"/>
      <w:color w:val="000000"/>
      <w:sz w:val="18"/>
      <w:lang w:val="de-DE" w:eastAsia="de-DE"/>
    </w:rPr>
  </w:style>
  <w:style w:type="paragraph" w:customStyle="1" w:styleId="NormalList">
    <w:name w:val="Normal List"/>
    <w:basedOn w:val="Normal"/>
    <w:rsid w:val="00CC5373"/>
    <w:pPr>
      <w:tabs>
        <w:tab w:val="left" w:pos="425"/>
        <w:tab w:val="left" w:pos="851"/>
        <w:tab w:val="left" w:pos="1276"/>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List123">
    <w:name w:val="Normal List 123"/>
    <w:basedOn w:val="Normal"/>
    <w:rsid w:val="00CC5373"/>
    <w:pPr>
      <w:suppressAutoHyphens w:val="0"/>
      <w:spacing w:before="60" w:line="240" w:lineRule="auto"/>
      <w:ind w:left="1700" w:hanging="300"/>
      <w:jc w:val="both"/>
    </w:pPr>
    <w:rPr>
      <w:rFonts w:ascii="Arial" w:hAnsi="Arial"/>
      <w:color w:val="000000"/>
      <w:sz w:val="18"/>
      <w:lang w:val="de-DE" w:eastAsia="de-DE"/>
    </w:rPr>
  </w:style>
  <w:style w:type="paragraph" w:styleId="NormalWeb">
    <w:name w:val="Normal (Web)"/>
    <w:basedOn w:val="Normal"/>
    <w:rsid w:val="00CC5373"/>
    <w:pPr>
      <w:suppressAutoHyphens w:val="0"/>
      <w:spacing w:before="60" w:after="120" w:line="288" w:lineRule="auto"/>
    </w:pPr>
    <w:rPr>
      <w:lang w:val="de-DE" w:eastAsia="de-DE"/>
    </w:rPr>
  </w:style>
  <w:style w:type="paragraph" w:customStyle="1" w:styleId="entry">
    <w:name w:val="entry"/>
    <w:basedOn w:val="Normal"/>
    <w:rsid w:val="00CC5373"/>
    <w:pPr>
      <w:suppressAutoHyphens w:val="0"/>
      <w:spacing w:before="60" w:after="120" w:line="312" w:lineRule="auto"/>
    </w:pPr>
    <w:rPr>
      <w:lang w:val="de-DE" w:eastAsia="de-DE"/>
    </w:rPr>
  </w:style>
  <w:style w:type="character" w:customStyle="1" w:styleId="HeaderChar">
    <w:name w:val="Header Char"/>
    <w:aliases w:val="6_G Char"/>
    <w:link w:val="Header"/>
    <w:uiPriority w:val="99"/>
    <w:locked/>
    <w:rsid w:val="00732D23"/>
    <w:rPr>
      <w:b/>
      <w:sz w:val="18"/>
      <w:lang w:val="fr-CH" w:eastAsia="en-US" w:bidi="ar-SA"/>
    </w:rPr>
  </w:style>
  <w:style w:type="character" w:customStyle="1" w:styleId="H1GChar">
    <w:name w:val="_ H_1_G Char"/>
    <w:link w:val="H1G"/>
    <w:rsid w:val="00FD17E8"/>
    <w:rPr>
      <w:b/>
      <w:sz w:val="24"/>
      <w:lang w:val="fr-CH" w:eastAsia="en-US" w:bidi="ar-SA"/>
    </w:rPr>
  </w:style>
  <w:style w:type="character" w:customStyle="1" w:styleId="SingleTxtGChar">
    <w:name w:val="_ Single Txt_G Char"/>
    <w:link w:val="SingleTxtG"/>
    <w:rsid w:val="0098699A"/>
    <w:rPr>
      <w:lang w:val="fr-CH" w:eastAsia="en-US" w:bidi="ar-SA"/>
    </w:rPr>
  </w:style>
  <w:style w:type="paragraph" w:styleId="BalloonText">
    <w:name w:val="Balloon Text"/>
    <w:basedOn w:val="Normal"/>
    <w:semiHidden/>
    <w:rsid w:val="00B61ED5"/>
    <w:rPr>
      <w:rFonts w:ascii="Tahoma" w:hAnsi="Tahoma" w:cs="Tahoma"/>
      <w:sz w:val="16"/>
      <w:szCs w:val="16"/>
    </w:rPr>
  </w:style>
  <w:style w:type="character" w:customStyle="1" w:styleId="WW8Num3z0">
    <w:name w:val="WW8Num3z0"/>
    <w:rsid w:val="002B6B55"/>
    <w:rPr>
      <w:rFonts w:ascii="Symbol" w:hAnsi="Symbol" w:cs="Symbol"/>
    </w:rPr>
  </w:style>
  <w:style w:type="character" w:customStyle="1" w:styleId="Caractresdenotedebasdepage">
    <w:name w:val="Caractères de note de bas de page"/>
    <w:rsid w:val="002B6B55"/>
    <w:rPr>
      <w:rFonts w:ascii="Times New Roman" w:hAnsi="Times New Roman" w:cs="Times New Roman"/>
      <w:sz w:val="18"/>
      <w:vertAlign w:val="superscript"/>
      <w:lang w:val="fr-CH"/>
    </w:rPr>
  </w:style>
  <w:style w:type="character" w:customStyle="1" w:styleId="HChGChar">
    <w:name w:val="_ H _Ch_G Char"/>
    <w:link w:val="HChG"/>
    <w:rsid w:val="009516B4"/>
    <w:rPr>
      <w:b/>
      <w:sz w:val="28"/>
      <w:lang w:val="fr-CH" w:eastAsia="en-US"/>
    </w:rPr>
  </w:style>
  <w:style w:type="paragraph" w:styleId="ListContinue">
    <w:name w:val="List Continue"/>
    <w:basedOn w:val="Normal"/>
    <w:rsid w:val="009516B4"/>
    <w:pPr>
      <w:spacing w:after="120"/>
      <w:ind w:left="283"/>
    </w:pPr>
    <w:rPr>
      <w:lang w:val="en-GB"/>
    </w:rPr>
  </w:style>
  <w:style w:type="paragraph" w:customStyle="1" w:styleId="Tabletitle">
    <w:name w:val="Table title"/>
    <w:basedOn w:val="Normal"/>
    <w:next w:val="Normal"/>
    <w:rsid w:val="009516B4"/>
    <w:pPr>
      <w:keepNext/>
      <w:spacing w:before="120" w:after="120" w:line="230" w:lineRule="exact"/>
      <w:jc w:val="center"/>
    </w:pPr>
    <w:rPr>
      <w:rFonts w:ascii="Arial" w:eastAsia="MS Mincho" w:hAnsi="Arial"/>
      <w:b/>
      <w:lang w:val="en-GB" w:eastAsia="fr-FR"/>
    </w:rPr>
  </w:style>
  <w:style w:type="character" w:customStyle="1" w:styleId="FooterChar">
    <w:name w:val="Footer Char"/>
    <w:aliases w:val="3_G Char"/>
    <w:link w:val="Footer"/>
    <w:uiPriority w:val="99"/>
    <w:rsid w:val="009516B4"/>
    <w:rPr>
      <w:sz w:val="16"/>
      <w:lang w:val="fr-CH" w:eastAsia="en-US"/>
    </w:rPr>
  </w:style>
  <w:style w:type="character" w:customStyle="1" w:styleId="FootnoteTextChar">
    <w:name w:val="Footnote Text Char"/>
    <w:aliases w:val="5_G Char"/>
    <w:link w:val="FootnoteText"/>
    <w:rsid w:val="00EE074B"/>
    <w:rPr>
      <w:sz w:val="18"/>
      <w:lang w:val="fr-CH" w:eastAsia="en-US"/>
    </w:rPr>
  </w:style>
  <w:style w:type="paragraph" w:styleId="ListContinue2">
    <w:name w:val="List Continue 2"/>
    <w:basedOn w:val="Normal"/>
    <w:rsid w:val="00265DFB"/>
    <w:pPr>
      <w:spacing w:after="120"/>
      <w:ind w:left="566"/>
      <w:contextualSpacing/>
    </w:pPr>
  </w:style>
  <w:style w:type="paragraph" w:styleId="HTMLPreformatted">
    <w:name w:val="HTML Preformatted"/>
    <w:basedOn w:val="Normal"/>
    <w:link w:val="HTMLPreformattedChar"/>
    <w:uiPriority w:val="99"/>
    <w:unhideWhenUsed/>
    <w:rsid w:val="007F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7F730C"/>
    <w:rPr>
      <w:rFonts w:ascii="Courier New" w:hAnsi="Courier New" w:cs="Courier New"/>
      <w:lang w:val="fr-FR" w:eastAsia="fr-FR"/>
    </w:rPr>
  </w:style>
  <w:style w:type="paragraph" w:customStyle="1" w:styleId="ParNoG">
    <w:name w:val="_ParNo_G"/>
    <w:basedOn w:val="Normal"/>
    <w:qFormat/>
    <w:rsid w:val="007E2A9E"/>
    <w:pPr>
      <w:numPr>
        <w:numId w:val="9"/>
      </w:numPr>
      <w:kinsoku w:val="0"/>
      <w:overflowPunct w:val="0"/>
      <w:autoSpaceDE w:val="0"/>
      <w:autoSpaceDN w:val="0"/>
      <w:adjustRightInd w:val="0"/>
      <w:snapToGrid w:val="0"/>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3372">
      <w:bodyDiv w:val="1"/>
      <w:marLeft w:val="0"/>
      <w:marRight w:val="0"/>
      <w:marTop w:val="0"/>
      <w:marBottom w:val="0"/>
      <w:divBdr>
        <w:top w:val="none" w:sz="0" w:space="0" w:color="auto"/>
        <w:left w:val="none" w:sz="0" w:space="0" w:color="auto"/>
        <w:bottom w:val="none" w:sz="0" w:space="0" w:color="auto"/>
        <w:right w:val="none" w:sz="0" w:space="0" w:color="auto"/>
      </w:divBdr>
    </w:div>
    <w:div w:id="429668860">
      <w:bodyDiv w:val="1"/>
      <w:marLeft w:val="0"/>
      <w:marRight w:val="0"/>
      <w:marTop w:val="0"/>
      <w:marBottom w:val="0"/>
      <w:divBdr>
        <w:top w:val="none" w:sz="0" w:space="0" w:color="auto"/>
        <w:left w:val="none" w:sz="0" w:space="0" w:color="auto"/>
        <w:bottom w:val="none" w:sz="0" w:space="0" w:color="auto"/>
        <w:right w:val="none" w:sz="0" w:space="0" w:color="auto"/>
      </w:divBdr>
    </w:div>
    <w:div w:id="475490166">
      <w:bodyDiv w:val="1"/>
      <w:marLeft w:val="0"/>
      <w:marRight w:val="0"/>
      <w:marTop w:val="0"/>
      <w:marBottom w:val="0"/>
      <w:divBdr>
        <w:top w:val="none" w:sz="0" w:space="0" w:color="auto"/>
        <w:left w:val="none" w:sz="0" w:space="0" w:color="auto"/>
        <w:bottom w:val="none" w:sz="0" w:space="0" w:color="auto"/>
        <w:right w:val="none" w:sz="0" w:space="0" w:color="auto"/>
      </w:divBdr>
    </w:div>
    <w:div w:id="495610246">
      <w:bodyDiv w:val="1"/>
      <w:marLeft w:val="0"/>
      <w:marRight w:val="0"/>
      <w:marTop w:val="0"/>
      <w:marBottom w:val="0"/>
      <w:divBdr>
        <w:top w:val="none" w:sz="0" w:space="0" w:color="auto"/>
        <w:left w:val="none" w:sz="0" w:space="0" w:color="auto"/>
        <w:bottom w:val="none" w:sz="0" w:space="0" w:color="auto"/>
        <w:right w:val="none" w:sz="0" w:space="0" w:color="auto"/>
      </w:divBdr>
    </w:div>
    <w:div w:id="600383948">
      <w:bodyDiv w:val="1"/>
      <w:marLeft w:val="0"/>
      <w:marRight w:val="0"/>
      <w:marTop w:val="0"/>
      <w:marBottom w:val="0"/>
      <w:divBdr>
        <w:top w:val="none" w:sz="0" w:space="0" w:color="auto"/>
        <w:left w:val="none" w:sz="0" w:space="0" w:color="auto"/>
        <w:bottom w:val="none" w:sz="0" w:space="0" w:color="auto"/>
        <w:right w:val="none" w:sz="0" w:space="0" w:color="auto"/>
      </w:divBdr>
    </w:div>
    <w:div w:id="710619232">
      <w:bodyDiv w:val="1"/>
      <w:marLeft w:val="0"/>
      <w:marRight w:val="0"/>
      <w:marTop w:val="0"/>
      <w:marBottom w:val="0"/>
      <w:divBdr>
        <w:top w:val="none" w:sz="0" w:space="0" w:color="auto"/>
        <w:left w:val="none" w:sz="0" w:space="0" w:color="auto"/>
        <w:bottom w:val="none" w:sz="0" w:space="0" w:color="auto"/>
        <w:right w:val="none" w:sz="0" w:space="0" w:color="auto"/>
      </w:divBdr>
    </w:div>
    <w:div w:id="1053383314">
      <w:bodyDiv w:val="1"/>
      <w:marLeft w:val="0"/>
      <w:marRight w:val="0"/>
      <w:marTop w:val="0"/>
      <w:marBottom w:val="0"/>
      <w:divBdr>
        <w:top w:val="none" w:sz="0" w:space="0" w:color="auto"/>
        <w:left w:val="none" w:sz="0" w:space="0" w:color="auto"/>
        <w:bottom w:val="none" w:sz="0" w:space="0" w:color="auto"/>
        <w:right w:val="none" w:sz="0" w:space="0" w:color="auto"/>
      </w:divBdr>
    </w:div>
    <w:div w:id="1222712161">
      <w:bodyDiv w:val="1"/>
      <w:marLeft w:val="0"/>
      <w:marRight w:val="0"/>
      <w:marTop w:val="0"/>
      <w:marBottom w:val="0"/>
      <w:divBdr>
        <w:top w:val="none" w:sz="0" w:space="0" w:color="auto"/>
        <w:left w:val="none" w:sz="0" w:space="0" w:color="auto"/>
        <w:bottom w:val="none" w:sz="0" w:space="0" w:color="auto"/>
        <w:right w:val="none" w:sz="0" w:space="0" w:color="auto"/>
      </w:divBdr>
    </w:div>
    <w:div w:id="1339307690">
      <w:bodyDiv w:val="1"/>
      <w:marLeft w:val="0"/>
      <w:marRight w:val="0"/>
      <w:marTop w:val="0"/>
      <w:marBottom w:val="0"/>
      <w:divBdr>
        <w:top w:val="none" w:sz="0" w:space="0" w:color="auto"/>
        <w:left w:val="none" w:sz="0" w:space="0" w:color="auto"/>
        <w:bottom w:val="none" w:sz="0" w:space="0" w:color="auto"/>
        <w:right w:val="none" w:sz="0" w:space="0" w:color="auto"/>
      </w:divBdr>
    </w:div>
    <w:div w:id="1501965811">
      <w:bodyDiv w:val="1"/>
      <w:marLeft w:val="0"/>
      <w:marRight w:val="0"/>
      <w:marTop w:val="0"/>
      <w:marBottom w:val="0"/>
      <w:divBdr>
        <w:top w:val="none" w:sz="0" w:space="0" w:color="auto"/>
        <w:left w:val="none" w:sz="0" w:space="0" w:color="auto"/>
        <w:bottom w:val="none" w:sz="0" w:space="0" w:color="auto"/>
        <w:right w:val="none" w:sz="0" w:space="0" w:color="auto"/>
      </w:divBdr>
    </w:div>
    <w:div w:id="1737163734">
      <w:bodyDiv w:val="1"/>
      <w:marLeft w:val="0"/>
      <w:marRight w:val="0"/>
      <w:marTop w:val="0"/>
      <w:marBottom w:val="0"/>
      <w:divBdr>
        <w:top w:val="none" w:sz="0" w:space="0" w:color="auto"/>
        <w:left w:val="none" w:sz="0" w:space="0" w:color="auto"/>
        <w:bottom w:val="none" w:sz="0" w:space="0" w:color="auto"/>
        <w:right w:val="none" w:sz="0" w:space="0" w:color="auto"/>
      </w:divBdr>
    </w:div>
    <w:div w:id="1866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8B79-527E-448D-AC30-36FFBC58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Gatto</dc:creator>
  <cp:lastModifiedBy>barrio-champeau</cp:lastModifiedBy>
  <cp:revision>3</cp:revision>
  <cp:lastPrinted>2015-09-09T14:28:00Z</cp:lastPrinted>
  <dcterms:created xsi:type="dcterms:W3CDTF">2015-09-09T14:27:00Z</dcterms:created>
  <dcterms:modified xsi:type="dcterms:W3CDTF">2015-09-09T14:28:00Z</dcterms:modified>
</cp:coreProperties>
</file>