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3F" w:rsidRPr="00F47A45" w:rsidRDefault="00944295">
      <w:pPr>
        <w:pStyle w:val="H1G"/>
        <w:spacing w:before="240" w:after="120" w:line="223" w:lineRule="auto"/>
        <w:ind w:right="-6"/>
        <w:rPr>
          <w:sz w:val="28"/>
          <w:szCs w:val="28"/>
        </w:rPr>
      </w:pPr>
      <w:r w:rsidRPr="00F47A45">
        <w:rPr>
          <w:sz w:val="28"/>
          <w:szCs w:val="28"/>
        </w:rPr>
        <w:t>Economic Commission for Europe</w:t>
      </w:r>
    </w:p>
    <w:p w:rsidR="00DA493F" w:rsidRPr="00F47A45" w:rsidRDefault="00944295">
      <w:pPr>
        <w:pStyle w:val="H1G"/>
        <w:spacing w:before="240" w:after="120" w:line="223" w:lineRule="auto"/>
        <w:ind w:right="-6"/>
        <w:rPr>
          <w:b w:val="0"/>
          <w:sz w:val="28"/>
          <w:szCs w:val="28"/>
        </w:rPr>
      </w:pPr>
      <w:r w:rsidRPr="00F47A45">
        <w:rPr>
          <w:b w:val="0"/>
          <w:sz w:val="28"/>
          <w:szCs w:val="28"/>
        </w:rPr>
        <w:t>Inland Transport Committee</w:t>
      </w:r>
    </w:p>
    <w:p w:rsidR="00DA493F" w:rsidRPr="00F47A45" w:rsidRDefault="00944295">
      <w:pPr>
        <w:pStyle w:val="H1G"/>
        <w:tabs>
          <w:tab w:val="left" w:pos="7938"/>
        </w:tabs>
        <w:spacing w:before="120" w:after="0" w:line="223" w:lineRule="auto"/>
        <w:ind w:right="-6"/>
        <w:rPr>
          <w:sz w:val="20"/>
        </w:rPr>
      </w:pPr>
      <w:r w:rsidRPr="00F47A45">
        <w:rPr>
          <w:sz w:val="20"/>
        </w:rPr>
        <w:t>Working Party on the Transport of Dangerous Goods</w:t>
      </w:r>
      <w:r w:rsidRPr="00F47A45">
        <w:rPr>
          <w:sz w:val="20"/>
        </w:rPr>
        <w:tab/>
      </w:r>
      <w:r w:rsidR="00F47A45">
        <w:rPr>
          <w:sz w:val="20"/>
        </w:rPr>
        <w:t>16</w:t>
      </w:r>
      <w:r w:rsidRPr="00F47A45">
        <w:rPr>
          <w:sz w:val="20"/>
        </w:rPr>
        <w:t xml:space="preserve"> September 2015</w:t>
      </w:r>
    </w:p>
    <w:p w:rsidR="00DA493F" w:rsidRPr="00F47A45" w:rsidRDefault="00944295">
      <w:pPr>
        <w:pStyle w:val="H1G"/>
        <w:spacing w:before="120" w:after="120" w:line="223" w:lineRule="auto"/>
        <w:ind w:left="0" w:right="-6" w:firstLine="0"/>
        <w:rPr>
          <w:sz w:val="20"/>
        </w:rPr>
      </w:pPr>
      <w:r w:rsidRPr="00F47A45">
        <w:rPr>
          <w:sz w:val="20"/>
        </w:rPr>
        <w:t>Joint Meeting of the RID Committee of Experts and the</w:t>
      </w:r>
      <w:r w:rsidRPr="00F47A45">
        <w:rPr>
          <w:sz w:val="20"/>
        </w:rPr>
        <w:br/>
        <w:t>Working Party on the Transport of Dangerous Goods</w:t>
      </w:r>
    </w:p>
    <w:p w:rsidR="00DA493F" w:rsidRPr="00F47A45" w:rsidRDefault="00944295">
      <w:pPr>
        <w:spacing w:after="0"/>
      </w:pPr>
      <w:r w:rsidRPr="00F47A45">
        <w:t>Geneva, 15–25 September 2015</w:t>
      </w:r>
    </w:p>
    <w:p w:rsidR="00DA493F" w:rsidRPr="00F47A45" w:rsidRDefault="00944295">
      <w:pPr>
        <w:spacing w:after="0"/>
      </w:pPr>
      <w:r w:rsidRPr="00F47A45">
        <w:t>Item 2 of the provisional agenda</w:t>
      </w:r>
    </w:p>
    <w:p w:rsidR="00DA493F" w:rsidRPr="00F47A45" w:rsidRDefault="00944295">
      <w:pPr>
        <w:spacing w:after="0"/>
        <w:rPr>
          <w:b/>
        </w:rPr>
      </w:pPr>
      <w:r w:rsidRPr="00F47A45">
        <w:rPr>
          <w:b/>
        </w:rPr>
        <w:t xml:space="preserve">Harmonization with the United Nations Recommendations </w:t>
      </w:r>
    </w:p>
    <w:p w:rsidR="00DA493F" w:rsidRPr="00F47A45" w:rsidRDefault="00944295">
      <w:pPr>
        <w:spacing w:after="0"/>
        <w:rPr>
          <w:b/>
        </w:rPr>
      </w:pPr>
      <w:proofErr w:type="gramStart"/>
      <w:r w:rsidRPr="00F47A45">
        <w:rPr>
          <w:b/>
        </w:rPr>
        <w:t>on</w:t>
      </w:r>
      <w:proofErr w:type="gramEnd"/>
      <w:r w:rsidRPr="00F47A45">
        <w:rPr>
          <w:b/>
        </w:rPr>
        <w:t xml:space="preserve"> the Transport of Dangerous Goods</w:t>
      </w:r>
    </w:p>
    <w:p w:rsidR="00E44DA2" w:rsidRDefault="00E44DA2" w:rsidP="00E44DA2">
      <w:pPr>
        <w:pStyle w:val="H1G"/>
      </w:pPr>
      <w:bookmarkStart w:id="0" w:name="_GoBack"/>
      <w:bookmarkEnd w:id="0"/>
      <w:r>
        <w:tab/>
      </w:r>
      <w:r>
        <w:tab/>
        <w:t>Transmitted by the Government of Germany</w:t>
      </w:r>
    </w:p>
    <w:p w:rsidR="00E44DA2" w:rsidRDefault="00E44DA2" w:rsidP="00E44DA2">
      <w:pPr>
        <w:pStyle w:val="SingleTxtG"/>
      </w:pPr>
      <w:r>
        <w:t>5.1.2.1</w:t>
      </w:r>
      <w:r>
        <w:tab/>
      </w:r>
      <w:r>
        <w:tab/>
        <w:t>Amend to read as follows:</w:t>
      </w:r>
    </w:p>
    <w:p w:rsidR="00E44DA2" w:rsidRDefault="00E44DA2" w:rsidP="00E44DA2">
      <w:pPr>
        <w:pStyle w:val="SingleTxtG"/>
      </w:pPr>
      <w:r>
        <w:t>“(a)</w:t>
      </w:r>
      <w:r>
        <w:tab/>
      </w:r>
      <w:proofErr w:type="gramStart"/>
      <w:r>
        <w:t>Unless</w:t>
      </w:r>
      <w:proofErr w:type="gramEnd"/>
      <w:r>
        <w:t xml:space="preserve"> marks and labels of chapter 5.2 representative of all dangerous goods in the </w:t>
      </w:r>
      <w:proofErr w:type="spellStart"/>
      <w:r>
        <w:t>overpack</w:t>
      </w:r>
      <w:proofErr w:type="spellEnd"/>
      <w:r>
        <w:t xml:space="preserve"> are visible, the </w:t>
      </w:r>
      <w:proofErr w:type="spellStart"/>
      <w:r>
        <w:t>overpack</w:t>
      </w:r>
      <w:proofErr w:type="spellEnd"/>
      <w:r>
        <w:t xml:space="preserve"> shall be:</w:t>
      </w:r>
    </w:p>
    <w:p w:rsidR="00E44DA2" w:rsidRDefault="00E44DA2" w:rsidP="00E44DA2">
      <w:pPr>
        <w:pStyle w:val="SingleTxtG"/>
      </w:pPr>
      <w:r>
        <w:t>–</w:t>
      </w:r>
      <w:r>
        <w:tab/>
        <w:t>marked with the word “OVERPACK”. The lettering of the “OVERPACK” mark shall be at least 12 mm high. The mark shall be in an official language of the country of origin and also, if that language is not English, French or German, in English, French or German, unless agreements, if any, concluded between the countries concerned in the transport operation provide otherwise; and</w:t>
      </w:r>
    </w:p>
    <w:p w:rsidR="00E44DA2" w:rsidRDefault="00E44DA2" w:rsidP="00E44DA2">
      <w:pPr>
        <w:pStyle w:val="SingleTxtG"/>
      </w:pPr>
      <w:r>
        <w:t>–</w:t>
      </w:r>
      <w:r>
        <w:tab/>
        <w:t xml:space="preserve">labelled and marked with the UN number and other marks, as required for packages in Chapter 5.2 except 5.2.1.3 to 5.2.1.6 and 5.2.1.7.2 to 5.2.1.7.8, for each item of dangerous goods contained in the </w:t>
      </w:r>
      <w:proofErr w:type="spellStart"/>
      <w:r>
        <w:t>overpack</w:t>
      </w:r>
      <w:proofErr w:type="spellEnd"/>
      <w:r>
        <w:t>. Each applicable mark or label only needs to be applied once.</w:t>
      </w:r>
    </w:p>
    <w:p w:rsidR="00E44DA2" w:rsidRDefault="00E44DA2" w:rsidP="00E44DA2">
      <w:pPr>
        <w:pStyle w:val="SingleTxtG"/>
      </w:pPr>
      <w:r>
        <w:t xml:space="preserve">Labelling of </w:t>
      </w:r>
      <w:proofErr w:type="spellStart"/>
      <w:r>
        <w:t>overpacks</w:t>
      </w:r>
      <w:proofErr w:type="spellEnd"/>
      <w:r>
        <w:t xml:space="preserve"> containing radioactive material shall be in accordance with 5.2.2.1.11.</w:t>
      </w:r>
    </w:p>
    <w:p w:rsidR="00DA493F" w:rsidRPr="00E44DA2" w:rsidRDefault="00944295">
      <w:pPr>
        <w:jc w:val="center"/>
        <w:rPr>
          <w:u w:val="single"/>
        </w:rPr>
      </w:pPr>
      <w:r w:rsidRPr="00E44DA2">
        <w:rPr>
          <w:u w:val="single"/>
        </w:rPr>
        <w:tab/>
      </w:r>
      <w:r w:rsidRPr="00E44DA2">
        <w:rPr>
          <w:u w:val="single"/>
        </w:rPr>
        <w:tab/>
      </w:r>
      <w:r w:rsidRPr="00E44DA2">
        <w:rPr>
          <w:u w:val="single"/>
        </w:rPr>
        <w:tab/>
      </w:r>
      <w:r w:rsidRPr="00E44DA2">
        <w:rPr>
          <w:u w:val="single"/>
        </w:rPr>
        <w:tab/>
      </w:r>
    </w:p>
    <w:sectPr w:rsidR="00DA493F" w:rsidRPr="00E44DA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3F" w:rsidRDefault="00DA493F"/>
  </w:endnote>
  <w:endnote w:type="continuationSeparator" w:id="0">
    <w:p w:rsidR="00DA493F" w:rsidRDefault="00DA493F"/>
  </w:endnote>
  <w:endnote w:type="continuationNotice" w:id="1">
    <w:p w:rsidR="00DA493F" w:rsidRDefault="00DA4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Footer"/>
      <w:jc w:val="right"/>
    </w:pPr>
    <w:r>
      <w:rPr>
        <w:rStyle w:val="PageNumber"/>
      </w:rPr>
      <w:fldChar w:fldCharType="begin"/>
    </w:r>
    <w:r>
      <w:rPr>
        <w:rStyle w:val="PageNumber"/>
      </w:rPr>
      <w:instrText xml:space="preserve"> PAGE </w:instrText>
    </w:r>
    <w:r>
      <w:rPr>
        <w:rStyle w:val="PageNumber"/>
      </w:rPr>
      <w:fldChar w:fldCharType="separate"/>
    </w:r>
    <w:r w:rsidR="00F47A4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3F" w:rsidRDefault="00944295">
      <w:pPr>
        <w:tabs>
          <w:tab w:val="right" w:pos="2155"/>
        </w:tabs>
        <w:spacing w:after="80"/>
        <w:ind w:left="680"/>
        <w:rPr>
          <w:u w:val="single"/>
        </w:rPr>
      </w:pPr>
      <w:r>
        <w:rPr>
          <w:u w:val="single"/>
        </w:rPr>
        <w:tab/>
      </w:r>
    </w:p>
  </w:footnote>
  <w:footnote w:type="continuationSeparator" w:id="0">
    <w:p w:rsidR="00DA493F" w:rsidRDefault="00944295">
      <w:pPr>
        <w:tabs>
          <w:tab w:val="left" w:pos="2155"/>
        </w:tabs>
        <w:spacing w:after="80"/>
        <w:ind w:left="680"/>
        <w:rPr>
          <w:u w:val="single"/>
        </w:rPr>
      </w:pPr>
      <w:r>
        <w:rPr>
          <w:u w:val="single"/>
        </w:rPr>
        <w:tab/>
      </w:r>
    </w:p>
  </w:footnote>
  <w:footnote w:type="continuationNotice" w:id="1">
    <w:p w:rsidR="00DA493F" w:rsidRDefault="00DA4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Header"/>
      <w:rPr>
        <w:lang w:val="fr-CH"/>
      </w:rPr>
    </w:pPr>
    <w:proofErr w:type="spellStart"/>
    <w:r>
      <w:rPr>
        <w:lang w:val="fr-CH"/>
      </w:rPr>
      <w:t>INF.xx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Header"/>
      <w:jc w:val="right"/>
    </w:pPr>
    <w:r>
      <w:t>INF.3</w:t>
    </w:r>
    <w:r w:rsidR="008E34D2">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3F" w:rsidRDefault="00944295">
    <w:pPr>
      <w:pStyle w:val="Header"/>
      <w:pBdr>
        <w:bottom w:val="single" w:sz="4" w:space="1" w:color="auto"/>
      </w:pBdr>
      <w:jc w:val="right"/>
      <w:rPr>
        <w:sz w:val="28"/>
        <w:szCs w:val="28"/>
      </w:rPr>
    </w:pPr>
    <w:r>
      <w:rPr>
        <w:sz w:val="28"/>
        <w:szCs w:val="28"/>
      </w:rPr>
      <w:t>INF.3</w:t>
    </w:r>
    <w:r w:rsidR="00E44DA2">
      <w:rPr>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1">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2">
    <w:nsid w:val="3F9862F3"/>
    <w:multiLevelType w:val="hybridMultilevel"/>
    <w:tmpl w:val="C3EA6170"/>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3">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nsid w:val="4F9C5039"/>
    <w:multiLevelType w:val="hybridMultilevel"/>
    <w:tmpl w:val="07D86112"/>
    <w:lvl w:ilvl="0" w:tplc="D51067D6">
      <w:numFmt w:val="bullet"/>
      <w:lvlText w:val="•"/>
      <w:lvlJc w:val="left"/>
      <w:pPr>
        <w:ind w:left="1689" w:hanging="555"/>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5">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7"/>
  </w:num>
  <w:num w:numId="12">
    <w:abstractNumId w:val="16"/>
  </w:num>
  <w:num w:numId="13">
    <w:abstractNumId w:val="11"/>
  </w:num>
  <w:num w:numId="14">
    <w:abstractNumId w:val="13"/>
  </w:num>
  <w:num w:numId="15">
    <w:abstractNumId w:val="18"/>
  </w:num>
  <w:num w:numId="16">
    <w:abstractNumId w:val="15"/>
  </w:num>
  <w:num w:numId="17">
    <w:abstractNumId w:val="26"/>
  </w:num>
  <w:num w:numId="18">
    <w:abstractNumId w:val="28"/>
  </w:num>
  <w:num w:numId="19">
    <w:abstractNumId w:val="25"/>
  </w:num>
  <w:num w:numId="20">
    <w:abstractNumId w:val="14"/>
  </w:num>
  <w:num w:numId="21">
    <w:abstractNumId w:val="20"/>
  </w:num>
  <w:num w:numId="22">
    <w:abstractNumId w:val="29"/>
  </w:num>
  <w:num w:numId="23">
    <w:abstractNumId w:val="19"/>
  </w:num>
  <w:num w:numId="24">
    <w:abstractNumId w:val="23"/>
  </w:num>
  <w:num w:numId="25">
    <w:abstractNumId w:val="27"/>
  </w:num>
  <w:num w:numId="26">
    <w:abstractNumId w:val="21"/>
  </w:num>
  <w:num w:numId="27">
    <w:abstractNumId w:val="0"/>
  </w:num>
  <w:num w:numId="28">
    <w:abstractNumId w:val="12"/>
  </w:num>
  <w:num w:numId="29">
    <w:abstractNumId w:val="22"/>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3F"/>
    <w:rsid w:val="00533591"/>
    <w:rsid w:val="006A6F95"/>
    <w:rsid w:val="008E34D2"/>
    <w:rsid w:val="008E7BD0"/>
    <w:rsid w:val="00944295"/>
    <w:rsid w:val="00DA493F"/>
    <w:rsid w:val="00E44DA2"/>
    <w:rsid w:val="00F230C1"/>
    <w:rsid w:val="00F47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val="en-GB" w:eastAsia="en-US"/>
    </w:rPr>
  </w:style>
  <w:style w:type="paragraph" w:styleId="Heading1">
    <w:name w:val="heading 1"/>
    <w:aliases w:val="Table_G"/>
    <w:basedOn w:val="SingleTxtG"/>
    <w:next w:val="SingleTxtG"/>
    <w:qFormat/>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Pr>
      <w:color w:val="auto"/>
      <w:u w:val="none"/>
    </w:rPr>
  </w:style>
  <w:style w:type="paragraph" w:styleId="Footer">
    <w:name w:val="footer"/>
    <w:aliases w:val="3_G"/>
    <w:basedOn w:val="Normal"/>
    <w:rPr>
      <w:sz w:val="16"/>
    </w:rPr>
  </w:style>
  <w:style w:type="paragraph" w:styleId="Header">
    <w:name w:val="header"/>
    <w:aliases w:val="6_G"/>
    <w:basedOn w:val="Normal"/>
    <w:link w:val="HeaderChar"/>
    <w:pPr>
      <w:pBdr>
        <w:bottom w:val="single" w:sz="4" w:space="4" w:color="auto"/>
      </w:pBdr>
    </w:pPr>
    <w:rPr>
      <w:b/>
      <w:sz w:val="18"/>
    </w:rPr>
  </w:style>
  <w:style w:type="character" w:customStyle="1" w:styleId="HeaderChar">
    <w:name w:val="Header Char"/>
    <w:aliases w:val="6_G Char"/>
    <w:link w:val="Header"/>
    <w:rPr>
      <w:b/>
      <w:sz w:val="18"/>
      <w:lang w:val="en-GB"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Pr>
      <w:color w:val="auto"/>
      <w:u w:val="none"/>
    </w:rPr>
  </w:style>
  <w:style w:type="character" w:customStyle="1" w:styleId="HChGChar">
    <w:name w:val="_ H _Ch_G Char"/>
    <w:link w:val="HChG"/>
    <w:rPr>
      <w:b/>
      <w:sz w:val="28"/>
      <w:lang w:val="en-GB" w:eastAsia="en-US" w:bidi="ar-SA"/>
    </w:rPr>
  </w:style>
  <w:style w:type="paragraph" w:customStyle="1" w:styleId="Standardowy">
    <w:name w:val="Standardowy"/>
    <w:rPr>
      <w:rFonts w:ascii="Arial" w:hAnsi="Arial"/>
      <w:snapToGrid w:val="0"/>
      <w:sz w:val="24"/>
      <w:lang w:val="en-GB" w:eastAsia="en-US"/>
    </w:rPr>
  </w:style>
  <w:style w:type="table" w:customStyle="1" w:styleId="TableGrid1">
    <w:name w:val="Table Grid1"/>
    <w:basedOn w:val="TableNormal"/>
    <w:next w:val="TableGri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rPr>
      <w:b/>
      <w:sz w:val="24"/>
      <w:lang w:eastAsia="en-US"/>
    </w:rPr>
  </w:style>
  <w:style w:type="character" w:styleId="CommentReference">
    <w:name w:val="annotation reference"/>
    <w:rPr>
      <w:sz w:val="6"/>
    </w:rPr>
  </w:style>
  <w:style w:type="paragraph" w:styleId="CommentText">
    <w:name w:val="annotation text"/>
    <w:basedOn w:val="Normal"/>
    <w:link w:val="CommentTextChar"/>
    <w:pPr>
      <w:suppressAutoHyphens/>
      <w:spacing w:after="0" w:line="240" w:lineRule="atLeast"/>
    </w:pPr>
  </w:style>
  <w:style w:type="character" w:customStyle="1" w:styleId="CommentTextChar">
    <w:name w:val="Comment Text Char"/>
    <w:basedOn w:val="DefaultParagraphFont"/>
    <w:link w:val="CommentText"/>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Appelnotedebasdep1">
    <w:name w:val="Appel note de bas de p.1"/>
    <w:rPr>
      <w:vertAlign w:val="superscript"/>
    </w:rPr>
  </w:style>
  <w:style w:type="paragraph" w:customStyle="1" w:styleId="BodyTextIndent31">
    <w:name w:val="Body Text Indent 31"/>
    <w:basedOn w:val="Normal"/>
    <w:pPr>
      <w:suppressAutoHyphens/>
      <w:spacing w:after="120" w:line="240" w:lineRule="atLeast"/>
      <w:ind w:left="283"/>
    </w:pPr>
    <w:rPr>
      <w:sz w:val="16"/>
      <w:szCs w:val="16"/>
      <w:lang w:eastAsia="zh-CN"/>
    </w:rPr>
  </w:style>
  <w:style w:type="paragraph" w:styleId="CommentSubject">
    <w:name w:val="annotation subject"/>
    <w:basedOn w:val="CommentText"/>
    <w:next w:val="CommentText"/>
    <w:link w:val="CommentSubjectChar"/>
    <w:semiHidden/>
    <w:unhideWhenUsed/>
    <w:pPr>
      <w:suppressAutoHyphens w:val="0"/>
      <w:spacing w:after="240" w:line="240" w:lineRule="auto"/>
    </w:pPr>
    <w:rPr>
      <w:b/>
      <w:bCs/>
    </w:rPr>
  </w:style>
  <w:style w:type="character" w:customStyle="1" w:styleId="CommentSubjectChar">
    <w:name w:val="Comment Subject Char"/>
    <w:basedOn w:val="CommentTextChar"/>
    <w:link w:val="CommentSubject"/>
    <w:semiHidden/>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val="en-GB" w:eastAsia="en-US"/>
    </w:rPr>
  </w:style>
  <w:style w:type="paragraph" w:styleId="Heading1">
    <w:name w:val="heading 1"/>
    <w:aliases w:val="Table_G"/>
    <w:basedOn w:val="SingleTxtG"/>
    <w:next w:val="SingleTxtG"/>
    <w:qFormat/>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line="300" w:lineRule="exact"/>
      <w:ind w:left="1134" w:right="1134" w:hanging="1134"/>
    </w:pPr>
    <w:rPr>
      <w:b/>
      <w:sz w:val="28"/>
    </w:rPr>
  </w:style>
  <w:style w:type="character" w:styleId="PageNumber">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Pr>
      <w:color w:val="auto"/>
      <w:u w:val="none"/>
    </w:rPr>
  </w:style>
  <w:style w:type="paragraph" w:styleId="Footer">
    <w:name w:val="footer"/>
    <w:aliases w:val="3_G"/>
    <w:basedOn w:val="Normal"/>
    <w:rPr>
      <w:sz w:val="16"/>
    </w:rPr>
  </w:style>
  <w:style w:type="paragraph" w:styleId="Header">
    <w:name w:val="header"/>
    <w:aliases w:val="6_G"/>
    <w:basedOn w:val="Normal"/>
    <w:link w:val="HeaderChar"/>
    <w:pPr>
      <w:pBdr>
        <w:bottom w:val="single" w:sz="4" w:space="4" w:color="auto"/>
      </w:pBdr>
    </w:pPr>
    <w:rPr>
      <w:b/>
      <w:sz w:val="18"/>
    </w:rPr>
  </w:style>
  <w:style w:type="character" w:customStyle="1" w:styleId="HeaderChar">
    <w:name w:val="Header Char"/>
    <w:aliases w:val="6_G Char"/>
    <w:link w:val="Header"/>
    <w:rPr>
      <w:b/>
      <w:sz w:val="18"/>
      <w:lang w:val="en-GB"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Pr>
      <w:color w:val="auto"/>
      <w:u w:val="none"/>
    </w:rPr>
  </w:style>
  <w:style w:type="character" w:customStyle="1" w:styleId="HChGChar">
    <w:name w:val="_ H _Ch_G Char"/>
    <w:link w:val="HChG"/>
    <w:rPr>
      <w:b/>
      <w:sz w:val="28"/>
      <w:lang w:val="en-GB" w:eastAsia="en-US" w:bidi="ar-SA"/>
    </w:rPr>
  </w:style>
  <w:style w:type="paragraph" w:customStyle="1" w:styleId="Standardowy">
    <w:name w:val="Standardowy"/>
    <w:rPr>
      <w:rFonts w:ascii="Arial" w:hAnsi="Arial"/>
      <w:snapToGrid w:val="0"/>
      <w:sz w:val="24"/>
      <w:lang w:val="en-GB" w:eastAsia="en-US"/>
    </w:rPr>
  </w:style>
  <w:style w:type="table" w:customStyle="1" w:styleId="TableGrid1">
    <w:name w:val="Table Grid1"/>
    <w:basedOn w:val="TableNormal"/>
    <w:next w:val="TableGri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rPr>
      <w:b/>
      <w:sz w:val="24"/>
      <w:lang w:eastAsia="en-US"/>
    </w:rPr>
  </w:style>
  <w:style w:type="character" w:styleId="CommentReference">
    <w:name w:val="annotation reference"/>
    <w:rPr>
      <w:sz w:val="6"/>
    </w:rPr>
  </w:style>
  <w:style w:type="paragraph" w:styleId="CommentText">
    <w:name w:val="annotation text"/>
    <w:basedOn w:val="Normal"/>
    <w:link w:val="CommentTextChar"/>
    <w:pPr>
      <w:suppressAutoHyphens/>
      <w:spacing w:after="0" w:line="240" w:lineRule="atLeast"/>
    </w:pPr>
  </w:style>
  <w:style w:type="character" w:customStyle="1" w:styleId="CommentTextChar">
    <w:name w:val="Comment Text Char"/>
    <w:basedOn w:val="DefaultParagraphFont"/>
    <w:link w:val="CommentText"/>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Appelnotedebasdep1">
    <w:name w:val="Appel note de bas de p.1"/>
    <w:rPr>
      <w:vertAlign w:val="superscript"/>
    </w:rPr>
  </w:style>
  <w:style w:type="paragraph" w:customStyle="1" w:styleId="BodyTextIndent31">
    <w:name w:val="Body Text Indent 31"/>
    <w:basedOn w:val="Normal"/>
    <w:pPr>
      <w:suppressAutoHyphens/>
      <w:spacing w:after="120" w:line="240" w:lineRule="atLeast"/>
      <w:ind w:left="283"/>
    </w:pPr>
    <w:rPr>
      <w:sz w:val="16"/>
      <w:szCs w:val="16"/>
      <w:lang w:eastAsia="zh-CN"/>
    </w:rPr>
  </w:style>
  <w:style w:type="paragraph" w:styleId="CommentSubject">
    <w:name w:val="annotation subject"/>
    <w:basedOn w:val="CommentText"/>
    <w:next w:val="CommentText"/>
    <w:link w:val="CommentSubjectChar"/>
    <w:semiHidden/>
    <w:unhideWhenUsed/>
    <w:pPr>
      <w:suppressAutoHyphens w:val="0"/>
      <w:spacing w:after="240" w:line="240" w:lineRule="auto"/>
    </w:pPr>
    <w:rPr>
      <w:b/>
      <w:bCs/>
    </w:rPr>
  </w:style>
  <w:style w:type="character" w:customStyle="1" w:styleId="CommentSubjectChar">
    <w:name w:val="Comment Subject Char"/>
    <w:basedOn w:val="CommentTextChar"/>
    <w:link w:val="CommentSubject"/>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EACB-F7CD-4432-A225-2EEC5452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1150</Characters>
  <Application>Microsoft Office Word</Application>
  <DocSecurity>0</DocSecurity>
  <Lines>21</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3</cp:revision>
  <cp:lastPrinted>2015-09-16T07:25:00Z</cp:lastPrinted>
  <dcterms:created xsi:type="dcterms:W3CDTF">2015-09-16T09:48:00Z</dcterms:created>
  <dcterms:modified xsi:type="dcterms:W3CDTF">2015-09-16T09:50:00Z</dcterms:modified>
</cp:coreProperties>
</file>