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F" w:rsidRPr="00F47A45" w:rsidRDefault="00944295">
      <w:pPr>
        <w:pStyle w:val="H1G"/>
        <w:spacing w:before="240" w:after="120" w:line="223" w:lineRule="auto"/>
        <w:ind w:right="-6"/>
        <w:rPr>
          <w:sz w:val="28"/>
          <w:szCs w:val="28"/>
        </w:rPr>
      </w:pPr>
      <w:r w:rsidRPr="00F47A45">
        <w:rPr>
          <w:sz w:val="28"/>
          <w:szCs w:val="28"/>
        </w:rPr>
        <w:t>Economic Commission for Europe</w:t>
      </w:r>
    </w:p>
    <w:p w:rsidR="00DA493F" w:rsidRPr="00F47A45" w:rsidRDefault="00944295">
      <w:pPr>
        <w:pStyle w:val="H1G"/>
        <w:spacing w:before="240" w:after="120" w:line="223" w:lineRule="auto"/>
        <w:ind w:right="-6"/>
        <w:rPr>
          <w:b w:val="0"/>
          <w:sz w:val="28"/>
          <w:szCs w:val="28"/>
        </w:rPr>
      </w:pPr>
      <w:r w:rsidRPr="00F47A45">
        <w:rPr>
          <w:b w:val="0"/>
          <w:sz w:val="28"/>
          <w:szCs w:val="28"/>
        </w:rPr>
        <w:t>Inland Transport Committee</w:t>
      </w:r>
    </w:p>
    <w:p w:rsidR="00DA493F" w:rsidRPr="00F47A45" w:rsidRDefault="00944295">
      <w:pPr>
        <w:pStyle w:val="H1G"/>
        <w:tabs>
          <w:tab w:val="left" w:pos="7938"/>
        </w:tabs>
        <w:spacing w:before="120" w:after="0" w:line="223" w:lineRule="auto"/>
        <w:ind w:right="-6"/>
        <w:rPr>
          <w:sz w:val="20"/>
        </w:rPr>
      </w:pPr>
      <w:r w:rsidRPr="00F47A45">
        <w:rPr>
          <w:sz w:val="20"/>
        </w:rPr>
        <w:t>Working Party on the Transport of Dangerous Goods</w:t>
      </w:r>
      <w:r w:rsidRPr="00F47A45">
        <w:rPr>
          <w:sz w:val="20"/>
        </w:rPr>
        <w:tab/>
      </w:r>
      <w:r w:rsidR="00F47A45">
        <w:rPr>
          <w:sz w:val="20"/>
        </w:rPr>
        <w:t>1</w:t>
      </w:r>
      <w:r w:rsidR="00CF2B8B">
        <w:rPr>
          <w:sz w:val="20"/>
        </w:rPr>
        <w:t>7</w:t>
      </w:r>
      <w:r w:rsidRPr="00F47A45">
        <w:rPr>
          <w:sz w:val="20"/>
        </w:rPr>
        <w:t xml:space="preserve"> September 2015</w:t>
      </w:r>
    </w:p>
    <w:p w:rsidR="00DA493F" w:rsidRPr="00F47A45" w:rsidRDefault="00944295">
      <w:pPr>
        <w:pStyle w:val="H1G"/>
        <w:spacing w:before="120" w:after="120" w:line="223" w:lineRule="auto"/>
        <w:ind w:left="0" w:right="-6" w:firstLine="0"/>
        <w:rPr>
          <w:sz w:val="20"/>
        </w:rPr>
      </w:pPr>
      <w:r w:rsidRPr="00F47A45">
        <w:rPr>
          <w:sz w:val="20"/>
        </w:rPr>
        <w:t>Joint Meeting of the RID Committee of Experts and the</w:t>
      </w:r>
      <w:r w:rsidRPr="00F47A45">
        <w:rPr>
          <w:sz w:val="20"/>
        </w:rPr>
        <w:br/>
        <w:t>Working Party on the Transport of Dangerous Goods</w:t>
      </w:r>
    </w:p>
    <w:p w:rsidR="00DA493F" w:rsidRPr="00F47A45" w:rsidRDefault="00944295">
      <w:pPr>
        <w:spacing w:after="0"/>
      </w:pPr>
      <w:r w:rsidRPr="00F47A45">
        <w:t>Geneva, 15–25 September 2015</w:t>
      </w:r>
    </w:p>
    <w:p w:rsidR="00DA493F" w:rsidRPr="00F47A45" w:rsidRDefault="00944295">
      <w:pPr>
        <w:spacing w:after="0"/>
      </w:pPr>
      <w:r w:rsidRPr="00F47A45">
        <w:t>Item 2 of the provisional agenda</w:t>
      </w:r>
    </w:p>
    <w:p w:rsidR="00DA493F" w:rsidRPr="00F47A45" w:rsidRDefault="00944295">
      <w:pPr>
        <w:spacing w:after="0"/>
        <w:rPr>
          <w:b/>
        </w:rPr>
      </w:pPr>
      <w:r w:rsidRPr="00F47A45">
        <w:rPr>
          <w:b/>
        </w:rPr>
        <w:t xml:space="preserve">Harmonization with the United Nations Recommendations </w:t>
      </w:r>
    </w:p>
    <w:p w:rsidR="00DA493F" w:rsidRPr="00F47A45" w:rsidRDefault="00944295">
      <w:pPr>
        <w:spacing w:after="0"/>
        <w:rPr>
          <w:b/>
        </w:rPr>
      </w:pPr>
      <w:proofErr w:type="gramStart"/>
      <w:r w:rsidRPr="00F47A45">
        <w:rPr>
          <w:b/>
        </w:rPr>
        <w:t>on</w:t>
      </w:r>
      <w:proofErr w:type="gramEnd"/>
      <w:r w:rsidRPr="00F47A45">
        <w:rPr>
          <w:b/>
        </w:rPr>
        <w:t xml:space="preserve"> the Transport of Dangerous Goods</w:t>
      </w:r>
    </w:p>
    <w:p w:rsidR="00E44DA2" w:rsidRDefault="00E44DA2" w:rsidP="00E44DA2">
      <w:pPr>
        <w:pStyle w:val="H1G"/>
      </w:pPr>
      <w:r>
        <w:tab/>
      </w:r>
      <w:r>
        <w:tab/>
        <w:t>Transmitted by the Government of Germany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lang w:eastAsia="de-DE"/>
        </w:rPr>
        <w:t xml:space="preserve">“6YY 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>(a) 2.2.9.1.7 a) does not apply when pre-production prototype lithium batteries or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proofErr w:type="gramStart"/>
      <w:r w:rsidRPr="00CF2B8B">
        <w:rPr>
          <w:rFonts w:ascii="TimesNewRomanPSMT" w:hAnsi="TimesNewRomanPSMT"/>
          <w:lang w:val="en-US" w:eastAsia="de-DE"/>
        </w:rPr>
        <w:t>lithium</w:t>
      </w:r>
      <w:proofErr w:type="gramEnd"/>
      <w:r w:rsidRPr="00CF2B8B">
        <w:rPr>
          <w:rFonts w:ascii="TimesNewRomanPSMT" w:hAnsi="TimesNewRomanPSMT"/>
          <w:lang w:val="en-US" w:eastAsia="de-DE"/>
        </w:rPr>
        <w:t xml:space="preserve"> batteries of a small production run, consisting of not more than 100 batteries, are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proofErr w:type="gramStart"/>
      <w:r w:rsidRPr="00CF2B8B">
        <w:rPr>
          <w:rFonts w:ascii="TimesNewRomanPSMT" w:hAnsi="TimesNewRomanPSMT"/>
          <w:lang w:val="en-US" w:eastAsia="de-DE"/>
        </w:rPr>
        <w:t>installed</w:t>
      </w:r>
      <w:proofErr w:type="gramEnd"/>
      <w:r w:rsidRPr="00CF2B8B">
        <w:rPr>
          <w:rFonts w:ascii="TimesNewRomanPSMT" w:hAnsi="TimesNewRomanPSMT"/>
          <w:lang w:val="en-US" w:eastAsia="de-DE"/>
        </w:rPr>
        <w:t xml:space="preserve"> in the vehicle, engine, machine or non road mobile machinery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sz w:val="24"/>
          <w:szCs w:val="24"/>
          <w:lang w:val="en-US" w:eastAsia="en-GB"/>
        </w:rPr>
        <w:t> 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 xml:space="preserve">(b) 2.2.9.1.7 </w:t>
      </w:r>
      <w:r w:rsidRPr="00CF2B8B">
        <w:rPr>
          <w:rFonts w:ascii="TimesNewRomanPSMT" w:hAnsi="TimesNewRomanPSMT"/>
          <w:strike/>
          <w:highlight w:val="yellow"/>
          <w:lang w:val="en-US" w:eastAsia="de-DE"/>
        </w:rPr>
        <w:t>a)</w:t>
      </w:r>
      <w:r w:rsidRPr="00CF2B8B">
        <w:rPr>
          <w:rFonts w:ascii="TimesNewRomanPSMT" w:hAnsi="TimesNewRomanPSMT"/>
          <w:lang w:val="en-US" w:eastAsia="de-DE"/>
        </w:rPr>
        <w:t xml:space="preserve"> does not apply to lithium batteries installed in damaged or defective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proofErr w:type="gramStart"/>
      <w:r w:rsidRPr="00CF2B8B">
        <w:rPr>
          <w:rFonts w:ascii="TimesNewRomanPSMT" w:hAnsi="TimesNewRomanPSMT"/>
          <w:lang w:val="en-US" w:eastAsia="de-DE"/>
        </w:rPr>
        <w:t>vehicles</w:t>
      </w:r>
      <w:proofErr w:type="gramEnd"/>
      <w:r w:rsidRPr="00CF2B8B">
        <w:rPr>
          <w:rFonts w:ascii="TimesNewRomanPSMT" w:hAnsi="TimesNewRomanPSMT"/>
          <w:lang w:val="en-US" w:eastAsia="de-DE"/>
        </w:rPr>
        <w:t>, engine, machines or non road mobile machinery, under the following conditions: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>(</w:t>
      </w:r>
      <w:proofErr w:type="spellStart"/>
      <w:r w:rsidRPr="00CF2B8B">
        <w:rPr>
          <w:rFonts w:ascii="TimesNewRomanPSMT" w:hAnsi="TimesNewRomanPSMT"/>
          <w:lang w:val="en-US" w:eastAsia="de-DE"/>
        </w:rPr>
        <w:t>i</w:t>
      </w:r>
      <w:proofErr w:type="spellEnd"/>
      <w:r w:rsidRPr="00CF2B8B">
        <w:rPr>
          <w:rFonts w:ascii="TimesNewRomanPSMT" w:hAnsi="TimesNewRomanPSMT"/>
          <w:lang w:val="en-US" w:eastAsia="de-DE"/>
        </w:rPr>
        <w:t>) Damaged and defective vehicles, engines machines or non road mobile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proofErr w:type="gramStart"/>
      <w:r w:rsidRPr="00CF2B8B">
        <w:rPr>
          <w:rFonts w:ascii="TimesNewRomanPSMT" w:hAnsi="TimesNewRomanPSMT"/>
          <w:lang w:val="en-US" w:eastAsia="de-DE"/>
        </w:rPr>
        <w:t>machinery</w:t>
      </w:r>
      <w:proofErr w:type="gramEnd"/>
      <w:r w:rsidRPr="00CF2B8B">
        <w:rPr>
          <w:rFonts w:ascii="TimesNewRomanPSMT" w:hAnsi="TimesNewRomanPSMT"/>
          <w:lang w:val="en-US" w:eastAsia="de-DE"/>
        </w:rPr>
        <w:t>, may be transported as specified respectively in special provisions 363,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>6XX, or 6ZZ, if the damage or defect has no relevant impact on the safety of the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proofErr w:type="gramStart"/>
      <w:r w:rsidRPr="00CF2B8B">
        <w:rPr>
          <w:rFonts w:ascii="TimesNewRomanPSMT" w:hAnsi="TimesNewRomanPSMT"/>
          <w:lang w:val="en-US" w:eastAsia="de-DE"/>
        </w:rPr>
        <w:t>battery</w:t>
      </w:r>
      <w:proofErr w:type="gramEnd"/>
      <w:r w:rsidRPr="00CF2B8B">
        <w:rPr>
          <w:rFonts w:ascii="TimesNewRomanPSMT" w:hAnsi="TimesNewRomanPSMT"/>
          <w:lang w:val="en-US" w:eastAsia="de-DE"/>
        </w:rPr>
        <w:t>.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> </w:t>
      </w:r>
    </w:p>
    <w:p w:rsidR="00CF2B8B" w:rsidRPr="00CF2B8B" w:rsidRDefault="00CF2B8B" w:rsidP="00CF2B8B">
      <w:pPr>
        <w:pStyle w:val="SingleTxtG"/>
        <w:rPr>
          <w:sz w:val="24"/>
          <w:szCs w:val="24"/>
          <w:lang w:eastAsia="en-GB"/>
        </w:rPr>
      </w:pPr>
      <w:r w:rsidRPr="00CF2B8B">
        <w:rPr>
          <w:rFonts w:ascii="TimesNewRomanPSMT" w:hAnsi="TimesNewRomanPSMT"/>
          <w:lang w:val="en-US" w:eastAsia="de-DE"/>
        </w:rPr>
        <w:t xml:space="preserve">(ii) </w:t>
      </w:r>
      <w:r w:rsidRPr="00CF2B8B">
        <w:rPr>
          <w:rFonts w:ascii="TimesNewRomanPSMT" w:hAnsi="TimesNewRomanPSMT"/>
          <w:highlight w:val="yellow"/>
          <w:lang w:val="en-US" w:eastAsia="de-DE"/>
        </w:rPr>
        <w:t>If the damage or defect on the vehicle has a severe/relevant impact on the safety of the battery</w:t>
      </w:r>
      <w:r w:rsidRPr="00CF2B8B">
        <w:rPr>
          <w:rFonts w:ascii="TimesNewRomanPSMT" w:hAnsi="TimesNewRomanPSMT"/>
          <w:lang w:val="en-US" w:eastAsia="de-DE"/>
        </w:rPr>
        <w:t>, the lithium battery has to be removed and transported according to special provision 376.</w:t>
      </w:r>
      <w:r w:rsidRPr="00CF2B8B">
        <w:rPr>
          <w:sz w:val="24"/>
          <w:szCs w:val="24"/>
          <w:lang w:val="en-US" w:eastAsia="en-GB"/>
        </w:rPr>
        <w:t xml:space="preserve"> </w:t>
      </w:r>
      <w:r w:rsidRPr="00CF2B8B">
        <w:rPr>
          <w:rFonts w:ascii="TimesNewRomanPSMT" w:hAnsi="TimesNewRomanPSMT"/>
          <w:lang w:val="en-US" w:eastAsia="de-DE"/>
        </w:rPr>
        <w:t xml:space="preserve">However if removal is not possible under appropriate safety conditions, </w:t>
      </w:r>
      <w:r w:rsidRPr="00CF2B8B">
        <w:rPr>
          <w:rFonts w:ascii="TimesNewRomanPSMT" w:hAnsi="TimesNewRomanPSMT"/>
          <w:highlight w:val="yellow"/>
          <w:lang w:val="en-US" w:eastAsia="de-DE"/>
        </w:rPr>
        <w:t>in the case of not being able to verify the status of damage</w:t>
      </w:r>
      <w:r w:rsidRPr="00CF2B8B">
        <w:rPr>
          <w:rFonts w:ascii="TimesNewRomanPSMT" w:hAnsi="TimesNewRomanPSMT"/>
          <w:lang w:val="en-US" w:eastAsia="de-DE"/>
        </w:rPr>
        <w:t>, to be towed or carried away, vehicles, machines or non road mobile machinery may be carried as specified in (</w:t>
      </w:r>
      <w:proofErr w:type="spellStart"/>
      <w:r w:rsidRPr="00CF2B8B">
        <w:rPr>
          <w:rFonts w:ascii="TimesNewRomanPSMT" w:hAnsi="TimesNewRomanPSMT"/>
          <w:lang w:val="en-US" w:eastAsia="de-DE"/>
        </w:rPr>
        <w:t>i</w:t>
      </w:r>
      <w:proofErr w:type="spellEnd"/>
      <w:r w:rsidRPr="00CF2B8B">
        <w:rPr>
          <w:rFonts w:ascii="TimesNewRomanPSMT" w:hAnsi="TimesNewRomanPSMT"/>
          <w:lang w:val="en-US" w:eastAsia="de-DE"/>
        </w:rPr>
        <w:t>)”</w:t>
      </w:r>
    </w:p>
    <w:p w:rsidR="00DA493F" w:rsidRPr="00E44DA2" w:rsidRDefault="00944295">
      <w:pPr>
        <w:jc w:val="center"/>
        <w:rPr>
          <w:u w:val="single"/>
        </w:rPr>
      </w:pPr>
      <w:bookmarkStart w:id="0" w:name="_GoBack"/>
      <w:bookmarkEnd w:id="0"/>
      <w:r w:rsidRPr="00E44DA2">
        <w:rPr>
          <w:u w:val="single"/>
        </w:rPr>
        <w:tab/>
      </w:r>
      <w:r w:rsidRPr="00E44DA2">
        <w:rPr>
          <w:u w:val="single"/>
        </w:rPr>
        <w:tab/>
      </w:r>
      <w:r w:rsidRPr="00E44DA2">
        <w:rPr>
          <w:u w:val="single"/>
        </w:rPr>
        <w:tab/>
      </w:r>
      <w:r w:rsidRPr="00E44DA2">
        <w:rPr>
          <w:u w:val="single"/>
        </w:rPr>
        <w:tab/>
      </w:r>
    </w:p>
    <w:sectPr w:rsidR="00DA493F" w:rsidRPr="00E44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3F" w:rsidRDefault="00DA493F"/>
  </w:endnote>
  <w:endnote w:type="continuationSeparator" w:id="0">
    <w:p w:rsidR="00DA493F" w:rsidRDefault="00DA493F"/>
  </w:endnote>
  <w:endnote w:type="continuationNotice" w:id="1">
    <w:p w:rsidR="00DA493F" w:rsidRDefault="00DA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A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9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3F" w:rsidRDefault="0094429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493F" w:rsidRDefault="00944295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493F" w:rsidRDefault="00DA49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rPr>
        <w:lang w:val="fr-CH"/>
      </w:rPr>
    </w:pPr>
    <w:proofErr w:type="spellStart"/>
    <w:r>
      <w:rPr>
        <w:lang w:val="fr-CH"/>
      </w:rPr>
      <w:t>INF.xx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jc w:val="right"/>
    </w:pPr>
    <w:r>
      <w:t>INF.3</w:t>
    </w:r>
    <w:r w:rsidR="008E34D2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>
      <w:rPr>
        <w:sz w:val="28"/>
        <w:szCs w:val="28"/>
      </w:rPr>
      <w:t>INF.3</w:t>
    </w:r>
    <w:r w:rsidR="00CF2B8B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3F9862F3"/>
    <w:multiLevelType w:val="hybridMultilevel"/>
    <w:tmpl w:val="C3EA6170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F9C5039"/>
    <w:multiLevelType w:val="hybridMultilevel"/>
    <w:tmpl w:val="07D86112"/>
    <w:lvl w:ilvl="0" w:tplc="D51067D6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25"/>
  </w:num>
  <w:num w:numId="20">
    <w:abstractNumId w:val="14"/>
  </w:num>
  <w:num w:numId="21">
    <w:abstractNumId w:val="20"/>
  </w:num>
  <w:num w:numId="22">
    <w:abstractNumId w:val="29"/>
  </w:num>
  <w:num w:numId="23">
    <w:abstractNumId w:val="19"/>
  </w:num>
  <w:num w:numId="24">
    <w:abstractNumId w:val="23"/>
  </w:num>
  <w:num w:numId="25">
    <w:abstractNumId w:val="27"/>
  </w:num>
  <w:num w:numId="26">
    <w:abstractNumId w:val="21"/>
  </w:num>
  <w:num w:numId="27">
    <w:abstractNumId w:val="0"/>
  </w:num>
  <w:num w:numId="28">
    <w:abstractNumId w:val="12"/>
  </w:num>
  <w:num w:numId="29">
    <w:abstractNumId w:val="22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F"/>
    <w:rsid w:val="00383C13"/>
    <w:rsid w:val="00533591"/>
    <w:rsid w:val="006A6F95"/>
    <w:rsid w:val="008E34D2"/>
    <w:rsid w:val="008E7BD0"/>
    <w:rsid w:val="00944295"/>
    <w:rsid w:val="00CF2B8B"/>
    <w:rsid w:val="00DA493F"/>
    <w:rsid w:val="00E44DA2"/>
    <w:rsid w:val="00F230C1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E1A8-A80D-4B50-A08A-56E9CFE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2015-09-16T07:25:00Z</cp:lastPrinted>
  <dcterms:created xsi:type="dcterms:W3CDTF">2015-09-17T14:12:00Z</dcterms:created>
  <dcterms:modified xsi:type="dcterms:W3CDTF">2015-09-17T14:16:00Z</dcterms:modified>
</cp:coreProperties>
</file>