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9C" w:rsidRPr="00344612" w:rsidRDefault="00ED479C" w:rsidP="00ED479C">
      <w:pPr>
        <w:spacing w:line="60" w:lineRule="exact"/>
        <w:rPr>
          <w:color w:val="010000"/>
          <w:sz w:val="6"/>
        </w:rPr>
        <w:sectPr w:rsidR="00ED479C" w:rsidRPr="00344612" w:rsidSect="00ED479C">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p>
    <w:p w:rsidR="00344612" w:rsidRPr="00191979" w:rsidRDefault="00344612" w:rsidP="0034461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Европейская экономическая комиссия</w:t>
      </w:r>
    </w:p>
    <w:p w:rsidR="00344612" w:rsidRPr="00191979" w:rsidRDefault="00344612" w:rsidP="00344612">
      <w:pPr>
        <w:spacing w:line="120" w:lineRule="exact"/>
        <w:rPr>
          <w:sz w:val="10"/>
        </w:rPr>
      </w:pPr>
    </w:p>
    <w:p w:rsidR="00344612" w:rsidRPr="00191979" w:rsidRDefault="00344612" w:rsidP="0034461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rPr>
      </w:pPr>
      <w:r w:rsidRPr="00344612">
        <w:rPr>
          <w:b w:val="0"/>
          <w:bCs/>
        </w:rPr>
        <w:t>Комитет по внутреннему транспорту</w:t>
      </w:r>
    </w:p>
    <w:p w:rsidR="00344612" w:rsidRPr="00191979" w:rsidRDefault="00344612" w:rsidP="00344612">
      <w:pPr>
        <w:spacing w:line="120" w:lineRule="exact"/>
        <w:rPr>
          <w:sz w:val="10"/>
        </w:rPr>
      </w:pPr>
      <w:bookmarkStart w:id="0" w:name="_GoBack"/>
      <w:bookmarkEnd w:id="0"/>
    </w:p>
    <w:p w:rsidR="00344612" w:rsidRPr="00191979" w:rsidRDefault="00344612" w:rsidP="0034461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Рабочая группа по перевозкам опасных грузов</w:t>
      </w:r>
    </w:p>
    <w:p w:rsidR="00344612" w:rsidRPr="00191979" w:rsidRDefault="00344612" w:rsidP="00344612">
      <w:pPr>
        <w:spacing w:line="120" w:lineRule="exact"/>
        <w:rPr>
          <w:sz w:val="10"/>
        </w:rPr>
      </w:pPr>
    </w:p>
    <w:p w:rsidR="00344612" w:rsidRDefault="00344612" w:rsidP="0034461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Совместное совещание экспертов по Правилам,</w:t>
      </w:r>
      <w:r w:rsidRPr="00344612">
        <w:br/>
      </w:r>
      <w:r>
        <w:t>прилагаемым к Европейскому соглашению</w:t>
      </w:r>
      <w:r w:rsidRPr="00344612">
        <w:br/>
      </w:r>
      <w:r>
        <w:t>о международной перевозке опасных грузов</w:t>
      </w:r>
      <w:r w:rsidRPr="00344612">
        <w:br/>
      </w:r>
      <w:r>
        <w:t>по внутренним водным путям (ВОПОГ)</w:t>
      </w:r>
    </w:p>
    <w:p w:rsidR="00344612" w:rsidRPr="00191979" w:rsidRDefault="00344612" w:rsidP="0034461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(Комитет по вопросам безопасности ВОПОГ)</w:t>
      </w:r>
    </w:p>
    <w:p w:rsidR="000D624D" w:rsidRPr="00191979" w:rsidRDefault="000D624D" w:rsidP="000D624D">
      <w:pPr>
        <w:spacing w:line="120" w:lineRule="exact"/>
        <w:rPr>
          <w:sz w:val="10"/>
        </w:rPr>
      </w:pPr>
    </w:p>
    <w:p w:rsidR="00344612" w:rsidRDefault="00344612" w:rsidP="000D624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Двадцать седьмая сессия</w:t>
      </w:r>
    </w:p>
    <w:p w:rsidR="00344612" w:rsidRDefault="00344612" w:rsidP="00344612">
      <w:r>
        <w:t>Женева, 24−28 августа 2015 года</w:t>
      </w:r>
    </w:p>
    <w:p w:rsidR="00344612" w:rsidRPr="000D624D" w:rsidRDefault="00344612" w:rsidP="000D624D">
      <w:pPr>
        <w:pStyle w:val="SingleTxt"/>
        <w:spacing w:after="0" w:line="120" w:lineRule="exact"/>
        <w:rPr>
          <w:sz w:val="10"/>
        </w:rPr>
      </w:pPr>
    </w:p>
    <w:p w:rsidR="000D624D" w:rsidRPr="000D624D" w:rsidRDefault="000D624D" w:rsidP="000D624D">
      <w:pPr>
        <w:pStyle w:val="SingleTxt"/>
        <w:spacing w:after="0" w:line="120" w:lineRule="exact"/>
        <w:rPr>
          <w:sz w:val="10"/>
        </w:rPr>
      </w:pPr>
    </w:p>
    <w:p w:rsidR="000D624D" w:rsidRPr="000D624D" w:rsidRDefault="000D624D" w:rsidP="000D624D">
      <w:pPr>
        <w:pStyle w:val="SingleTxt"/>
        <w:spacing w:after="0" w:line="120" w:lineRule="exact"/>
        <w:rPr>
          <w:sz w:val="10"/>
        </w:rPr>
      </w:pPr>
    </w:p>
    <w:p w:rsidR="00ED479C" w:rsidRPr="000D624D" w:rsidRDefault="000D624D" w:rsidP="000D62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91979">
        <w:tab/>
      </w:r>
      <w:r w:rsidRPr="00191979">
        <w:tab/>
      </w:r>
      <w:r w:rsidR="00344612">
        <w:t>Доклад Совместного совещания экспертов</w:t>
      </w:r>
      <w:r w:rsidR="00191979">
        <w:br/>
      </w:r>
      <w:r>
        <w:t xml:space="preserve">по Правилам, прилагаемым к </w:t>
      </w:r>
      <w:r w:rsidR="00191979">
        <w:t>Европейскому</w:t>
      </w:r>
      <w:r w:rsidR="00191979">
        <w:br/>
        <w:t xml:space="preserve">соглашению о </w:t>
      </w:r>
      <w:r w:rsidR="00344612">
        <w:t>международ</w:t>
      </w:r>
      <w:r w:rsidR="00191979">
        <w:t>ной перевозке</w:t>
      </w:r>
      <w:r w:rsidR="00191979">
        <w:br/>
        <w:t>опасных грузов по </w:t>
      </w:r>
      <w:r w:rsidR="00344612">
        <w:t>внутрен</w:t>
      </w:r>
      <w:r>
        <w:t xml:space="preserve">ним </w:t>
      </w:r>
      <w:r w:rsidR="00191979">
        <w:t>водным путям</w:t>
      </w:r>
      <w:r w:rsidR="00191979">
        <w:br/>
      </w:r>
      <w:r w:rsidR="00344612">
        <w:t xml:space="preserve">(Комитета по вопросам безопасности </w:t>
      </w:r>
      <w:r w:rsidR="00191979">
        <w:t>ВОПОГ),</w:t>
      </w:r>
      <w:r w:rsidR="00191979">
        <w:br/>
      </w:r>
      <w:r>
        <w:t xml:space="preserve">о работе его двадцать </w:t>
      </w:r>
      <w:r w:rsidR="00344612">
        <w:t>седьмой сессии</w:t>
      </w:r>
      <w:r w:rsidRPr="000D624D">
        <w:rPr>
          <w:rStyle w:val="FootnoteReference"/>
          <w:b w:val="0"/>
          <w:bCs/>
          <w:sz w:val="20"/>
          <w:szCs w:val="20"/>
        </w:rPr>
        <w:footnoteReference w:id="1"/>
      </w:r>
    </w:p>
    <w:p w:rsidR="000D624D" w:rsidRPr="000D624D" w:rsidRDefault="000D624D" w:rsidP="000D624D">
      <w:pPr>
        <w:pStyle w:val="HCh"/>
        <w:spacing w:after="120"/>
        <w:rPr>
          <w:b w:val="0"/>
        </w:rPr>
      </w:pPr>
      <w:r>
        <w:br w:type="page"/>
      </w:r>
      <w:r>
        <w:rPr>
          <w:b w:val="0"/>
        </w:rPr>
        <w:lastRenderedPageBreak/>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0D624D" w:rsidRPr="000D624D" w:rsidTr="000D624D">
        <w:tc>
          <w:tcPr>
            <w:tcW w:w="1060" w:type="dxa"/>
            <w:shd w:val="clear" w:color="auto" w:fill="auto"/>
          </w:tcPr>
          <w:p w:rsidR="000D624D" w:rsidRPr="000D624D" w:rsidRDefault="000D624D" w:rsidP="000D624D">
            <w:pPr>
              <w:spacing w:after="120" w:line="240" w:lineRule="auto"/>
              <w:jc w:val="right"/>
              <w:rPr>
                <w:i/>
                <w:sz w:val="14"/>
              </w:rPr>
            </w:pPr>
          </w:p>
        </w:tc>
        <w:tc>
          <w:tcPr>
            <w:tcW w:w="7056" w:type="dxa"/>
            <w:shd w:val="clear" w:color="auto" w:fill="auto"/>
          </w:tcPr>
          <w:p w:rsidR="000D624D" w:rsidRPr="000D624D" w:rsidRDefault="000D624D" w:rsidP="000D624D">
            <w:pPr>
              <w:spacing w:after="120" w:line="240" w:lineRule="auto"/>
              <w:rPr>
                <w:i/>
                <w:sz w:val="14"/>
              </w:rPr>
            </w:pPr>
          </w:p>
        </w:tc>
        <w:tc>
          <w:tcPr>
            <w:tcW w:w="994" w:type="dxa"/>
            <w:shd w:val="clear" w:color="auto" w:fill="auto"/>
          </w:tcPr>
          <w:p w:rsidR="000D624D" w:rsidRPr="000D624D" w:rsidRDefault="000D624D" w:rsidP="000D624D">
            <w:pPr>
              <w:spacing w:after="120" w:line="240" w:lineRule="auto"/>
              <w:ind w:right="40"/>
              <w:jc w:val="right"/>
              <w:rPr>
                <w:i/>
                <w:sz w:val="14"/>
              </w:rPr>
            </w:pPr>
            <w:r>
              <w:rPr>
                <w:i/>
                <w:sz w:val="14"/>
              </w:rPr>
              <w:t>Пункты</w:t>
            </w:r>
          </w:p>
        </w:tc>
        <w:tc>
          <w:tcPr>
            <w:tcW w:w="720" w:type="dxa"/>
            <w:shd w:val="clear" w:color="auto" w:fill="auto"/>
          </w:tcPr>
          <w:p w:rsidR="000D624D" w:rsidRPr="000D624D" w:rsidRDefault="000D624D" w:rsidP="000D624D">
            <w:pPr>
              <w:spacing w:after="120" w:line="240" w:lineRule="auto"/>
              <w:ind w:right="40"/>
              <w:jc w:val="right"/>
              <w:rPr>
                <w:i/>
                <w:sz w:val="14"/>
              </w:rPr>
            </w:pPr>
            <w:r>
              <w:rPr>
                <w:i/>
                <w:sz w:val="14"/>
              </w:rPr>
              <w:t>Стр.</w:t>
            </w:r>
          </w:p>
        </w:tc>
      </w:tr>
      <w:tr w:rsidR="000D624D" w:rsidRPr="000D624D" w:rsidTr="000D624D">
        <w:tc>
          <w:tcPr>
            <w:tcW w:w="8116" w:type="dxa"/>
            <w:gridSpan w:val="2"/>
            <w:shd w:val="clear" w:color="auto" w:fill="auto"/>
          </w:tcPr>
          <w:p w:rsidR="000D624D" w:rsidRPr="000D624D" w:rsidRDefault="00DC0C54" w:rsidP="00DC0C54">
            <w:pPr>
              <w:numPr>
                <w:ilvl w:val="0"/>
                <w:numId w:val="11"/>
              </w:numPr>
              <w:tabs>
                <w:tab w:val="right" w:pos="1080"/>
                <w:tab w:val="left" w:pos="1296"/>
                <w:tab w:val="left" w:pos="1728"/>
                <w:tab w:val="left" w:pos="2160"/>
                <w:tab w:val="right" w:leader="dot" w:pos="8194"/>
              </w:tabs>
              <w:suppressAutoHyphens/>
              <w:spacing w:after="120"/>
            </w:pPr>
            <w:r>
              <w:tab/>
            </w:r>
            <w:r w:rsidRPr="00DC0C54">
              <w:t>Участники</w:t>
            </w:r>
            <w:r>
              <w:t xml:space="preserve"> </w:t>
            </w:r>
            <w:r>
              <w:rPr>
                <w:spacing w:val="60"/>
                <w:sz w:val="17"/>
              </w:rPr>
              <w:tab/>
            </w:r>
          </w:p>
        </w:tc>
        <w:tc>
          <w:tcPr>
            <w:tcW w:w="994" w:type="dxa"/>
            <w:shd w:val="clear" w:color="auto" w:fill="auto"/>
            <w:vAlign w:val="bottom"/>
          </w:tcPr>
          <w:p w:rsidR="000D624D" w:rsidRPr="000D624D" w:rsidRDefault="00DC0C54" w:rsidP="000D624D">
            <w:pPr>
              <w:spacing w:after="120"/>
              <w:ind w:right="40"/>
              <w:jc w:val="right"/>
            </w:pPr>
            <w:r>
              <w:t>1</w:t>
            </w:r>
          </w:p>
        </w:tc>
        <w:tc>
          <w:tcPr>
            <w:tcW w:w="720" w:type="dxa"/>
            <w:shd w:val="clear" w:color="auto" w:fill="auto"/>
            <w:vAlign w:val="bottom"/>
          </w:tcPr>
          <w:p w:rsidR="000D624D" w:rsidRPr="000D624D" w:rsidRDefault="00FD7CA7" w:rsidP="000D624D">
            <w:pPr>
              <w:spacing w:after="120"/>
              <w:ind w:right="40"/>
              <w:jc w:val="right"/>
            </w:pPr>
            <w:r>
              <w:t>5</w:t>
            </w:r>
          </w:p>
        </w:tc>
      </w:tr>
      <w:tr w:rsidR="00DC0C54" w:rsidRPr="000D624D" w:rsidTr="000D624D">
        <w:tc>
          <w:tcPr>
            <w:tcW w:w="8116" w:type="dxa"/>
            <w:gridSpan w:val="2"/>
            <w:shd w:val="clear" w:color="auto" w:fill="auto"/>
          </w:tcPr>
          <w:p w:rsidR="00DC0C54" w:rsidRDefault="00DC0C54" w:rsidP="00DC0C54">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tab/>
            </w:r>
            <w:r w:rsidRPr="00DC0C54">
              <w:t>Утверждение повестки дня (пункт 1 повестки дня)</w:t>
            </w:r>
            <w:r>
              <w:t xml:space="preserve"> </w:t>
            </w:r>
            <w:r>
              <w:rPr>
                <w:spacing w:val="60"/>
                <w:sz w:val="17"/>
              </w:rPr>
              <w:tab/>
            </w:r>
          </w:p>
        </w:tc>
        <w:tc>
          <w:tcPr>
            <w:tcW w:w="994" w:type="dxa"/>
            <w:shd w:val="clear" w:color="auto" w:fill="auto"/>
            <w:vAlign w:val="bottom"/>
          </w:tcPr>
          <w:p w:rsidR="00DC0C54" w:rsidRDefault="00DC0C54" w:rsidP="000D624D">
            <w:pPr>
              <w:spacing w:after="120"/>
              <w:ind w:right="40"/>
              <w:jc w:val="right"/>
            </w:pPr>
            <w:r>
              <w:t>2–3</w:t>
            </w:r>
          </w:p>
        </w:tc>
        <w:tc>
          <w:tcPr>
            <w:tcW w:w="720" w:type="dxa"/>
            <w:shd w:val="clear" w:color="auto" w:fill="auto"/>
            <w:vAlign w:val="bottom"/>
          </w:tcPr>
          <w:p w:rsidR="00DC0C54" w:rsidRDefault="00FD7CA7" w:rsidP="000D624D">
            <w:pPr>
              <w:spacing w:after="120"/>
              <w:ind w:right="40"/>
              <w:jc w:val="right"/>
            </w:pPr>
            <w:r>
              <w:t>5</w:t>
            </w:r>
          </w:p>
        </w:tc>
      </w:tr>
      <w:tr w:rsidR="00DC0C54" w:rsidRPr="000D624D" w:rsidTr="000D624D">
        <w:tc>
          <w:tcPr>
            <w:tcW w:w="8116" w:type="dxa"/>
            <w:gridSpan w:val="2"/>
            <w:shd w:val="clear" w:color="auto" w:fill="auto"/>
          </w:tcPr>
          <w:p w:rsidR="00DC0C54" w:rsidRDefault="00DC0C54" w:rsidP="00DC0C54">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tab/>
            </w:r>
            <w:r w:rsidRPr="00DC0C54">
              <w:t>Вопросы, вытекающие из работы органов Организации Объединенных Наций или других организаций (пункт 2 повестки дня)</w:t>
            </w:r>
            <w:r>
              <w:t xml:space="preserve"> </w:t>
            </w:r>
            <w:r>
              <w:rPr>
                <w:spacing w:val="60"/>
                <w:sz w:val="17"/>
              </w:rPr>
              <w:tab/>
            </w:r>
          </w:p>
        </w:tc>
        <w:tc>
          <w:tcPr>
            <w:tcW w:w="994" w:type="dxa"/>
            <w:shd w:val="clear" w:color="auto" w:fill="auto"/>
            <w:vAlign w:val="bottom"/>
          </w:tcPr>
          <w:p w:rsidR="00DC0C54" w:rsidRDefault="00DC0C54" w:rsidP="000D624D">
            <w:pPr>
              <w:spacing w:after="120"/>
              <w:ind w:right="40"/>
              <w:jc w:val="right"/>
            </w:pPr>
            <w:r>
              <w:t>4–5</w:t>
            </w:r>
          </w:p>
        </w:tc>
        <w:tc>
          <w:tcPr>
            <w:tcW w:w="720" w:type="dxa"/>
            <w:shd w:val="clear" w:color="auto" w:fill="auto"/>
            <w:vAlign w:val="bottom"/>
          </w:tcPr>
          <w:p w:rsidR="00DC0C54" w:rsidRDefault="00FD7CA7" w:rsidP="000D624D">
            <w:pPr>
              <w:spacing w:after="120"/>
              <w:ind w:right="40"/>
              <w:jc w:val="right"/>
            </w:pPr>
            <w:r>
              <w:t>6</w:t>
            </w:r>
          </w:p>
        </w:tc>
      </w:tr>
      <w:tr w:rsidR="00DC0C54" w:rsidRPr="000D624D" w:rsidTr="000D624D">
        <w:tc>
          <w:tcPr>
            <w:tcW w:w="8116" w:type="dxa"/>
            <w:gridSpan w:val="2"/>
            <w:shd w:val="clear" w:color="auto" w:fill="auto"/>
          </w:tcPr>
          <w:p w:rsidR="00DC0C54" w:rsidRDefault="00DC0C54" w:rsidP="00DC0C54">
            <w:pPr>
              <w:numPr>
                <w:ilvl w:val="0"/>
                <w:numId w:val="11"/>
              </w:numPr>
              <w:tabs>
                <w:tab w:val="right" w:pos="1080"/>
                <w:tab w:val="left" w:pos="1296"/>
                <w:tab w:val="left" w:pos="1728"/>
                <w:tab w:val="left" w:pos="2160"/>
                <w:tab w:val="left" w:pos="2592"/>
                <w:tab w:val="left" w:pos="3024"/>
                <w:tab w:val="right" w:leader="dot" w:pos="8194"/>
              </w:tabs>
              <w:suppressAutoHyphens/>
              <w:spacing w:after="120"/>
            </w:pPr>
            <w:r>
              <w:tab/>
            </w:r>
            <w:r w:rsidRPr="00DC0C54">
              <w:t xml:space="preserve">Применение Европейского соглашения о международной перевозке опасных грузов по </w:t>
            </w:r>
            <w:r>
              <w:t>внутренним водным путям (ВОПОГ)</w:t>
            </w:r>
            <w:r>
              <w:br/>
            </w:r>
            <w:r w:rsidRPr="00DC0C54">
              <w:t>(пункт 3 повестки дня)</w:t>
            </w:r>
            <w:r>
              <w:t xml:space="preserve"> </w:t>
            </w:r>
            <w:r>
              <w:rPr>
                <w:spacing w:val="60"/>
                <w:sz w:val="17"/>
              </w:rPr>
              <w:tab/>
            </w:r>
          </w:p>
        </w:tc>
        <w:tc>
          <w:tcPr>
            <w:tcW w:w="994" w:type="dxa"/>
            <w:shd w:val="clear" w:color="auto" w:fill="auto"/>
            <w:vAlign w:val="bottom"/>
          </w:tcPr>
          <w:p w:rsidR="00DC0C54" w:rsidRDefault="00DC0C54" w:rsidP="000D624D">
            <w:pPr>
              <w:spacing w:after="120"/>
              <w:ind w:right="40"/>
              <w:jc w:val="right"/>
            </w:pPr>
            <w:r>
              <w:t>6–37</w:t>
            </w:r>
          </w:p>
        </w:tc>
        <w:tc>
          <w:tcPr>
            <w:tcW w:w="720" w:type="dxa"/>
            <w:shd w:val="clear" w:color="auto" w:fill="auto"/>
            <w:vAlign w:val="bottom"/>
          </w:tcPr>
          <w:p w:rsidR="00DC0C54" w:rsidRDefault="00FD7CA7" w:rsidP="000D624D">
            <w:pPr>
              <w:spacing w:after="120"/>
              <w:ind w:right="40"/>
              <w:jc w:val="right"/>
            </w:pPr>
            <w:r>
              <w:t>6</w:t>
            </w:r>
          </w:p>
        </w:tc>
      </w:tr>
      <w:tr w:rsidR="00DC0C54" w:rsidRPr="000D624D" w:rsidTr="000D624D">
        <w:tc>
          <w:tcPr>
            <w:tcW w:w="8116" w:type="dxa"/>
            <w:gridSpan w:val="2"/>
            <w:shd w:val="clear" w:color="auto" w:fill="auto"/>
          </w:tcPr>
          <w:p w:rsidR="00DC0C54" w:rsidRDefault="00DC0C54" w:rsidP="00DC0C54">
            <w:pPr>
              <w:numPr>
                <w:ilvl w:val="1"/>
                <w:numId w:val="11"/>
              </w:numPr>
              <w:tabs>
                <w:tab w:val="right" w:pos="1080"/>
                <w:tab w:val="left" w:pos="1296"/>
                <w:tab w:val="left" w:pos="1728"/>
                <w:tab w:val="left" w:pos="2160"/>
                <w:tab w:val="left" w:pos="2592"/>
                <w:tab w:val="left" w:pos="3024"/>
                <w:tab w:val="left" w:pos="3456"/>
                <w:tab w:val="right" w:leader="dot" w:pos="8194"/>
              </w:tabs>
              <w:suppressAutoHyphens/>
              <w:spacing w:after="120"/>
            </w:pPr>
            <w:r w:rsidRPr="00DC0C54">
              <w:t>Состояние ВОПОГ</w:t>
            </w:r>
            <w:r>
              <w:t xml:space="preserve"> </w:t>
            </w:r>
            <w:r>
              <w:rPr>
                <w:spacing w:val="60"/>
                <w:sz w:val="17"/>
              </w:rPr>
              <w:tab/>
            </w:r>
          </w:p>
        </w:tc>
        <w:tc>
          <w:tcPr>
            <w:tcW w:w="994" w:type="dxa"/>
            <w:shd w:val="clear" w:color="auto" w:fill="auto"/>
            <w:vAlign w:val="bottom"/>
          </w:tcPr>
          <w:p w:rsidR="00DC0C54" w:rsidRDefault="00DC0C54" w:rsidP="000D624D">
            <w:pPr>
              <w:spacing w:after="120"/>
              <w:ind w:right="40"/>
              <w:jc w:val="right"/>
            </w:pPr>
            <w:r>
              <w:t>6</w:t>
            </w:r>
          </w:p>
        </w:tc>
        <w:tc>
          <w:tcPr>
            <w:tcW w:w="720" w:type="dxa"/>
            <w:shd w:val="clear" w:color="auto" w:fill="auto"/>
            <w:vAlign w:val="bottom"/>
          </w:tcPr>
          <w:p w:rsidR="00DC0C54" w:rsidRDefault="00FD7CA7" w:rsidP="000D624D">
            <w:pPr>
              <w:spacing w:after="120"/>
              <w:ind w:right="40"/>
              <w:jc w:val="right"/>
            </w:pPr>
            <w:r>
              <w:t>6</w:t>
            </w:r>
          </w:p>
        </w:tc>
      </w:tr>
      <w:tr w:rsidR="00DC0C54" w:rsidRPr="000D624D" w:rsidTr="000D624D">
        <w:tc>
          <w:tcPr>
            <w:tcW w:w="8116" w:type="dxa"/>
            <w:gridSpan w:val="2"/>
            <w:shd w:val="clear" w:color="auto" w:fill="auto"/>
          </w:tcPr>
          <w:p w:rsidR="00DC0C54" w:rsidRPr="00DC0C54" w:rsidRDefault="00DC0C54" w:rsidP="00DC0C54">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uppressAutoHyphens/>
              <w:spacing w:after="120"/>
            </w:pPr>
            <w:r w:rsidRPr="00DC0C54">
              <w:t>Специальные разрешения, отступления и эквивалентные аналоги</w:t>
            </w:r>
            <w:r>
              <w:t xml:space="preserve"> </w:t>
            </w:r>
            <w:r>
              <w:rPr>
                <w:spacing w:val="60"/>
                <w:sz w:val="17"/>
              </w:rPr>
              <w:tab/>
            </w:r>
          </w:p>
        </w:tc>
        <w:tc>
          <w:tcPr>
            <w:tcW w:w="994" w:type="dxa"/>
            <w:shd w:val="clear" w:color="auto" w:fill="auto"/>
            <w:vAlign w:val="bottom"/>
          </w:tcPr>
          <w:p w:rsidR="00DC0C54" w:rsidRDefault="00DC0C54" w:rsidP="000D624D">
            <w:pPr>
              <w:spacing w:after="120"/>
              <w:ind w:right="40"/>
              <w:jc w:val="right"/>
            </w:pPr>
            <w:r>
              <w:t>7–12</w:t>
            </w:r>
          </w:p>
        </w:tc>
        <w:tc>
          <w:tcPr>
            <w:tcW w:w="720" w:type="dxa"/>
            <w:shd w:val="clear" w:color="auto" w:fill="auto"/>
            <w:vAlign w:val="bottom"/>
          </w:tcPr>
          <w:p w:rsidR="00DC0C54" w:rsidRDefault="00FD7CA7" w:rsidP="000D624D">
            <w:pPr>
              <w:spacing w:after="120"/>
              <w:ind w:right="40"/>
              <w:jc w:val="right"/>
            </w:pPr>
            <w:r>
              <w:t>6</w:t>
            </w:r>
          </w:p>
        </w:tc>
      </w:tr>
      <w:tr w:rsidR="00DC0C54" w:rsidRPr="000D624D" w:rsidTr="000D624D">
        <w:tc>
          <w:tcPr>
            <w:tcW w:w="8116" w:type="dxa"/>
            <w:gridSpan w:val="2"/>
            <w:shd w:val="clear" w:color="auto" w:fill="auto"/>
          </w:tcPr>
          <w:p w:rsidR="00DC0C54" w:rsidRPr="00DC0C54" w:rsidRDefault="00DC0C54" w:rsidP="00DC0C54">
            <w:pPr>
              <w:numPr>
                <w:ilvl w:val="2"/>
                <w:numId w:val="11"/>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pPr>
            <w:r w:rsidRPr="00DC0C54">
              <w:t>Многосторонние соглашения</w:t>
            </w:r>
            <w:r>
              <w:t xml:space="preserve"> </w:t>
            </w:r>
            <w:r>
              <w:rPr>
                <w:spacing w:val="60"/>
                <w:sz w:val="17"/>
              </w:rPr>
              <w:tab/>
            </w:r>
          </w:p>
        </w:tc>
        <w:tc>
          <w:tcPr>
            <w:tcW w:w="994" w:type="dxa"/>
            <w:shd w:val="clear" w:color="auto" w:fill="auto"/>
            <w:vAlign w:val="bottom"/>
          </w:tcPr>
          <w:p w:rsidR="00DC0C54" w:rsidRDefault="00DC0C54" w:rsidP="000D624D">
            <w:pPr>
              <w:spacing w:after="120"/>
              <w:ind w:right="40"/>
              <w:jc w:val="right"/>
            </w:pPr>
            <w:r>
              <w:t>7</w:t>
            </w:r>
          </w:p>
        </w:tc>
        <w:tc>
          <w:tcPr>
            <w:tcW w:w="720" w:type="dxa"/>
            <w:shd w:val="clear" w:color="auto" w:fill="auto"/>
            <w:vAlign w:val="bottom"/>
          </w:tcPr>
          <w:p w:rsidR="00DC0C54" w:rsidRDefault="00FD7CA7" w:rsidP="000D624D">
            <w:pPr>
              <w:spacing w:after="120"/>
              <w:ind w:right="40"/>
              <w:jc w:val="right"/>
            </w:pPr>
            <w:r>
              <w:t>6</w:t>
            </w:r>
          </w:p>
        </w:tc>
      </w:tr>
      <w:tr w:rsidR="00DC0C54" w:rsidRPr="000D624D" w:rsidTr="000D624D">
        <w:tc>
          <w:tcPr>
            <w:tcW w:w="8116" w:type="dxa"/>
            <w:gridSpan w:val="2"/>
            <w:shd w:val="clear" w:color="auto" w:fill="auto"/>
          </w:tcPr>
          <w:p w:rsidR="00DC0C54" w:rsidRPr="00DC0C54" w:rsidRDefault="00DC0C54" w:rsidP="00DC0C54">
            <w:pPr>
              <w:numPr>
                <w:ilvl w:val="2"/>
                <w:numId w:val="11"/>
              </w:numPr>
              <w:tabs>
                <w:tab w:val="right" w:pos="1080"/>
                <w:tab w:val="left" w:pos="1296"/>
                <w:tab w:val="left" w:pos="1728"/>
                <w:tab w:val="left" w:pos="2160"/>
                <w:tab w:val="left" w:pos="2592"/>
                <w:tab w:val="left" w:pos="3024"/>
                <w:tab w:val="right" w:leader="dot" w:pos="8194"/>
              </w:tabs>
              <w:suppressAutoHyphens/>
              <w:spacing w:after="120"/>
            </w:pPr>
            <w:r w:rsidRPr="00DC0C54">
              <w:t>Использование СПГ</w:t>
            </w:r>
            <w:r>
              <w:t xml:space="preserve"> в качестве топлива для танкера</w:t>
            </w:r>
            <w:r>
              <w:br/>
            </w:r>
            <w:r w:rsidRPr="00DC0C54">
              <w:t>«</w:t>
            </w:r>
            <w:proofErr w:type="spellStart"/>
            <w:r w:rsidRPr="00DC0C54">
              <w:t>Argos</w:t>
            </w:r>
            <w:proofErr w:type="spellEnd"/>
            <w:r w:rsidRPr="00DC0C54">
              <w:t>-GL»</w:t>
            </w:r>
            <w:r>
              <w:t xml:space="preserve"> </w:t>
            </w:r>
            <w:r>
              <w:rPr>
                <w:spacing w:val="60"/>
                <w:sz w:val="17"/>
              </w:rPr>
              <w:tab/>
            </w:r>
          </w:p>
        </w:tc>
        <w:tc>
          <w:tcPr>
            <w:tcW w:w="994" w:type="dxa"/>
            <w:shd w:val="clear" w:color="auto" w:fill="auto"/>
            <w:vAlign w:val="bottom"/>
          </w:tcPr>
          <w:p w:rsidR="00DC0C54" w:rsidRDefault="00DC0C54" w:rsidP="000D624D">
            <w:pPr>
              <w:spacing w:after="120"/>
              <w:ind w:right="40"/>
              <w:jc w:val="right"/>
            </w:pPr>
            <w:r>
              <w:t>8</w:t>
            </w:r>
          </w:p>
        </w:tc>
        <w:tc>
          <w:tcPr>
            <w:tcW w:w="720" w:type="dxa"/>
            <w:shd w:val="clear" w:color="auto" w:fill="auto"/>
            <w:vAlign w:val="bottom"/>
          </w:tcPr>
          <w:p w:rsidR="00DC0C54" w:rsidRDefault="00FD7CA7" w:rsidP="000D624D">
            <w:pPr>
              <w:spacing w:after="120"/>
              <w:ind w:right="40"/>
              <w:jc w:val="right"/>
            </w:pPr>
            <w:r>
              <w:t>7</w:t>
            </w:r>
          </w:p>
        </w:tc>
      </w:tr>
      <w:tr w:rsidR="00DC0C54" w:rsidRPr="000D624D" w:rsidTr="000D624D">
        <w:tc>
          <w:tcPr>
            <w:tcW w:w="8116" w:type="dxa"/>
            <w:gridSpan w:val="2"/>
            <w:shd w:val="clear" w:color="auto" w:fill="auto"/>
          </w:tcPr>
          <w:p w:rsidR="00DC0C54" w:rsidRPr="00DC0C54" w:rsidRDefault="00DC0C54" w:rsidP="00DC0C54">
            <w:pPr>
              <w:numPr>
                <w:ilvl w:val="2"/>
                <w:numId w:val="11"/>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DC0C54">
              <w:t>Использование мембранных танков для перевозки СПГ на танкере «</w:t>
            </w:r>
            <w:proofErr w:type="spellStart"/>
            <w:r w:rsidRPr="00DC0C54">
              <w:t>Argos</w:t>
            </w:r>
            <w:proofErr w:type="spellEnd"/>
            <w:r w:rsidRPr="00DC0C54">
              <w:t>-GL»</w:t>
            </w:r>
            <w:r>
              <w:t xml:space="preserve"> </w:t>
            </w:r>
            <w:r>
              <w:rPr>
                <w:spacing w:val="60"/>
                <w:sz w:val="17"/>
              </w:rPr>
              <w:tab/>
            </w:r>
          </w:p>
        </w:tc>
        <w:tc>
          <w:tcPr>
            <w:tcW w:w="994" w:type="dxa"/>
            <w:shd w:val="clear" w:color="auto" w:fill="auto"/>
            <w:vAlign w:val="bottom"/>
          </w:tcPr>
          <w:p w:rsidR="00DC0C54" w:rsidRDefault="00DC0C54" w:rsidP="000D624D">
            <w:pPr>
              <w:spacing w:after="120"/>
              <w:ind w:right="40"/>
              <w:jc w:val="right"/>
            </w:pPr>
            <w:r>
              <w:t>9–12</w:t>
            </w:r>
          </w:p>
        </w:tc>
        <w:tc>
          <w:tcPr>
            <w:tcW w:w="720" w:type="dxa"/>
            <w:shd w:val="clear" w:color="auto" w:fill="auto"/>
            <w:vAlign w:val="bottom"/>
          </w:tcPr>
          <w:p w:rsidR="00DC0C54" w:rsidRDefault="00FD7CA7" w:rsidP="000D624D">
            <w:pPr>
              <w:spacing w:after="120"/>
              <w:ind w:right="40"/>
              <w:jc w:val="right"/>
            </w:pPr>
            <w:r>
              <w:t>7</w:t>
            </w:r>
          </w:p>
        </w:tc>
      </w:tr>
      <w:tr w:rsidR="007B0C2B" w:rsidRPr="000D624D" w:rsidTr="000D624D">
        <w:tc>
          <w:tcPr>
            <w:tcW w:w="8116" w:type="dxa"/>
            <w:gridSpan w:val="2"/>
            <w:shd w:val="clear" w:color="auto" w:fill="auto"/>
          </w:tcPr>
          <w:p w:rsidR="007B0C2B" w:rsidRPr="00DC0C54" w:rsidRDefault="007B0C2B" w:rsidP="007B0C2B">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rsidRPr="007B0C2B">
              <w:t>Толкование Правил, прилагаемых к ВОПОГ</w:t>
            </w:r>
            <w:r>
              <w:t xml:space="preserve"> </w:t>
            </w:r>
            <w:r>
              <w:rPr>
                <w:spacing w:val="60"/>
                <w:sz w:val="17"/>
              </w:rPr>
              <w:tab/>
            </w:r>
          </w:p>
        </w:tc>
        <w:tc>
          <w:tcPr>
            <w:tcW w:w="994" w:type="dxa"/>
            <w:shd w:val="clear" w:color="auto" w:fill="auto"/>
            <w:vAlign w:val="bottom"/>
          </w:tcPr>
          <w:p w:rsidR="007B0C2B" w:rsidRDefault="007B0C2B" w:rsidP="000D624D">
            <w:pPr>
              <w:spacing w:after="120"/>
              <w:ind w:right="40"/>
              <w:jc w:val="right"/>
            </w:pPr>
            <w:r>
              <w:t>13–23</w:t>
            </w:r>
          </w:p>
        </w:tc>
        <w:tc>
          <w:tcPr>
            <w:tcW w:w="720" w:type="dxa"/>
            <w:shd w:val="clear" w:color="auto" w:fill="auto"/>
            <w:vAlign w:val="bottom"/>
          </w:tcPr>
          <w:p w:rsidR="007B0C2B" w:rsidRDefault="00FD7CA7" w:rsidP="000D624D">
            <w:pPr>
              <w:spacing w:after="120"/>
              <w:ind w:right="40"/>
              <w:jc w:val="right"/>
            </w:pPr>
            <w:r>
              <w:t>7</w:t>
            </w:r>
          </w:p>
        </w:tc>
      </w:tr>
      <w:tr w:rsidR="007B0C2B" w:rsidRPr="000D624D" w:rsidTr="000D624D">
        <w:tc>
          <w:tcPr>
            <w:tcW w:w="8116" w:type="dxa"/>
            <w:gridSpan w:val="2"/>
            <w:shd w:val="clear" w:color="auto" w:fill="auto"/>
          </w:tcPr>
          <w:p w:rsidR="007B0C2B" w:rsidRPr="007B0C2B" w:rsidRDefault="007B0C2B" w:rsidP="007B0C2B">
            <w:pPr>
              <w:numPr>
                <w:ilvl w:val="2"/>
                <w:numId w:val="11"/>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pPr>
            <w:r w:rsidRPr="007B0C2B">
              <w:t>Обязанности ответственного за наполнение и разгрузчика, пункты 1.4.3.3 g) и 1.4.3.7.1 j)</w:t>
            </w:r>
            <w:r>
              <w:t xml:space="preserve"> </w:t>
            </w:r>
            <w:r>
              <w:rPr>
                <w:spacing w:val="60"/>
                <w:sz w:val="17"/>
              </w:rPr>
              <w:tab/>
            </w:r>
          </w:p>
        </w:tc>
        <w:tc>
          <w:tcPr>
            <w:tcW w:w="994" w:type="dxa"/>
            <w:shd w:val="clear" w:color="auto" w:fill="auto"/>
            <w:vAlign w:val="bottom"/>
          </w:tcPr>
          <w:p w:rsidR="007B0C2B" w:rsidRDefault="007B0C2B" w:rsidP="000D624D">
            <w:pPr>
              <w:spacing w:after="120"/>
              <w:ind w:right="40"/>
              <w:jc w:val="right"/>
            </w:pPr>
            <w:r>
              <w:t>13–14</w:t>
            </w:r>
          </w:p>
        </w:tc>
        <w:tc>
          <w:tcPr>
            <w:tcW w:w="720" w:type="dxa"/>
            <w:shd w:val="clear" w:color="auto" w:fill="auto"/>
            <w:vAlign w:val="bottom"/>
          </w:tcPr>
          <w:p w:rsidR="007B0C2B" w:rsidRDefault="00FD7CA7" w:rsidP="000D624D">
            <w:pPr>
              <w:spacing w:after="120"/>
              <w:ind w:right="40"/>
              <w:jc w:val="right"/>
            </w:pPr>
            <w:r>
              <w:t>7</w:t>
            </w:r>
          </w:p>
        </w:tc>
      </w:tr>
      <w:tr w:rsidR="007B0C2B" w:rsidRPr="000D624D" w:rsidTr="000D624D">
        <w:tc>
          <w:tcPr>
            <w:tcW w:w="8116" w:type="dxa"/>
            <w:gridSpan w:val="2"/>
            <w:shd w:val="clear" w:color="auto" w:fill="auto"/>
          </w:tcPr>
          <w:p w:rsidR="007B0C2B" w:rsidRPr="007B0C2B" w:rsidRDefault="007B0C2B" w:rsidP="007B0C2B">
            <w:pPr>
              <w:numPr>
                <w:ilvl w:val="2"/>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uppressAutoHyphens/>
              <w:spacing w:after="120"/>
            </w:pPr>
            <w:r w:rsidRPr="007B0C2B">
              <w:t xml:space="preserve">Технические требования к индикаторам легковоспламеняющихся газов и </w:t>
            </w:r>
            <w:proofErr w:type="spellStart"/>
            <w:r w:rsidRPr="007B0C2B">
              <w:t>токсиметрам</w:t>
            </w:r>
            <w:proofErr w:type="spellEnd"/>
            <w:r w:rsidRPr="007B0C2B">
              <w:t>, раздел 1.2.1</w:t>
            </w:r>
            <w:r>
              <w:t xml:space="preserve"> </w:t>
            </w:r>
            <w:r>
              <w:rPr>
                <w:spacing w:val="60"/>
                <w:sz w:val="17"/>
              </w:rPr>
              <w:tab/>
            </w:r>
          </w:p>
        </w:tc>
        <w:tc>
          <w:tcPr>
            <w:tcW w:w="994" w:type="dxa"/>
            <w:shd w:val="clear" w:color="auto" w:fill="auto"/>
            <w:vAlign w:val="bottom"/>
          </w:tcPr>
          <w:p w:rsidR="007B0C2B" w:rsidRDefault="007B0C2B" w:rsidP="000D624D">
            <w:pPr>
              <w:spacing w:after="120"/>
              <w:ind w:right="40"/>
              <w:jc w:val="right"/>
            </w:pPr>
            <w:r>
              <w:t>15</w:t>
            </w:r>
          </w:p>
        </w:tc>
        <w:tc>
          <w:tcPr>
            <w:tcW w:w="720" w:type="dxa"/>
            <w:shd w:val="clear" w:color="auto" w:fill="auto"/>
            <w:vAlign w:val="bottom"/>
          </w:tcPr>
          <w:p w:rsidR="007B0C2B" w:rsidRDefault="00FD7CA7" w:rsidP="000D624D">
            <w:pPr>
              <w:spacing w:after="120"/>
              <w:ind w:right="40"/>
              <w:jc w:val="right"/>
            </w:pPr>
            <w:r>
              <w:t>8</w:t>
            </w:r>
          </w:p>
        </w:tc>
      </w:tr>
      <w:tr w:rsidR="007B0C2B" w:rsidRPr="000D624D" w:rsidTr="000D624D">
        <w:tc>
          <w:tcPr>
            <w:tcW w:w="8116" w:type="dxa"/>
            <w:gridSpan w:val="2"/>
            <w:shd w:val="clear" w:color="auto" w:fill="auto"/>
          </w:tcPr>
          <w:p w:rsidR="007B0C2B" w:rsidRPr="007B0C2B" w:rsidRDefault="007B0C2B" w:rsidP="007B0C2B">
            <w:pPr>
              <w:numPr>
                <w:ilvl w:val="2"/>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rsidRPr="007B0C2B">
              <w:t>Национальное толкование в Нидерландах</w:t>
            </w:r>
            <w:r>
              <w:t xml:space="preserve"> </w:t>
            </w:r>
            <w:r>
              <w:rPr>
                <w:spacing w:val="60"/>
                <w:sz w:val="17"/>
              </w:rPr>
              <w:tab/>
            </w:r>
          </w:p>
        </w:tc>
        <w:tc>
          <w:tcPr>
            <w:tcW w:w="994" w:type="dxa"/>
            <w:shd w:val="clear" w:color="auto" w:fill="auto"/>
            <w:vAlign w:val="bottom"/>
          </w:tcPr>
          <w:p w:rsidR="007B0C2B" w:rsidRDefault="007B0C2B" w:rsidP="000D624D">
            <w:pPr>
              <w:spacing w:after="120"/>
              <w:ind w:right="40"/>
              <w:jc w:val="right"/>
            </w:pPr>
            <w:r>
              <w:t>16–19</w:t>
            </w:r>
          </w:p>
        </w:tc>
        <w:tc>
          <w:tcPr>
            <w:tcW w:w="720" w:type="dxa"/>
            <w:shd w:val="clear" w:color="auto" w:fill="auto"/>
            <w:vAlign w:val="bottom"/>
          </w:tcPr>
          <w:p w:rsidR="007B0C2B" w:rsidRDefault="00FD7CA7" w:rsidP="000D624D">
            <w:pPr>
              <w:spacing w:after="120"/>
              <w:ind w:right="40"/>
              <w:jc w:val="right"/>
            </w:pPr>
            <w:r>
              <w:t>8</w:t>
            </w:r>
          </w:p>
        </w:tc>
      </w:tr>
      <w:tr w:rsidR="007B0C2B" w:rsidRPr="000D624D" w:rsidTr="000D624D">
        <w:tc>
          <w:tcPr>
            <w:tcW w:w="8116" w:type="dxa"/>
            <w:gridSpan w:val="2"/>
            <w:shd w:val="clear" w:color="auto" w:fill="auto"/>
          </w:tcPr>
          <w:p w:rsidR="007B0C2B" w:rsidRPr="007B0C2B" w:rsidRDefault="007B0C2B" w:rsidP="007B0C2B">
            <w:pPr>
              <w:numPr>
                <w:ilvl w:val="2"/>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rsidRPr="007B0C2B">
              <w:t>Коффердамы на танкерах типа G</w:t>
            </w:r>
            <w:r>
              <w:t xml:space="preserve"> </w:t>
            </w:r>
            <w:r>
              <w:rPr>
                <w:spacing w:val="60"/>
                <w:sz w:val="17"/>
              </w:rPr>
              <w:tab/>
            </w:r>
          </w:p>
        </w:tc>
        <w:tc>
          <w:tcPr>
            <w:tcW w:w="994" w:type="dxa"/>
            <w:shd w:val="clear" w:color="auto" w:fill="auto"/>
            <w:vAlign w:val="bottom"/>
          </w:tcPr>
          <w:p w:rsidR="007B0C2B" w:rsidRDefault="007B0C2B" w:rsidP="000D624D">
            <w:pPr>
              <w:spacing w:after="120"/>
              <w:ind w:right="40"/>
              <w:jc w:val="right"/>
            </w:pPr>
            <w:r>
              <w:t>20</w:t>
            </w:r>
          </w:p>
        </w:tc>
        <w:tc>
          <w:tcPr>
            <w:tcW w:w="720" w:type="dxa"/>
            <w:shd w:val="clear" w:color="auto" w:fill="auto"/>
            <w:vAlign w:val="bottom"/>
          </w:tcPr>
          <w:p w:rsidR="007B0C2B" w:rsidRDefault="00FD7CA7" w:rsidP="000D624D">
            <w:pPr>
              <w:spacing w:after="120"/>
              <w:ind w:right="40"/>
              <w:jc w:val="right"/>
            </w:pPr>
            <w:r>
              <w:t>8</w:t>
            </w:r>
          </w:p>
        </w:tc>
      </w:tr>
      <w:tr w:rsidR="007B0C2B" w:rsidRPr="000D624D" w:rsidTr="000D624D">
        <w:tc>
          <w:tcPr>
            <w:tcW w:w="8116" w:type="dxa"/>
            <w:gridSpan w:val="2"/>
            <w:shd w:val="clear" w:color="auto" w:fill="auto"/>
          </w:tcPr>
          <w:p w:rsidR="007B0C2B" w:rsidRPr="007B0C2B" w:rsidRDefault="007B0C2B" w:rsidP="007B0C2B">
            <w:pPr>
              <w:numPr>
                <w:ilvl w:val="2"/>
                <w:numId w:val="11"/>
              </w:num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after="120"/>
            </w:pPr>
            <w:r w:rsidRPr="007B0C2B">
              <w:t>Толкование пункта 1.6.7.4.1</w:t>
            </w:r>
            <w:r>
              <w:t xml:space="preserve"> </w:t>
            </w:r>
            <w:r>
              <w:rPr>
                <w:spacing w:val="60"/>
                <w:sz w:val="17"/>
              </w:rPr>
              <w:tab/>
            </w:r>
          </w:p>
        </w:tc>
        <w:tc>
          <w:tcPr>
            <w:tcW w:w="994" w:type="dxa"/>
            <w:shd w:val="clear" w:color="auto" w:fill="auto"/>
            <w:vAlign w:val="bottom"/>
          </w:tcPr>
          <w:p w:rsidR="007B0C2B" w:rsidRDefault="007B0C2B" w:rsidP="000D624D">
            <w:pPr>
              <w:spacing w:after="120"/>
              <w:ind w:right="40"/>
              <w:jc w:val="right"/>
            </w:pPr>
            <w:r>
              <w:t>21</w:t>
            </w:r>
          </w:p>
        </w:tc>
        <w:tc>
          <w:tcPr>
            <w:tcW w:w="720" w:type="dxa"/>
            <w:shd w:val="clear" w:color="auto" w:fill="auto"/>
            <w:vAlign w:val="bottom"/>
          </w:tcPr>
          <w:p w:rsidR="007B0C2B" w:rsidRDefault="00FD7CA7" w:rsidP="000D624D">
            <w:pPr>
              <w:spacing w:after="120"/>
              <w:ind w:right="40"/>
              <w:jc w:val="right"/>
            </w:pPr>
            <w:r>
              <w:t>8</w:t>
            </w:r>
          </w:p>
        </w:tc>
      </w:tr>
      <w:tr w:rsidR="007B0C2B" w:rsidRPr="000D624D" w:rsidTr="000D624D">
        <w:tc>
          <w:tcPr>
            <w:tcW w:w="8116" w:type="dxa"/>
            <w:gridSpan w:val="2"/>
            <w:shd w:val="clear" w:color="auto" w:fill="auto"/>
          </w:tcPr>
          <w:p w:rsidR="007B0C2B" w:rsidRPr="007B0C2B" w:rsidRDefault="007B0C2B" w:rsidP="007B0C2B">
            <w:pPr>
              <w:numPr>
                <w:ilvl w:val="2"/>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rsidRPr="007B0C2B">
              <w:t>Программное обеспечение для расчета остойчивости</w:t>
            </w:r>
            <w:r>
              <w:t xml:space="preserve"> </w:t>
            </w:r>
            <w:r>
              <w:rPr>
                <w:spacing w:val="60"/>
                <w:sz w:val="17"/>
              </w:rPr>
              <w:tab/>
            </w:r>
          </w:p>
        </w:tc>
        <w:tc>
          <w:tcPr>
            <w:tcW w:w="994" w:type="dxa"/>
            <w:shd w:val="clear" w:color="auto" w:fill="auto"/>
            <w:vAlign w:val="bottom"/>
          </w:tcPr>
          <w:p w:rsidR="007B0C2B" w:rsidRDefault="007B0C2B" w:rsidP="000D624D">
            <w:pPr>
              <w:spacing w:after="120"/>
              <w:ind w:right="40"/>
              <w:jc w:val="right"/>
            </w:pPr>
            <w:r>
              <w:t>22–23</w:t>
            </w:r>
          </w:p>
        </w:tc>
        <w:tc>
          <w:tcPr>
            <w:tcW w:w="720" w:type="dxa"/>
            <w:shd w:val="clear" w:color="auto" w:fill="auto"/>
            <w:vAlign w:val="bottom"/>
          </w:tcPr>
          <w:p w:rsidR="007B0C2B" w:rsidRDefault="00FD7CA7" w:rsidP="000D624D">
            <w:pPr>
              <w:spacing w:after="120"/>
              <w:ind w:right="40"/>
              <w:jc w:val="right"/>
            </w:pPr>
            <w:r>
              <w:t>9</w:t>
            </w:r>
          </w:p>
        </w:tc>
      </w:tr>
      <w:tr w:rsidR="007B0C2B" w:rsidRPr="000D624D" w:rsidTr="000D624D">
        <w:tc>
          <w:tcPr>
            <w:tcW w:w="8116" w:type="dxa"/>
            <w:gridSpan w:val="2"/>
            <w:shd w:val="clear" w:color="auto" w:fill="auto"/>
          </w:tcPr>
          <w:p w:rsidR="007B0C2B" w:rsidRPr="007B0C2B" w:rsidRDefault="007B0C2B" w:rsidP="007B0C2B">
            <w:pPr>
              <w:numPr>
                <w:ilvl w:val="1"/>
                <w:numId w:val="11"/>
              </w:numPr>
              <w:tabs>
                <w:tab w:val="right" w:pos="1080"/>
                <w:tab w:val="left" w:pos="1296"/>
                <w:tab w:val="left" w:pos="1728"/>
                <w:tab w:val="left" w:pos="2160"/>
                <w:tab w:val="left" w:pos="2592"/>
                <w:tab w:val="left" w:pos="3024"/>
                <w:tab w:val="left" w:pos="3456"/>
                <w:tab w:val="right" w:leader="dot" w:pos="8194"/>
              </w:tabs>
              <w:suppressAutoHyphens/>
              <w:spacing w:after="120"/>
            </w:pPr>
            <w:r w:rsidRPr="007B0C2B">
              <w:t>Подготовка экспертов</w:t>
            </w:r>
            <w:r>
              <w:t xml:space="preserve"> </w:t>
            </w:r>
            <w:r>
              <w:rPr>
                <w:spacing w:val="60"/>
                <w:sz w:val="17"/>
              </w:rPr>
              <w:tab/>
            </w:r>
          </w:p>
        </w:tc>
        <w:tc>
          <w:tcPr>
            <w:tcW w:w="994" w:type="dxa"/>
            <w:shd w:val="clear" w:color="auto" w:fill="auto"/>
            <w:vAlign w:val="bottom"/>
          </w:tcPr>
          <w:p w:rsidR="007B0C2B" w:rsidRDefault="007B0C2B" w:rsidP="000D624D">
            <w:pPr>
              <w:spacing w:after="120"/>
              <w:ind w:right="40"/>
              <w:jc w:val="right"/>
            </w:pPr>
            <w:r>
              <w:t>24–31</w:t>
            </w:r>
          </w:p>
        </w:tc>
        <w:tc>
          <w:tcPr>
            <w:tcW w:w="720" w:type="dxa"/>
            <w:shd w:val="clear" w:color="auto" w:fill="auto"/>
            <w:vAlign w:val="bottom"/>
          </w:tcPr>
          <w:p w:rsidR="007B0C2B" w:rsidRDefault="00FD7CA7" w:rsidP="000D624D">
            <w:pPr>
              <w:spacing w:after="120"/>
              <w:ind w:right="40"/>
              <w:jc w:val="right"/>
            </w:pPr>
            <w:r>
              <w:t>9</w:t>
            </w:r>
          </w:p>
        </w:tc>
      </w:tr>
      <w:tr w:rsidR="007B0C2B" w:rsidRPr="000D624D" w:rsidTr="000D624D">
        <w:tc>
          <w:tcPr>
            <w:tcW w:w="8116" w:type="dxa"/>
            <w:gridSpan w:val="2"/>
            <w:shd w:val="clear" w:color="auto" w:fill="auto"/>
          </w:tcPr>
          <w:p w:rsidR="007B0C2B" w:rsidRPr="007B0C2B" w:rsidRDefault="007B0C2B" w:rsidP="007B0C2B">
            <w:pPr>
              <w:numPr>
                <w:ilvl w:val="2"/>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rsidRPr="007B0C2B">
              <w:t>Доклад о работе четырнадцатого совещания неофициальной рабочей группы по подготовке экспертов</w:t>
            </w:r>
            <w:r>
              <w:t xml:space="preserve"> </w:t>
            </w:r>
            <w:r>
              <w:rPr>
                <w:spacing w:val="60"/>
                <w:sz w:val="17"/>
              </w:rPr>
              <w:tab/>
            </w:r>
          </w:p>
        </w:tc>
        <w:tc>
          <w:tcPr>
            <w:tcW w:w="994" w:type="dxa"/>
            <w:shd w:val="clear" w:color="auto" w:fill="auto"/>
            <w:vAlign w:val="bottom"/>
          </w:tcPr>
          <w:p w:rsidR="007B0C2B" w:rsidRDefault="007B0C2B" w:rsidP="000D624D">
            <w:pPr>
              <w:spacing w:after="120"/>
              <w:ind w:right="40"/>
              <w:jc w:val="right"/>
            </w:pPr>
            <w:r>
              <w:t>24–28</w:t>
            </w:r>
          </w:p>
        </w:tc>
        <w:tc>
          <w:tcPr>
            <w:tcW w:w="720" w:type="dxa"/>
            <w:shd w:val="clear" w:color="auto" w:fill="auto"/>
            <w:vAlign w:val="bottom"/>
          </w:tcPr>
          <w:p w:rsidR="007B0C2B" w:rsidRDefault="00FD7CA7" w:rsidP="000D624D">
            <w:pPr>
              <w:spacing w:after="120"/>
              <w:ind w:right="40"/>
              <w:jc w:val="right"/>
            </w:pPr>
            <w:r>
              <w:t>9</w:t>
            </w:r>
          </w:p>
        </w:tc>
      </w:tr>
      <w:tr w:rsidR="007B0C2B" w:rsidRPr="000D624D" w:rsidTr="000D624D">
        <w:tc>
          <w:tcPr>
            <w:tcW w:w="8116" w:type="dxa"/>
            <w:gridSpan w:val="2"/>
            <w:shd w:val="clear" w:color="auto" w:fill="auto"/>
          </w:tcPr>
          <w:p w:rsidR="007B0C2B" w:rsidRPr="007B0C2B" w:rsidRDefault="007B0C2B" w:rsidP="007B0C2B">
            <w:pPr>
              <w:numPr>
                <w:ilvl w:val="2"/>
                <w:numId w:val="11"/>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7B0C2B">
              <w:t>Программа работы неофициальной рабочей г</w:t>
            </w:r>
            <w:r>
              <w:t>руппы по </w:t>
            </w:r>
            <w:r w:rsidRPr="007B0C2B">
              <w:t>подготовке экспертов</w:t>
            </w:r>
            <w:r>
              <w:t xml:space="preserve"> </w:t>
            </w:r>
            <w:r>
              <w:rPr>
                <w:spacing w:val="60"/>
                <w:sz w:val="17"/>
              </w:rPr>
              <w:tab/>
            </w:r>
          </w:p>
        </w:tc>
        <w:tc>
          <w:tcPr>
            <w:tcW w:w="994" w:type="dxa"/>
            <w:shd w:val="clear" w:color="auto" w:fill="auto"/>
            <w:vAlign w:val="bottom"/>
          </w:tcPr>
          <w:p w:rsidR="007B0C2B" w:rsidRDefault="007B0C2B" w:rsidP="000D624D">
            <w:pPr>
              <w:spacing w:after="120"/>
              <w:ind w:right="40"/>
              <w:jc w:val="right"/>
            </w:pPr>
            <w:r>
              <w:t>29–30</w:t>
            </w:r>
          </w:p>
        </w:tc>
        <w:tc>
          <w:tcPr>
            <w:tcW w:w="720" w:type="dxa"/>
            <w:shd w:val="clear" w:color="auto" w:fill="auto"/>
            <w:vAlign w:val="bottom"/>
          </w:tcPr>
          <w:p w:rsidR="007B0C2B" w:rsidRDefault="00FD7CA7" w:rsidP="000D624D">
            <w:pPr>
              <w:spacing w:after="120"/>
              <w:ind w:right="40"/>
              <w:jc w:val="right"/>
            </w:pPr>
            <w:r>
              <w:t>9</w:t>
            </w:r>
          </w:p>
        </w:tc>
      </w:tr>
      <w:tr w:rsidR="007B0C2B" w:rsidRPr="000D624D" w:rsidTr="000D624D">
        <w:tc>
          <w:tcPr>
            <w:tcW w:w="8116" w:type="dxa"/>
            <w:gridSpan w:val="2"/>
            <w:shd w:val="clear" w:color="auto" w:fill="auto"/>
          </w:tcPr>
          <w:p w:rsidR="007B0C2B" w:rsidRPr="007B0C2B" w:rsidRDefault="007B0C2B" w:rsidP="007B0C2B">
            <w:pPr>
              <w:numPr>
                <w:ilvl w:val="2"/>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pPr>
            <w:r w:rsidRPr="007B0C2B">
              <w:t>Статистические данные о результатах экзаменов</w:t>
            </w:r>
            <w:r>
              <w:t xml:space="preserve"> </w:t>
            </w:r>
            <w:r>
              <w:rPr>
                <w:spacing w:val="60"/>
                <w:sz w:val="17"/>
              </w:rPr>
              <w:tab/>
            </w:r>
          </w:p>
        </w:tc>
        <w:tc>
          <w:tcPr>
            <w:tcW w:w="994" w:type="dxa"/>
            <w:shd w:val="clear" w:color="auto" w:fill="auto"/>
            <w:vAlign w:val="bottom"/>
          </w:tcPr>
          <w:p w:rsidR="007B0C2B" w:rsidRDefault="007B0C2B" w:rsidP="000D624D">
            <w:pPr>
              <w:spacing w:after="120"/>
              <w:ind w:right="40"/>
              <w:jc w:val="right"/>
            </w:pPr>
            <w:r>
              <w:t>31</w:t>
            </w:r>
          </w:p>
        </w:tc>
        <w:tc>
          <w:tcPr>
            <w:tcW w:w="720" w:type="dxa"/>
            <w:shd w:val="clear" w:color="auto" w:fill="auto"/>
            <w:vAlign w:val="bottom"/>
          </w:tcPr>
          <w:p w:rsidR="007B0C2B" w:rsidRDefault="00FD7CA7" w:rsidP="000D624D">
            <w:pPr>
              <w:spacing w:after="120"/>
              <w:ind w:right="40"/>
              <w:jc w:val="right"/>
            </w:pPr>
            <w:r>
              <w:t>10</w:t>
            </w:r>
          </w:p>
        </w:tc>
      </w:tr>
      <w:tr w:rsidR="007B0C2B" w:rsidRPr="000D624D" w:rsidTr="000D624D">
        <w:tc>
          <w:tcPr>
            <w:tcW w:w="8116" w:type="dxa"/>
            <w:gridSpan w:val="2"/>
            <w:shd w:val="clear" w:color="auto" w:fill="auto"/>
          </w:tcPr>
          <w:p w:rsidR="007B0C2B" w:rsidRPr="007B0C2B" w:rsidRDefault="007B0C2B" w:rsidP="007B0C2B">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pPr>
            <w:r w:rsidRPr="007B0C2B">
              <w:t>Вопросы, касающиеся классификационных обществ</w:t>
            </w:r>
            <w:r>
              <w:t xml:space="preserve"> </w:t>
            </w:r>
            <w:r>
              <w:rPr>
                <w:spacing w:val="60"/>
                <w:sz w:val="17"/>
              </w:rPr>
              <w:tab/>
            </w:r>
          </w:p>
        </w:tc>
        <w:tc>
          <w:tcPr>
            <w:tcW w:w="994" w:type="dxa"/>
            <w:shd w:val="clear" w:color="auto" w:fill="auto"/>
            <w:vAlign w:val="bottom"/>
          </w:tcPr>
          <w:p w:rsidR="007B0C2B" w:rsidRDefault="007B0C2B" w:rsidP="000D624D">
            <w:pPr>
              <w:spacing w:after="120"/>
              <w:ind w:right="40"/>
              <w:jc w:val="right"/>
            </w:pPr>
            <w:r>
              <w:t>32–37</w:t>
            </w:r>
          </w:p>
        </w:tc>
        <w:tc>
          <w:tcPr>
            <w:tcW w:w="720" w:type="dxa"/>
            <w:shd w:val="clear" w:color="auto" w:fill="auto"/>
            <w:vAlign w:val="bottom"/>
          </w:tcPr>
          <w:p w:rsidR="007B0C2B" w:rsidRDefault="00FD7CA7" w:rsidP="000D624D">
            <w:pPr>
              <w:spacing w:after="120"/>
              <w:ind w:right="40"/>
              <w:jc w:val="right"/>
            </w:pPr>
            <w:r>
              <w:t>10</w:t>
            </w:r>
          </w:p>
        </w:tc>
      </w:tr>
      <w:tr w:rsidR="007B0C2B" w:rsidRPr="000D624D" w:rsidTr="000D624D">
        <w:tc>
          <w:tcPr>
            <w:tcW w:w="8116" w:type="dxa"/>
            <w:gridSpan w:val="2"/>
            <w:shd w:val="clear" w:color="auto" w:fill="auto"/>
          </w:tcPr>
          <w:p w:rsidR="007B0C2B" w:rsidRPr="007B0C2B" w:rsidRDefault="007B0C2B" w:rsidP="007B0C2B">
            <w:pPr>
              <w:numPr>
                <w:ilvl w:val="2"/>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rsidRPr="007B0C2B">
              <w:t>Доклад о девятом совещании Рекомендованных классификационных обществ ВОПОГ</w:t>
            </w:r>
            <w:r>
              <w:t xml:space="preserve"> </w:t>
            </w:r>
            <w:r>
              <w:rPr>
                <w:spacing w:val="60"/>
                <w:sz w:val="17"/>
              </w:rPr>
              <w:tab/>
            </w:r>
          </w:p>
        </w:tc>
        <w:tc>
          <w:tcPr>
            <w:tcW w:w="994" w:type="dxa"/>
            <w:shd w:val="clear" w:color="auto" w:fill="auto"/>
            <w:vAlign w:val="bottom"/>
          </w:tcPr>
          <w:p w:rsidR="007B0C2B" w:rsidRDefault="007B0C2B" w:rsidP="000D624D">
            <w:pPr>
              <w:spacing w:after="120"/>
              <w:ind w:right="40"/>
              <w:jc w:val="right"/>
            </w:pPr>
            <w:r>
              <w:t>32</w:t>
            </w:r>
          </w:p>
        </w:tc>
        <w:tc>
          <w:tcPr>
            <w:tcW w:w="720" w:type="dxa"/>
            <w:shd w:val="clear" w:color="auto" w:fill="auto"/>
            <w:vAlign w:val="bottom"/>
          </w:tcPr>
          <w:p w:rsidR="007B0C2B" w:rsidRDefault="00FD7CA7" w:rsidP="000D624D">
            <w:pPr>
              <w:spacing w:after="120"/>
              <w:ind w:right="40"/>
              <w:jc w:val="right"/>
            </w:pPr>
            <w:r>
              <w:t>10</w:t>
            </w:r>
          </w:p>
        </w:tc>
      </w:tr>
      <w:tr w:rsidR="007B0C2B" w:rsidRPr="000D624D" w:rsidTr="000D624D">
        <w:tc>
          <w:tcPr>
            <w:tcW w:w="8116" w:type="dxa"/>
            <w:gridSpan w:val="2"/>
            <w:shd w:val="clear" w:color="auto" w:fill="auto"/>
          </w:tcPr>
          <w:p w:rsidR="007B0C2B" w:rsidRPr="007B0C2B" w:rsidRDefault="007B0C2B" w:rsidP="007B0C2B">
            <w:pPr>
              <w:numPr>
                <w:ilvl w:val="2"/>
                <w:numId w:val="11"/>
              </w:numPr>
              <w:tabs>
                <w:tab w:val="right" w:pos="1080"/>
                <w:tab w:val="left" w:pos="1296"/>
                <w:tab w:val="left" w:pos="1728"/>
                <w:tab w:val="left" w:pos="2160"/>
                <w:tab w:val="left" w:pos="2592"/>
                <w:tab w:val="left" w:pos="3024"/>
                <w:tab w:val="left" w:pos="3456"/>
                <w:tab w:val="right" w:leader="dot" w:pos="8194"/>
              </w:tabs>
              <w:suppressAutoHyphens/>
              <w:spacing w:after="120"/>
            </w:pPr>
            <w:r w:rsidRPr="007B0C2B">
              <w:t>Сертификация в соответствии со стандартом EN/ISO/</w:t>
            </w:r>
            <w:r>
              <w:br/>
            </w:r>
            <w:r w:rsidRPr="007B0C2B">
              <w:t>IEC 17020:2012</w:t>
            </w:r>
            <w:r>
              <w:t xml:space="preserve"> </w:t>
            </w:r>
            <w:r>
              <w:rPr>
                <w:spacing w:val="60"/>
                <w:sz w:val="17"/>
              </w:rPr>
              <w:tab/>
            </w:r>
          </w:p>
        </w:tc>
        <w:tc>
          <w:tcPr>
            <w:tcW w:w="994" w:type="dxa"/>
            <w:shd w:val="clear" w:color="auto" w:fill="auto"/>
            <w:vAlign w:val="bottom"/>
          </w:tcPr>
          <w:p w:rsidR="007B0C2B" w:rsidRDefault="00F07D53" w:rsidP="000D624D">
            <w:pPr>
              <w:spacing w:after="120"/>
              <w:ind w:right="40"/>
              <w:jc w:val="right"/>
            </w:pPr>
            <w:r>
              <w:t>33–36</w:t>
            </w:r>
          </w:p>
        </w:tc>
        <w:tc>
          <w:tcPr>
            <w:tcW w:w="720" w:type="dxa"/>
            <w:shd w:val="clear" w:color="auto" w:fill="auto"/>
            <w:vAlign w:val="bottom"/>
          </w:tcPr>
          <w:p w:rsidR="007B0C2B" w:rsidRDefault="00FD7CA7" w:rsidP="000D624D">
            <w:pPr>
              <w:spacing w:after="120"/>
              <w:ind w:right="40"/>
              <w:jc w:val="right"/>
            </w:pPr>
            <w:r>
              <w:t>10</w:t>
            </w:r>
          </w:p>
        </w:tc>
      </w:tr>
      <w:tr w:rsidR="00F07D53" w:rsidRPr="000D624D" w:rsidTr="000D624D">
        <w:tc>
          <w:tcPr>
            <w:tcW w:w="8116" w:type="dxa"/>
            <w:gridSpan w:val="2"/>
            <w:shd w:val="clear" w:color="auto" w:fill="auto"/>
          </w:tcPr>
          <w:p w:rsidR="00F07D53" w:rsidRPr="007B0C2B" w:rsidRDefault="00F07D53" w:rsidP="00F07D53">
            <w:pPr>
              <w:numPr>
                <w:ilvl w:val="2"/>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rsidRPr="00F07D53">
              <w:t>Итальянский морской регистр (RINA)</w:t>
            </w:r>
            <w:r>
              <w:t xml:space="preserve"> </w:t>
            </w:r>
            <w:r>
              <w:rPr>
                <w:spacing w:val="60"/>
                <w:sz w:val="17"/>
              </w:rPr>
              <w:tab/>
            </w:r>
          </w:p>
        </w:tc>
        <w:tc>
          <w:tcPr>
            <w:tcW w:w="994" w:type="dxa"/>
            <w:shd w:val="clear" w:color="auto" w:fill="auto"/>
            <w:vAlign w:val="bottom"/>
          </w:tcPr>
          <w:p w:rsidR="00F07D53" w:rsidRDefault="00F07D53" w:rsidP="000D624D">
            <w:pPr>
              <w:spacing w:after="120"/>
              <w:ind w:right="40"/>
              <w:jc w:val="right"/>
            </w:pPr>
            <w:r>
              <w:t>37</w:t>
            </w:r>
          </w:p>
        </w:tc>
        <w:tc>
          <w:tcPr>
            <w:tcW w:w="720" w:type="dxa"/>
            <w:shd w:val="clear" w:color="auto" w:fill="auto"/>
            <w:vAlign w:val="bottom"/>
          </w:tcPr>
          <w:p w:rsidR="00F07D53" w:rsidRDefault="00FD7CA7" w:rsidP="000D624D">
            <w:pPr>
              <w:spacing w:after="120"/>
              <w:ind w:right="40"/>
              <w:jc w:val="right"/>
            </w:pPr>
            <w:r>
              <w:t>11</w:t>
            </w:r>
          </w:p>
        </w:tc>
      </w:tr>
      <w:tr w:rsidR="00F07D53" w:rsidRPr="000D624D" w:rsidTr="000D624D">
        <w:tc>
          <w:tcPr>
            <w:tcW w:w="8116" w:type="dxa"/>
            <w:gridSpan w:val="2"/>
            <w:shd w:val="clear" w:color="auto" w:fill="auto"/>
          </w:tcPr>
          <w:p w:rsidR="00F07D53" w:rsidRPr="00F07D53" w:rsidRDefault="00F07D53" w:rsidP="00F07D53">
            <w:pPr>
              <w:numPr>
                <w:ilvl w:val="0"/>
                <w:numId w:val="11"/>
              </w:numPr>
              <w:tabs>
                <w:tab w:val="right" w:pos="1080"/>
                <w:tab w:val="left" w:pos="1296"/>
                <w:tab w:val="left" w:pos="1728"/>
                <w:tab w:val="left" w:pos="2160"/>
                <w:tab w:val="left" w:pos="2592"/>
                <w:tab w:val="left" w:pos="3024"/>
                <w:tab w:val="right" w:leader="dot" w:pos="8194"/>
              </w:tabs>
              <w:suppressAutoHyphens/>
              <w:spacing w:after="120"/>
            </w:pPr>
            <w:r>
              <w:tab/>
            </w:r>
            <w:r w:rsidRPr="00F07D53">
              <w:t>Предложения о внесении поправок в Правила, прилагаемые к ВОПОГ (пункт 4 повестки дня)</w:t>
            </w:r>
            <w:r>
              <w:t xml:space="preserve"> </w:t>
            </w:r>
            <w:r>
              <w:rPr>
                <w:spacing w:val="60"/>
                <w:sz w:val="17"/>
              </w:rPr>
              <w:tab/>
            </w:r>
          </w:p>
        </w:tc>
        <w:tc>
          <w:tcPr>
            <w:tcW w:w="994" w:type="dxa"/>
            <w:shd w:val="clear" w:color="auto" w:fill="auto"/>
            <w:vAlign w:val="bottom"/>
          </w:tcPr>
          <w:p w:rsidR="00F07D53" w:rsidRDefault="00F07D53" w:rsidP="000D624D">
            <w:pPr>
              <w:spacing w:after="120"/>
              <w:ind w:right="40"/>
              <w:jc w:val="right"/>
            </w:pPr>
            <w:r>
              <w:t>38–69</w:t>
            </w:r>
          </w:p>
        </w:tc>
        <w:tc>
          <w:tcPr>
            <w:tcW w:w="720" w:type="dxa"/>
            <w:shd w:val="clear" w:color="auto" w:fill="auto"/>
            <w:vAlign w:val="bottom"/>
          </w:tcPr>
          <w:p w:rsidR="00F07D53" w:rsidRDefault="00FD7CA7" w:rsidP="000D624D">
            <w:pPr>
              <w:spacing w:after="120"/>
              <w:ind w:right="40"/>
              <w:jc w:val="right"/>
            </w:pPr>
            <w:r>
              <w:t>11</w:t>
            </w:r>
          </w:p>
        </w:tc>
      </w:tr>
      <w:tr w:rsidR="00F07D53" w:rsidRPr="000D624D" w:rsidTr="000D624D">
        <w:tc>
          <w:tcPr>
            <w:tcW w:w="8116" w:type="dxa"/>
            <w:gridSpan w:val="2"/>
            <w:shd w:val="clear" w:color="auto" w:fill="auto"/>
          </w:tcPr>
          <w:p w:rsidR="00F07D53" w:rsidRDefault="00F07D53" w:rsidP="00F07D53">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rsidRPr="00F07D53">
              <w:t>Работа Совместного совещания МПОГ/ДОПОГ/ВОПОГ</w:t>
            </w:r>
            <w:r>
              <w:t xml:space="preserve"> </w:t>
            </w:r>
            <w:r>
              <w:rPr>
                <w:spacing w:val="60"/>
                <w:sz w:val="17"/>
              </w:rPr>
              <w:tab/>
            </w:r>
          </w:p>
        </w:tc>
        <w:tc>
          <w:tcPr>
            <w:tcW w:w="994" w:type="dxa"/>
            <w:shd w:val="clear" w:color="auto" w:fill="auto"/>
            <w:vAlign w:val="bottom"/>
          </w:tcPr>
          <w:p w:rsidR="00F07D53" w:rsidRDefault="00F07D53" w:rsidP="000D624D">
            <w:pPr>
              <w:spacing w:after="120"/>
              <w:ind w:right="40"/>
              <w:jc w:val="right"/>
            </w:pPr>
            <w:r>
              <w:t>38</w:t>
            </w:r>
          </w:p>
        </w:tc>
        <w:tc>
          <w:tcPr>
            <w:tcW w:w="720" w:type="dxa"/>
            <w:shd w:val="clear" w:color="auto" w:fill="auto"/>
            <w:vAlign w:val="bottom"/>
          </w:tcPr>
          <w:p w:rsidR="00F07D53" w:rsidRDefault="00FD7CA7" w:rsidP="000D624D">
            <w:pPr>
              <w:spacing w:after="120"/>
              <w:ind w:right="40"/>
              <w:jc w:val="right"/>
            </w:pPr>
            <w:r>
              <w:t>11</w:t>
            </w:r>
          </w:p>
        </w:tc>
      </w:tr>
      <w:tr w:rsidR="00F07D53" w:rsidRPr="000D624D" w:rsidTr="000D624D">
        <w:tc>
          <w:tcPr>
            <w:tcW w:w="8116" w:type="dxa"/>
            <w:gridSpan w:val="2"/>
            <w:shd w:val="clear" w:color="auto" w:fill="auto"/>
          </w:tcPr>
          <w:p w:rsidR="00F07D53" w:rsidRPr="00F07D53" w:rsidRDefault="00F07D53" w:rsidP="00F07D53">
            <w:pPr>
              <w:numPr>
                <w:ilvl w:val="1"/>
                <w:numId w:val="11"/>
              </w:numPr>
              <w:tabs>
                <w:tab w:val="right" w:pos="1080"/>
                <w:tab w:val="left" w:pos="1296"/>
                <w:tab w:val="left" w:pos="1728"/>
                <w:tab w:val="left" w:pos="2160"/>
                <w:tab w:val="left" w:pos="2592"/>
                <w:tab w:val="left" w:pos="3024"/>
                <w:tab w:val="left" w:pos="3456"/>
                <w:tab w:val="right" w:leader="dot" w:pos="8194"/>
              </w:tabs>
              <w:suppressAutoHyphens/>
              <w:spacing w:after="120"/>
            </w:pPr>
            <w:r w:rsidRPr="00F07D53">
              <w:lastRenderedPageBreak/>
              <w:t>Другие предложения</w:t>
            </w:r>
            <w:r>
              <w:t xml:space="preserve"> </w:t>
            </w:r>
            <w:r>
              <w:rPr>
                <w:spacing w:val="60"/>
                <w:sz w:val="17"/>
              </w:rPr>
              <w:tab/>
            </w:r>
          </w:p>
        </w:tc>
        <w:tc>
          <w:tcPr>
            <w:tcW w:w="994" w:type="dxa"/>
            <w:shd w:val="clear" w:color="auto" w:fill="auto"/>
            <w:vAlign w:val="bottom"/>
          </w:tcPr>
          <w:p w:rsidR="00F07D53" w:rsidRDefault="00F07D53" w:rsidP="000D624D">
            <w:pPr>
              <w:spacing w:after="120"/>
              <w:ind w:right="40"/>
              <w:jc w:val="right"/>
            </w:pPr>
            <w:r>
              <w:t>39–69</w:t>
            </w:r>
          </w:p>
        </w:tc>
        <w:tc>
          <w:tcPr>
            <w:tcW w:w="720" w:type="dxa"/>
            <w:shd w:val="clear" w:color="auto" w:fill="auto"/>
            <w:vAlign w:val="bottom"/>
          </w:tcPr>
          <w:p w:rsidR="00F07D53" w:rsidRDefault="00FD7CA7" w:rsidP="000D624D">
            <w:pPr>
              <w:spacing w:after="120"/>
              <w:ind w:right="40"/>
              <w:jc w:val="right"/>
            </w:pPr>
            <w:r>
              <w:t>11</w:t>
            </w:r>
          </w:p>
        </w:tc>
      </w:tr>
      <w:tr w:rsidR="00F07D53" w:rsidRPr="000D624D" w:rsidTr="000D624D">
        <w:tc>
          <w:tcPr>
            <w:tcW w:w="8116" w:type="dxa"/>
            <w:gridSpan w:val="2"/>
            <w:shd w:val="clear" w:color="auto" w:fill="auto"/>
          </w:tcPr>
          <w:p w:rsidR="00F07D53" w:rsidRPr="00F07D53" w:rsidRDefault="00F07D53" w:rsidP="00F07D53">
            <w:pPr>
              <w:numPr>
                <w:ilvl w:val="2"/>
                <w:numId w:val="11"/>
              </w:numPr>
              <w:tabs>
                <w:tab w:val="right" w:pos="1080"/>
                <w:tab w:val="left" w:pos="1296"/>
                <w:tab w:val="left" w:pos="1728"/>
                <w:tab w:val="left" w:pos="2160"/>
                <w:tab w:val="left" w:pos="2592"/>
                <w:tab w:val="left" w:pos="3024"/>
                <w:tab w:val="left" w:pos="3456"/>
                <w:tab w:val="left" w:pos="3888"/>
                <w:tab w:val="left" w:pos="4320"/>
                <w:tab w:val="right" w:leader="dot" w:pos="8194"/>
              </w:tabs>
              <w:suppressAutoHyphens/>
              <w:spacing w:after="120"/>
            </w:pPr>
            <w:r w:rsidRPr="00F07D53">
              <w:t>Положения, касающиеся резервуаров высокого давления, арматуры и трубопроводо</w:t>
            </w:r>
            <w:r>
              <w:t>в, находящихся под давлением, в </w:t>
            </w:r>
            <w:r w:rsidRPr="00F07D53">
              <w:t>системах пожаротушения</w:t>
            </w:r>
            <w:r>
              <w:t xml:space="preserve"> </w:t>
            </w:r>
            <w:r>
              <w:rPr>
                <w:spacing w:val="60"/>
                <w:sz w:val="17"/>
              </w:rPr>
              <w:tab/>
            </w:r>
          </w:p>
        </w:tc>
        <w:tc>
          <w:tcPr>
            <w:tcW w:w="994" w:type="dxa"/>
            <w:shd w:val="clear" w:color="auto" w:fill="auto"/>
            <w:vAlign w:val="bottom"/>
          </w:tcPr>
          <w:p w:rsidR="00F07D53" w:rsidRDefault="00F07D53" w:rsidP="000D624D">
            <w:pPr>
              <w:spacing w:after="120"/>
              <w:ind w:right="40"/>
              <w:jc w:val="right"/>
            </w:pPr>
            <w:r>
              <w:t>39</w:t>
            </w:r>
          </w:p>
        </w:tc>
        <w:tc>
          <w:tcPr>
            <w:tcW w:w="720" w:type="dxa"/>
            <w:shd w:val="clear" w:color="auto" w:fill="auto"/>
            <w:vAlign w:val="bottom"/>
          </w:tcPr>
          <w:p w:rsidR="00F07D53" w:rsidRDefault="00FD7CA7" w:rsidP="000D624D">
            <w:pPr>
              <w:spacing w:after="120"/>
              <w:ind w:right="40"/>
              <w:jc w:val="right"/>
            </w:pPr>
            <w:r>
              <w:t>11</w:t>
            </w:r>
          </w:p>
        </w:tc>
      </w:tr>
      <w:tr w:rsidR="00F07D53" w:rsidRPr="000D624D" w:rsidTr="000D624D">
        <w:tc>
          <w:tcPr>
            <w:tcW w:w="8116" w:type="dxa"/>
            <w:gridSpan w:val="2"/>
            <w:shd w:val="clear" w:color="auto" w:fill="auto"/>
          </w:tcPr>
          <w:p w:rsidR="00F07D53" w:rsidRPr="00F07D53" w:rsidRDefault="00F07D53" w:rsidP="00F07D53">
            <w:pPr>
              <w:numPr>
                <w:ilvl w:val="2"/>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rsidRPr="00F07D53">
              <w:t>Таблица 7.2.4.77 – Возможные средства для эвакуации в случае возникновения чрезвычайной ситуации</w:t>
            </w:r>
            <w:r>
              <w:t xml:space="preserve"> </w:t>
            </w:r>
            <w:r>
              <w:rPr>
                <w:spacing w:val="60"/>
                <w:sz w:val="17"/>
              </w:rPr>
              <w:tab/>
            </w:r>
          </w:p>
        </w:tc>
        <w:tc>
          <w:tcPr>
            <w:tcW w:w="994" w:type="dxa"/>
            <w:shd w:val="clear" w:color="auto" w:fill="auto"/>
            <w:vAlign w:val="bottom"/>
          </w:tcPr>
          <w:p w:rsidR="00F07D53" w:rsidRDefault="00F07D53" w:rsidP="000D624D">
            <w:pPr>
              <w:spacing w:after="120"/>
              <w:ind w:right="40"/>
              <w:jc w:val="right"/>
            </w:pPr>
            <w:r>
              <w:t>40</w:t>
            </w:r>
          </w:p>
        </w:tc>
        <w:tc>
          <w:tcPr>
            <w:tcW w:w="720" w:type="dxa"/>
            <w:shd w:val="clear" w:color="auto" w:fill="auto"/>
            <w:vAlign w:val="bottom"/>
          </w:tcPr>
          <w:p w:rsidR="00F07D53" w:rsidRDefault="00FD7CA7" w:rsidP="000D624D">
            <w:pPr>
              <w:spacing w:after="120"/>
              <w:ind w:right="40"/>
              <w:jc w:val="right"/>
            </w:pPr>
            <w:r>
              <w:t>11</w:t>
            </w:r>
          </w:p>
        </w:tc>
      </w:tr>
      <w:tr w:rsidR="00F07D53" w:rsidRPr="000D624D" w:rsidTr="000D624D">
        <w:tc>
          <w:tcPr>
            <w:tcW w:w="8116" w:type="dxa"/>
            <w:gridSpan w:val="2"/>
            <w:shd w:val="clear" w:color="auto" w:fill="auto"/>
          </w:tcPr>
          <w:p w:rsidR="00F07D53" w:rsidRPr="00F07D53" w:rsidRDefault="00F07D53" w:rsidP="00F07D53">
            <w:pPr>
              <w:numPr>
                <w:ilvl w:val="2"/>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rsidRPr="00F07D53">
              <w:t>Переходное положение для пунктов 9.3.х.51.3 (температурный класс и группа взрывоопасности)</w:t>
            </w:r>
            <w:r>
              <w:t xml:space="preserve"> </w:t>
            </w:r>
            <w:r>
              <w:rPr>
                <w:spacing w:val="60"/>
                <w:sz w:val="17"/>
              </w:rPr>
              <w:tab/>
            </w:r>
          </w:p>
        </w:tc>
        <w:tc>
          <w:tcPr>
            <w:tcW w:w="994" w:type="dxa"/>
            <w:shd w:val="clear" w:color="auto" w:fill="auto"/>
            <w:vAlign w:val="bottom"/>
          </w:tcPr>
          <w:p w:rsidR="00F07D53" w:rsidRDefault="00F07D53" w:rsidP="000D624D">
            <w:pPr>
              <w:spacing w:after="120"/>
              <w:ind w:right="40"/>
              <w:jc w:val="right"/>
            </w:pPr>
            <w:r>
              <w:t>41–42</w:t>
            </w:r>
          </w:p>
        </w:tc>
        <w:tc>
          <w:tcPr>
            <w:tcW w:w="720" w:type="dxa"/>
            <w:shd w:val="clear" w:color="auto" w:fill="auto"/>
            <w:vAlign w:val="bottom"/>
          </w:tcPr>
          <w:p w:rsidR="00F07D53" w:rsidRDefault="00FD7CA7" w:rsidP="000D624D">
            <w:pPr>
              <w:spacing w:after="120"/>
              <w:ind w:right="40"/>
              <w:jc w:val="right"/>
            </w:pPr>
            <w:r>
              <w:t>1</w:t>
            </w:r>
            <w:r w:rsidR="00D738F3">
              <w:t>2</w:t>
            </w:r>
          </w:p>
        </w:tc>
      </w:tr>
      <w:tr w:rsidR="00F07D53" w:rsidRPr="000D624D" w:rsidTr="000D624D">
        <w:tc>
          <w:tcPr>
            <w:tcW w:w="8116" w:type="dxa"/>
            <w:gridSpan w:val="2"/>
            <w:shd w:val="clear" w:color="auto" w:fill="auto"/>
          </w:tcPr>
          <w:p w:rsidR="00F07D53" w:rsidRPr="00F07D53" w:rsidRDefault="00F07D53" w:rsidP="00F07D53">
            <w:pPr>
              <w:numPr>
                <w:ilvl w:val="2"/>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rsidRPr="00F07D53">
              <w:t>Примеры образцов свидетельств о подготовке</w:t>
            </w:r>
            <w:r>
              <w:t xml:space="preserve"> </w:t>
            </w:r>
            <w:r>
              <w:rPr>
                <w:spacing w:val="60"/>
                <w:sz w:val="17"/>
              </w:rPr>
              <w:tab/>
            </w:r>
          </w:p>
        </w:tc>
        <w:tc>
          <w:tcPr>
            <w:tcW w:w="994" w:type="dxa"/>
            <w:shd w:val="clear" w:color="auto" w:fill="auto"/>
            <w:vAlign w:val="bottom"/>
          </w:tcPr>
          <w:p w:rsidR="00F07D53" w:rsidRDefault="00F07D53" w:rsidP="000D624D">
            <w:pPr>
              <w:spacing w:after="120"/>
              <w:ind w:right="40"/>
              <w:jc w:val="right"/>
            </w:pPr>
            <w:r>
              <w:t>43</w:t>
            </w:r>
          </w:p>
        </w:tc>
        <w:tc>
          <w:tcPr>
            <w:tcW w:w="720" w:type="dxa"/>
            <w:shd w:val="clear" w:color="auto" w:fill="auto"/>
            <w:vAlign w:val="bottom"/>
          </w:tcPr>
          <w:p w:rsidR="00F07D53" w:rsidRDefault="00FD7CA7" w:rsidP="000D624D">
            <w:pPr>
              <w:spacing w:after="120"/>
              <w:ind w:right="40"/>
              <w:jc w:val="right"/>
            </w:pPr>
            <w:r>
              <w:t>12</w:t>
            </w:r>
          </w:p>
        </w:tc>
      </w:tr>
      <w:tr w:rsidR="00F07D53" w:rsidRPr="000D624D" w:rsidTr="000D624D">
        <w:tc>
          <w:tcPr>
            <w:tcW w:w="8116" w:type="dxa"/>
            <w:gridSpan w:val="2"/>
            <w:shd w:val="clear" w:color="auto" w:fill="auto"/>
          </w:tcPr>
          <w:p w:rsidR="00F07D53" w:rsidRPr="00F07D53" w:rsidRDefault="00F07D53" w:rsidP="00F07D53">
            <w:pPr>
              <w:numPr>
                <w:ilvl w:val="2"/>
                <w:numId w:val="11"/>
              </w:numPr>
              <w:tabs>
                <w:tab w:val="right" w:pos="1080"/>
                <w:tab w:val="left" w:pos="1296"/>
                <w:tab w:val="left" w:pos="1728"/>
                <w:tab w:val="left" w:pos="2160"/>
                <w:tab w:val="left" w:pos="2592"/>
                <w:tab w:val="left" w:pos="3024"/>
                <w:tab w:val="left" w:pos="3456"/>
                <w:tab w:val="right" w:leader="dot" w:pos="8194"/>
              </w:tabs>
              <w:suppressAutoHyphens/>
              <w:spacing w:after="120"/>
            </w:pPr>
            <w:r w:rsidRPr="00F07D53">
              <w:t>Исправления в тексте пун</w:t>
            </w:r>
            <w:r>
              <w:t>ктов 9.3.2.22 4 и 9.3.3.22.4 на </w:t>
            </w:r>
            <w:r w:rsidRPr="00F07D53">
              <w:t>немецком языке</w:t>
            </w:r>
            <w:r>
              <w:t xml:space="preserve"> </w:t>
            </w:r>
            <w:r>
              <w:rPr>
                <w:spacing w:val="60"/>
                <w:sz w:val="17"/>
              </w:rPr>
              <w:tab/>
            </w:r>
          </w:p>
        </w:tc>
        <w:tc>
          <w:tcPr>
            <w:tcW w:w="994" w:type="dxa"/>
            <w:shd w:val="clear" w:color="auto" w:fill="auto"/>
            <w:vAlign w:val="bottom"/>
          </w:tcPr>
          <w:p w:rsidR="00F07D53" w:rsidRDefault="00F07D53" w:rsidP="000D624D">
            <w:pPr>
              <w:spacing w:after="120"/>
              <w:ind w:right="40"/>
              <w:jc w:val="right"/>
            </w:pPr>
            <w:r>
              <w:t>44–45</w:t>
            </w:r>
          </w:p>
        </w:tc>
        <w:tc>
          <w:tcPr>
            <w:tcW w:w="720" w:type="dxa"/>
            <w:shd w:val="clear" w:color="auto" w:fill="auto"/>
            <w:vAlign w:val="bottom"/>
          </w:tcPr>
          <w:p w:rsidR="00F07D53" w:rsidRDefault="00FD7CA7" w:rsidP="000D624D">
            <w:pPr>
              <w:spacing w:after="120"/>
              <w:ind w:right="40"/>
              <w:jc w:val="right"/>
            </w:pPr>
            <w:r>
              <w:t>12</w:t>
            </w:r>
          </w:p>
        </w:tc>
      </w:tr>
      <w:tr w:rsidR="00F07D53" w:rsidRPr="000D624D" w:rsidTr="000D624D">
        <w:tc>
          <w:tcPr>
            <w:tcW w:w="8116" w:type="dxa"/>
            <w:gridSpan w:val="2"/>
            <w:shd w:val="clear" w:color="auto" w:fill="auto"/>
          </w:tcPr>
          <w:p w:rsidR="00F07D53" w:rsidRPr="00F07D53" w:rsidRDefault="00F07D53" w:rsidP="00F07D53">
            <w:pPr>
              <w:numPr>
                <w:ilvl w:val="2"/>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rsidRPr="00F07D53">
              <w:t>Указания, касающиеся установки для закачивания инертного газа, в подразделах 8.6.1.3 и 8.6.1.4</w:t>
            </w:r>
            <w:r>
              <w:t xml:space="preserve"> </w:t>
            </w:r>
            <w:r>
              <w:rPr>
                <w:spacing w:val="60"/>
                <w:sz w:val="17"/>
              </w:rPr>
              <w:tab/>
            </w:r>
          </w:p>
        </w:tc>
        <w:tc>
          <w:tcPr>
            <w:tcW w:w="994" w:type="dxa"/>
            <w:shd w:val="clear" w:color="auto" w:fill="auto"/>
            <w:vAlign w:val="bottom"/>
          </w:tcPr>
          <w:p w:rsidR="00F07D53" w:rsidRDefault="00F07D53" w:rsidP="000D624D">
            <w:pPr>
              <w:spacing w:after="120"/>
              <w:ind w:right="40"/>
              <w:jc w:val="right"/>
            </w:pPr>
            <w:r>
              <w:t>46</w:t>
            </w:r>
          </w:p>
        </w:tc>
        <w:tc>
          <w:tcPr>
            <w:tcW w:w="720" w:type="dxa"/>
            <w:shd w:val="clear" w:color="auto" w:fill="auto"/>
            <w:vAlign w:val="bottom"/>
          </w:tcPr>
          <w:p w:rsidR="00F07D53" w:rsidRDefault="00FD7CA7" w:rsidP="000D624D">
            <w:pPr>
              <w:spacing w:after="120"/>
              <w:ind w:right="40"/>
              <w:jc w:val="right"/>
            </w:pPr>
            <w:r>
              <w:t>12</w:t>
            </w:r>
          </w:p>
        </w:tc>
      </w:tr>
      <w:tr w:rsidR="00F07D53" w:rsidRPr="000D624D" w:rsidTr="000D624D">
        <w:tc>
          <w:tcPr>
            <w:tcW w:w="8116" w:type="dxa"/>
            <w:gridSpan w:val="2"/>
            <w:shd w:val="clear" w:color="auto" w:fill="auto"/>
          </w:tcPr>
          <w:p w:rsidR="00F07D53" w:rsidRPr="00F07D53" w:rsidRDefault="00F07D53" w:rsidP="00F07D53">
            <w:pPr>
              <w:numPr>
                <w:ilvl w:val="2"/>
                <w:numId w:val="11"/>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F07D53">
              <w:t>Определение сжиженного приро</w:t>
            </w:r>
            <w:r>
              <w:t>дного газа (СПГ) (в варианте на </w:t>
            </w:r>
            <w:r w:rsidRPr="00F07D53">
              <w:t>немецком языке)</w:t>
            </w:r>
            <w:r>
              <w:t xml:space="preserve"> </w:t>
            </w:r>
            <w:r>
              <w:rPr>
                <w:spacing w:val="60"/>
                <w:sz w:val="17"/>
              </w:rPr>
              <w:tab/>
            </w:r>
          </w:p>
        </w:tc>
        <w:tc>
          <w:tcPr>
            <w:tcW w:w="994" w:type="dxa"/>
            <w:shd w:val="clear" w:color="auto" w:fill="auto"/>
            <w:vAlign w:val="bottom"/>
          </w:tcPr>
          <w:p w:rsidR="00F07D53" w:rsidRDefault="00F07D53" w:rsidP="000D624D">
            <w:pPr>
              <w:spacing w:after="120"/>
              <w:ind w:right="40"/>
              <w:jc w:val="right"/>
            </w:pPr>
            <w:r>
              <w:t>47</w:t>
            </w:r>
          </w:p>
        </w:tc>
        <w:tc>
          <w:tcPr>
            <w:tcW w:w="720" w:type="dxa"/>
            <w:shd w:val="clear" w:color="auto" w:fill="auto"/>
            <w:vAlign w:val="bottom"/>
          </w:tcPr>
          <w:p w:rsidR="00F07D53" w:rsidRDefault="00FD7CA7" w:rsidP="000D624D">
            <w:pPr>
              <w:spacing w:after="120"/>
              <w:ind w:right="40"/>
              <w:jc w:val="right"/>
            </w:pPr>
            <w:r>
              <w:t>12</w:t>
            </w:r>
          </w:p>
        </w:tc>
      </w:tr>
      <w:tr w:rsidR="00F07D53" w:rsidRPr="000D624D" w:rsidTr="000D624D">
        <w:tc>
          <w:tcPr>
            <w:tcW w:w="8116" w:type="dxa"/>
            <w:gridSpan w:val="2"/>
            <w:shd w:val="clear" w:color="auto" w:fill="auto"/>
          </w:tcPr>
          <w:p w:rsidR="00F07D53" w:rsidRPr="00F07D53" w:rsidRDefault="00F07D53" w:rsidP="00F07D53">
            <w:pPr>
              <w:numPr>
                <w:ilvl w:val="2"/>
                <w:numId w:val="11"/>
              </w:numPr>
              <w:tabs>
                <w:tab w:val="right" w:pos="1080"/>
                <w:tab w:val="left" w:pos="1296"/>
                <w:tab w:val="left" w:pos="1728"/>
                <w:tab w:val="left" w:pos="2160"/>
                <w:tab w:val="left" w:pos="2592"/>
                <w:tab w:val="left" w:pos="3024"/>
                <w:tab w:val="left" w:pos="3456"/>
                <w:tab w:val="right" w:leader="dot" w:pos="8194"/>
              </w:tabs>
              <w:suppressAutoHyphens/>
              <w:spacing w:after="120"/>
            </w:pPr>
            <w:r w:rsidRPr="00F07D53">
              <w:t xml:space="preserve">Предложение об освобождении от действия требования, предусмотренного в пункте 7.2.4.25.5, об отводе </w:t>
            </w:r>
            <w:proofErr w:type="spellStart"/>
            <w:r w:rsidRPr="00F07D53">
              <w:t>газовоздушных</w:t>
            </w:r>
            <w:proofErr w:type="spellEnd"/>
            <w:r w:rsidRPr="00F07D53">
              <w:t xml:space="preserve"> смесей на берег во время операций по погрузке тяжелого печного топлива</w:t>
            </w:r>
            <w:r>
              <w:t xml:space="preserve"> </w:t>
            </w:r>
            <w:r>
              <w:rPr>
                <w:spacing w:val="60"/>
                <w:sz w:val="17"/>
              </w:rPr>
              <w:tab/>
            </w:r>
          </w:p>
        </w:tc>
        <w:tc>
          <w:tcPr>
            <w:tcW w:w="994" w:type="dxa"/>
            <w:shd w:val="clear" w:color="auto" w:fill="auto"/>
            <w:vAlign w:val="bottom"/>
          </w:tcPr>
          <w:p w:rsidR="00F07D53" w:rsidRDefault="00F07D53" w:rsidP="000D624D">
            <w:pPr>
              <w:spacing w:after="120"/>
              <w:ind w:right="40"/>
              <w:jc w:val="right"/>
            </w:pPr>
            <w:r>
              <w:t>48–51</w:t>
            </w:r>
          </w:p>
        </w:tc>
        <w:tc>
          <w:tcPr>
            <w:tcW w:w="720" w:type="dxa"/>
            <w:shd w:val="clear" w:color="auto" w:fill="auto"/>
            <w:vAlign w:val="bottom"/>
          </w:tcPr>
          <w:p w:rsidR="00F07D53" w:rsidRDefault="00FD7CA7" w:rsidP="000D624D">
            <w:pPr>
              <w:spacing w:after="120"/>
              <w:ind w:right="40"/>
              <w:jc w:val="right"/>
            </w:pPr>
            <w:r>
              <w:t>1</w:t>
            </w:r>
            <w:r w:rsidR="00D738F3">
              <w:t>3</w:t>
            </w:r>
          </w:p>
        </w:tc>
      </w:tr>
      <w:tr w:rsidR="00F07D53" w:rsidRPr="000D624D" w:rsidTr="000D624D">
        <w:tc>
          <w:tcPr>
            <w:tcW w:w="8116" w:type="dxa"/>
            <w:gridSpan w:val="2"/>
            <w:shd w:val="clear" w:color="auto" w:fill="auto"/>
          </w:tcPr>
          <w:p w:rsidR="00F07D53" w:rsidRPr="00F07D53" w:rsidRDefault="00F07D53" w:rsidP="00F07D53">
            <w:pPr>
              <w:numPr>
                <w:ilvl w:val="2"/>
                <w:numId w:val="11"/>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F07D53">
              <w:t xml:space="preserve">Сигнал системы пожарной </w:t>
            </w:r>
            <w:r>
              <w:t>сигнализации, предусмотренный в </w:t>
            </w:r>
            <w:r w:rsidRPr="00F07D53">
              <w:t>пункте 9.1.0.40.2.3</w:t>
            </w:r>
            <w:r>
              <w:t xml:space="preserve"> </w:t>
            </w:r>
            <w:r>
              <w:rPr>
                <w:spacing w:val="60"/>
                <w:sz w:val="17"/>
              </w:rPr>
              <w:tab/>
            </w:r>
          </w:p>
        </w:tc>
        <w:tc>
          <w:tcPr>
            <w:tcW w:w="994" w:type="dxa"/>
            <w:shd w:val="clear" w:color="auto" w:fill="auto"/>
            <w:vAlign w:val="bottom"/>
          </w:tcPr>
          <w:p w:rsidR="00F07D53" w:rsidRDefault="00F07D53" w:rsidP="000D624D">
            <w:pPr>
              <w:spacing w:after="120"/>
              <w:ind w:right="40"/>
              <w:jc w:val="right"/>
            </w:pPr>
            <w:r>
              <w:t>52</w:t>
            </w:r>
          </w:p>
        </w:tc>
        <w:tc>
          <w:tcPr>
            <w:tcW w:w="720" w:type="dxa"/>
            <w:shd w:val="clear" w:color="auto" w:fill="auto"/>
            <w:vAlign w:val="bottom"/>
          </w:tcPr>
          <w:p w:rsidR="00F07D53" w:rsidRDefault="00D17D42" w:rsidP="000D624D">
            <w:pPr>
              <w:spacing w:after="120"/>
              <w:ind w:right="40"/>
              <w:jc w:val="right"/>
            </w:pPr>
            <w:r>
              <w:t>13</w:t>
            </w:r>
          </w:p>
        </w:tc>
      </w:tr>
      <w:tr w:rsidR="00F07D53" w:rsidRPr="000D624D" w:rsidTr="000D624D">
        <w:tc>
          <w:tcPr>
            <w:tcW w:w="8116" w:type="dxa"/>
            <w:gridSpan w:val="2"/>
            <w:shd w:val="clear" w:color="auto" w:fill="auto"/>
          </w:tcPr>
          <w:p w:rsidR="00F07D53" w:rsidRPr="00F07D53" w:rsidRDefault="00F07D53" w:rsidP="00F07D53">
            <w:pPr>
              <w:numPr>
                <w:ilvl w:val="2"/>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rsidRPr="00F07D53">
              <w:t>Устройство для отключения берегового сооружения</w:t>
            </w:r>
            <w:r>
              <w:t xml:space="preserve"> </w:t>
            </w:r>
            <w:r>
              <w:rPr>
                <w:spacing w:val="60"/>
                <w:sz w:val="17"/>
              </w:rPr>
              <w:tab/>
            </w:r>
          </w:p>
        </w:tc>
        <w:tc>
          <w:tcPr>
            <w:tcW w:w="994" w:type="dxa"/>
            <w:shd w:val="clear" w:color="auto" w:fill="auto"/>
            <w:vAlign w:val="bottom"/>
          </w:tcPr>
          <w:p w:rsidR="00F07D53" w:rsidRDefault="00F07D53" w:rsidP="000D624D">
            <w:pPr>
              <w:spacing w:after="120"/>
              <w:ind w:right="40"/>
              <w:jc w:val="right"/>
            </w:pPr>
            <w:r>
              <w:t>53</w:t>
            </w:r>
          </w:p>
        </w:tc>
        <w:tc>
          <w:tcPr>
            <w:tcW w:w="720" w:type="dxa"/>
            <w:shd w:val="clear" w:color="auto" w:fill="auto"/>
            <w:vAlign w:val="bottom"/>
          </w:tcPr>
          <w:p w:rsidR="00F07D53" w:rsidRDefault="00D17D42" w:rsidP="000D624D">
            <w:pPr>
              <w:spacing w:after="120"/>
              <w:ind w:right="40"/>
              <w:jc w:val="right"/>
            </w:pPr>
            <w:r>
              <w:t>13</w:t>
            </w:r>
          </w:p>
        </w:tc>
      </w:tr>
      <w:tr w:rsidR="00F07D53" w:rsidRPr="000D624D" w:rsidTr="000D624D">
        <w:tc>
          <w:tcPr>
            <w:tcW w:w="8116" w:type="dxa"/>
            <w:gridSpan w:val="2"/>
            <w:shd w:val="clear" w:color="auto" w:fill="auto"/>
          </w:tcPr>
          <w:p w:rsidR="00F07D53" w:rsidRPr="00F07D53" w:rsidRDefault="00F07D53" w:rsidP="00F07D53">
            <w:pPr>
              <w:numPr>
                <w:ilvl w:val="2"/>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uppressAutoHyphens/>
              <w:spacing w:after="120"/>
            </w:pPr>
            <w:r w:rsidRPr="00F07D53">
              <w:t xml:space="preserve">Остойчивость неповрежденных танкеров типа N при использовании </w:t>
            </w:r>
            <w:proofErr w:type="spellStart"/>
            <w:r w:rsidRPr="00F07D53">
              <w:t>междубортовых</w:t>
            </w:r>
            <w:proofErr w:type="spellEnd"/>
            <w:r w:rsidRPr="00F07D53">
              <w:t xml:space="preserve"> простран</w:t>
            </w:r>
            <w:proofErr w:type="gramStart"/>
            <w:r w:rsidRPr="00F07D53">
              <w:t>ств дл</w:t>
            </w:r>
            <w:proofErr w:type="gramEnd"/>
            <w:r w:rsidRPr="00F07D53">
              <w:t>я балласта</w:t>
            </w:r>
            <w:r>
              <w:t xml:space="preserve"> </w:t>
            </w:r>
            <w:r>
              <w:rPr>
                <w:spacing w:val="60"/>
                <w:sz w:val="17"/>
              </w:rPr>
              <w:tab/>
            </w:r>
          </w:p>
        </w:tc>
        <w:tc>
          <w:tcPr>
            <w:tcW w:w="994" w:type="dxa"/>
            <w:shd w:val="clear" w:color="auto" w:fill="auto"/>
            <w:vAlign w:val="bottom"/>
          </w:tcPr>
          <w:p w:rsidR="00F07D53" w:rsidRDefault="00C53BC9" w:rsidP="000D624D">
            <w:pPr>
              <w:spacing w:after="120"/>
              <w:ind w:right="40"/>
              <w:jc w:val="right"/>
            </w:pPr>
            <w:r>
              <w:t>54</w:t>
            </w:r>
          </w:p>
        </w:tc>
        <w:tc>
          <w:tcPr>
            <w:tcW w:w="720" w:type="dxa"/>
            <w:shd w:val="clear" w:color="auto" w:fill="auto"/>
            <w:vAlign w:val="bottom"/>
          </w:tcPr>
          <w:p w:rsidR="00F07D53" w:rsidRDefault="00D17D42" w:rsidP="000D624D">
            <w:pPr>
              <w:spacing w:after="120"/>
              <w:ind w:right="40"/>
              <w:jc w:val="right"/>
            </w:pPr>
            <w:r>
              <w:t>13</w:t>
            </w:r>
          </w:p>
        </w:tc>
      </w:tr>
      <w:tr w:rsidR="00C53BC9" w:rsidRPr="000D624D" w:rsidTr="000D624D">
        <w:tc>
          <w:tcPr>
            <w:tcW w:w="8116" w:type="dxa"/>
            <w:gridSpan w:val="2"/>
            <w:shd w:val="clear" w:color="auto" w:fill="auto"/>
          </w:tcPr>
          <w:p w:rsidR="00C53BC9" w:rsidRPr="00F07D53" w:rsidRDefault="00C53BC9" w:rsidP="00C53BC9">
            <w:pPr>
              <w:numPr>
                <w:ilvl w:val="2"/>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rsidRPr="00C53BC9">
              <w:t>Промежуточная стадия затопления (9.3.х.13.3)</w:t>
            </w:r>
            <w:r>
              <w:t xml:space="preserve"> </w:t>
            </w:r>
            <w:r>
              <w:rPr>
                <w:spacing w:val="60"/>
                <w:sz w:val="17"/>
              </w:rPr>
              <w:tab/>
            </w:r>
          </w:p>
        </w:tc>
        <w:tc>
          <w:tcPr>
            <w:tcW w:w="994" w:type="dxa"/>
            <w:shd w:val="clear" w:color="auto" w:fill="auto"/>
            <w:vAlign w:val="bottom"/>
          </w:tcPr>
          <w:p w:rsidR="00C53BC9" w:rsidRDefault="00C53BC9" w:rsidP="000D624D">
            <w:pPr>
              <w:spacing w:after="120"/>
              <w:ind w:right="40"/>
              <w:jc w:val="right"/>
            </w:pPr>
            <w:r>
              <w:t>55</w:t>
            </w:r>
          </w:p>
        </w:tc>
        <w:tc>
          <w:tcPr>
            <w:tcW w:w="720" w:type="dxa"/>
            <w:shd w:val="clear" w:color="auto" w:fill="auto"/>
            <w:vAlign w:val="bottom"/>
          </w:tcPr>
          <w:p w:rsidR="00C53BC9" w:rsidRDefault="00D17D42" w:rsidP="000D624D">
            <w:pPr>
              <w:spacing w:after="120"/>
              <w:ind w:right="40"/>
              <w:jc w:val="right"/>
            </w:pPr>
            <w:r>
              <w:t>1</w:t>
            </w:r>
            <w:r w:rsidR="00D738F3">
              <w:t>4</w:t>
            </w:r>
          </w:p>
        </w:tc>
      </w:tr>
      <w:tr w:rsidR="00C53BC9" w:rsidRPr="000D624D" w:rsidTr="000D624D">
        <w:tc>
          <w:tcPr>
            <w:tcW w:w="8116" w:type="dxa"/>
            <w:gridSpan w:val="2"/>
            <w:shd w:val="clear" w:color="auto" w:fill="auto"/>
          </w:tcPr>
          <w:p w:rsidR="00C53BC9" w:rsidRPr="00C53BC9" w:rsidRDefault="00C53BC9" w:rsidP="00C53BC9">
            <w:pPr>
              <w:numPr>
                <w:ilvl w:val="2"/>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rsidRPr="00C53BC9">
              <w:t>Компрессорная установка, расположенная на палубе</w:t>
            </w:r>
            <w:r>
              <w:t xml:space="preserve"> </w:t>
            </w:r>
            <w:r>
              <w:rPr>
                <w:spacing w:val="60"/>
                <w:sz w:val="17"/>
              </w:rPr>
              <w:tab/>
            </w:r>
          </w:p>
        </w:tc>
        <w:tc>
          <w:tcPr>
            <w:tcW w:w="994" w:type="dxa"/>
            <w:shd w:val="clear" w:color="auto" w:fill="auto"/>
            <w:vAlign w:val="bottom"/>
          </w:tcPr>
          <w:p w:rsidR="00C53BC9" w:rsidRDefault="00C53BC9" w:rsidP="000D624D">
            <w:pPr>
              <w:spacing w:after="120"/>
              <w:ind w:right="40"/>
              <w:jc w:val="right"/>
            </w:pPr>
            <w:r>
              <w:t>56</w:t>
            </w:r>
          </w:p>
        </w:tc>
        <w:tc>
          <w:tcPr>
            <w:tcW w:w="720" w:type="dxa"/>
            <w:shd w:val="clear" w:color="auto" w:fill="auto"/>
            <w:vAlign w:val="bottom"/>
          </w:tcPr>
          <w:p w:rsidR="00C53BC9" w:rsidRDefault="00D17D42" w:rsidP="000D624D">
            <w:pPr>
              <w:spacing w:after="120"/>
              <w:ind w:right="40"/>
              <w:jc w:val="right"/>
            </w:pPr>
            <w:r>
              <w:t>14</w:t>
            </w:r>
          </w:p>
        </w:tc>
      </w:tr>
      <w:tr w:rsidR="00C53BC9" w:rsidRPr="000D624D" w:rsidTr="000D624D">
        <w:tc>
          <w:tcPr>
            <w:tcW w:w="8116" w:type="dxa"/>
            <w:gridSpan w:val="2"/>
            <w:shd w:val="clear" w:color="auto" w:fill="auto"/>
          </w:tcPr>
          <w:p w:rsidR="00C53BC9" w:rsidRPr="00C53BC9" w:rsidRDefault="00C53BC9" w:rsidP="00C53BC9">
            <w:pPr>
              <w:numPr>
                <w:ilvl w:val="2"/>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rsidRPr="00C53BC9">
              <w:t>Переходные положения, касающиеся модификации танкера, изложенные в пункте 1.6.7.5.1 c)</w:t>
            </w:r>
            <w:r>
              <w:t xml:space="preserve"> </w:t>
            </w:r>
            <w:r>
              <w:rPr>
                <w:spacing w:val="60"/>
                <w:sz w:val="17"/>
              </w:rPr>
              <w:tab/>
            </w:r>
          </w:p>
        </w:tc>
        <w:tc>
          <w:tcPr>
            <w:tcW w:w="994" w:type="dxa"/>
            <w:shd w:val="clear" w:color="auto" w:fill="auto"/>
            <w:vAlign w:val="bottom"/>
          </w:tcPr>
          <w:p w:rsidR="00C53BC9" w:rsidRDefault="00C53BC9" w:rsidP="000D624D">
            <w:pPr>
              <w:spacing w:after="120"/>
              <w:ind w:right="40"/>
              <w:jc w:val="right"/>
            </w:pPr>
            <w:r>
              <w:t>57</w:t>
            </w:r>
          </w:p>
        </w:tc>
        <w:tc>
          <w:tcPr>
            <w:tcW w:w="720" w:type="dxa"/>
            <w:shd w:val="clear" w:color="auto" w:fill="auto"/>
            <w:vAlign w:val="bottom"/>
          </w:tcPr>
          <w:p w:rsidR="00C53BC9" w:rsidRDefault="00D17D42" w:rsidP="000D624D">
            <w:pPr>
              <w:spacing w:after="120"/>
              <w:ind w:right="40"/>
              <w:jc w:val="right"/>
            </w:pPr>
            <w:r>
              <w:t>14</w:t>
            </w:r>
          </w:p>
        </w:tc>
      </w:tr>
      <w:tr w:rsidR="00C53BC9" w:rsidRPr="000D624D" w:rsidTr="000D624D">
        <w:tc>
          <w:tcPr>
            <w:tcW w:w="8116" w:type="dxa"/>
            <w:gridSpan w:val="2"/>
            <w:shd w:val="clear" w:color="auto" w:fill="auto"/>
          </w:tcPr>
          <w:p w:rsidR="00C53BC9" w:rsidRPr="00C53BC9" w:rsidRDefault="00C53BC9" w:rsidP="00C53BC9">
            <w:pPr>
              <w:numPr>
                <w:ilvl w:val="2"/>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rsidRPr="00C53BC9">
              <w:t>Техническое судовое свидетельство</w:t>
            </w:r>
            <w:r>
              <w:t xml:space="preserve"> </w:t>
            </w:r>
            <w:r>
              <w:rPr>
                <w:spacing w:val="60"/>
                <w:sz w:val="17"/>
              </w:rPr>
              <w:tab/>
            </w:r>
          </w:p>
        </w:tc>
        <w:tc>
          <w:tcPr>
            <w:tcW w:w="994" w:type="dxa"/>
            <w:shd w:val="clear" w:color="auto" w:fill="auto"/>
            <w:vAlign w:val="bottom"/>
          </w:tcPr>
          <w:p w:rsidR="00C53BC9" w:rsidRDefault="00C53BC9" w:rsidP="000D624D">
            <w:pPr>
              <w:spacing w:after="120"/>
              <w:ind w:right="40"/>
              <w:jc w:val="right"/>
            </w:pPr>
            <w:r>
              <w:t>58</w:t>
            </w:r>
          </w:p>
        </w:tc>
        <w:tc>
          <w:tcPr>
            <w:tcW w:w="720" w:type="dxa"/>
            <w:shd w:val="clear" w:color="auto" w:fill="auto"/>
            <w:vAlign w:val="bottom"/>
          </w:tcPr>
          <w:p w:rsidR="00C53BC9" w:rsidRDefault="00D17D42" w:rsidP="000D624D">
            <w:pPr>
              <w:spacing w:after="120"/>
              <w:ind w:right="40"/>
              <w:jc w:val="right"/>
            </w:pPr>
            <w:r>
              <w:t>14</w:t>
            </w:r>
          </w:p>
        </w:tc>
      </w:tr>
      <w:tr w:rsidR="00C53BC9" w:rsidRPr="000D624D" w:rsidTr="000D624D">
        <w:tc>
          <w:tcPr>
            <w:tcW w:w="8116" w:type="dxa"/>
            <w:gridSpan w:val="2"/>
            <w:shd w:val="clear" w:color="auto" w:fill="auto"/>
          </w:tcPr>
          <w:p w:rsidR="00C53BC9" w:rsidRPr="00C53BC9" w:rsidRDefault="00C53BC9" w:rsidP="00C53BC9">
            <w:pPr>
              <w:numPr>
                <w:ilvl w:val="2"/>
                <w:numId w:val="11"/>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pPr>
            <w:r w:rsidRPr="00C53BC9">
              <w:t>Конструкционные материалы</w:t>
            </w:r>
            <w:r>
              <w:t xml:space="preserve"> </w:t>
            </w:r>
            <w:r>
              <w:rPr>
                <w:spacing w:val="60"/>
                <w:sz w:val="17"/>
              </w:rPr>
              <w:tab/>
            </w:r>
          </w:p>
        </w:tc>
        <w:tc>
          <w:tcPr>
            <w:tcW w:w="994" w:type="dxa"/>
            <w:shd w:val="clear" w:color="auto" w:fill="auto"/>
            <w:vAlign w:val="bottom"/>
          </w:tcPr>
          <w:p w:rsidR="00C53BC9" w:rsidRDefault="00C53BC9" w:rsidP="000D624D">
            <w:pPr>
              <w:spacing w:after="120"/>
              <w:ind w:right="40"/>
              <w:jc w:val="right"/>
            </w:pPr>
            <w:r>
              <w:t>59</w:t>
            </w:r>
          </w:p>
        </w:tc>
        <w:tc>
          <w:tcPr>
            <w:tcW w:w="720" w:type="dxa"/>
            <w:shd w:val="clear" w:color="auto" w:fill="auto"/>
            <w:vAlign w:val="bottom"/>
          </w:tcPr>
          <w:p w:rsidR="00C53BC9" w:rsidRDefault="00D17D42" w:rsidP="000D624D">
            <w:pPr>
              <w:spacing w:after="120"/>
              <w:ind w:right="40"/>
              <w:jc w:val="right"/>
            </w:pPr>
            <w:r>
              <w:t>1</w:t>
            </w:r>
            <w:r w:rsidR="00A011DF">
              <w:t>4</w:t>
            </w:r>
          </w:p>
        </w:tc>
      </w:tr>
      <w:tr w:rsidR="00C53BC9" w:rsidRPr="000D624D" w:rsidTr="000D624D">
        <w:tc>
          <w:tcPr>
            <w:tcW w:w="8116" w:type="dxa"/>
            <w:gridSpan w:val="2"/>
            <w:shd w:val="clear" w:color="auto" w:fill="auto"/>
          </w:tcPr>
          <w:p w:rsidR="00C53BC9" w:rsidRPr="00C53BC9" w:rsidRDefault="00C53BC9" w:rsidP="00C53BC9">
            <w:pPr>
              <w:numPr>
                <w:ilvl w:val="2"/>
                <w:numId w:val="11"/>
              </w:numPr>
              <w:tabs>
                <w:tab w:val="right" w:pos="1080"/>
                <w:tab w:val="left" w:pos="1296"/>
                <w:tab w:val="left" w:pos="1728"/>
                <w:tab w:val="left" w:pos="2160"/>
                <w:tab w:val="left" w:pos="2592"/>
                <w:tab w:val="left" w:pos="3024"/>
                <w:tab w:val="right" w:leader="dot" w:pos="8194"/>
              </w:tabs>
              <w:suppressAutoHyphens/>
              <w:spacing w:after="120"/>
            </w:pPr>
            <w:r w:rsidRPr="00C53BC9">
              <w:t>Взятие проб</w:t>
            </w:r>
            <w:r>
              <w:t xml:space="preserve"> </w:t>
            </w:r>
            <w:r>
              <w:rPr>
                <w:spacing w:val="60"/>
                <w:sz w:val="17"/>
              </w:rPr>
              <w:tab/>
            </w:r>
          </w:p>
        </w:tc>
        <w:tc>
          <w:tcPr>
            <w:tcW w:w="994" w:type="dxa"/>
            <w:shd w:val="clear" w:color="auto" w:fill="auto"/>
            <w:vAlign w:val="bottom"/>
          </w:tcPr>
          <w:p w:rsidR="00C53BC9" w:rsidRDefault="00C53BC9" w:rsidP="000D624D">
            <w:pPr>
              <w:spacing w:after="120"/>
              <w:ind w:right="40"/>
              <w:jc w:val="right"/>
            </w:pPr>
            <w:r>
              <w:t>60–61</w:t>
            </w:r>
          </w:p>
        </w:tc>
        <w:tc>
          <w:tcPr>
            <w:tcW w:w="720" w:type="dxa"/>
            <w:shd w:val="clear" w:color="auto" w:fill="auto"/>
            <w:vAlign w:val="bottom"/>
          </w:tcPr>
          <w:p w:rsidR="00C53BC9" w:rsidRDefault="00D17D42" w:rsidP="000D624D">
            <w:pPr>
              <w:spacing w:after="120"/>
              <w:ind w:right="40"/>
              <w:jc w:val="right"/>
            </w:pPr>
            <w:r>
              <w:t>1</w:t>
            </w:r>
            <w:r w:rsidR="00A011DF">
              <w:t>5</w:t>
            </w:r>
          </w:p>
        </w:tc>
      </w:tr>
      <w:tr w:rsidR="00C53BC9" w:rsidRPr="000D624D" w:rsidTr="000D624D">
        <w:tc>
          <w:tcPr>
            <w:tcW w:w="8116" w:type="dxa"/>
            <w:gridSpan w:val="2"/>
            <w:shd w:val="clear" w:color="auto" w:fill="auto"/>
          </w:tcPr>
          <w:p w:rsidR="00C53BC9" w:rsidRPr="00C53BC9" w:rsidRDefault="00C53BC9" w:rsidP="00C53BC9">
            <w:pPr>
              <w:numPr>
                <w:ilvl w:val="2"/>
                <w:numId w:val="11"/>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C53BC9">
              <w:t>Процедура осмотра, выдача свидетельств о допущении, классификация судов</w:t>
            </w:r>
            <w:r>
              <w:t xml:space="preserve"> </w:t>
            </w:r>
            <w:r>
              <w:rPr>
                <w:spacing w:val="60"/>
                <w:sz w:val="17"/>
              </w:rPr>
              <w:tab/>
            </w:r>
          </w:p>
        </w:tc>
        <w:tc>
          <w:tcPr>
            <w:tcW w:w="994" w:type="dxa"/>
            <w:shd w:val="clear" w:color="auto" w:fill="auto"/>
            <w:vAlign w:val="bottom"/>
          </w:tcPr>
          <w:p w:rsidR="00C53BC9" w:rsidRDefault="00C53BC9" w:rsidP="000D624D">
            <w:pPr>
              <w:spacing w:after="120"/>
              <w:ind w:right="40"/>
              <w:jc w:val="right"/>
            </w:pPr>
            <w:r>
              <w:t>62–69</w:t>
            </w:r>
          </w:p>
        </w:tc>
        <w:tc>
          <w:tcPr>
            <w:tcW w:w="720" w:type="dxa"/>
            <w:shd w:val="clear" w:color="auto" w:fill="auto"/>
            <w:vAlign w:val="bottom"/>
          </w:tcPr>
          <w:p w:rsidR="00C53BC9" w:rsidRDefault="00D17D42" w:rsidP="000D624D">
            <w:pPr>
              <w:spacing w:after="120"/>
              <w:ind w:right="40"/>
              <w:jc w:val="right"/>
            </w:pPr>
            <w:r>
              <w:t>15</w:t>
            </w:r>
          </w:p>
        </w:tc>
      </w:tr>
      <w:tr w:rsidR="00C53BC9" w:rsidRPr="000D624D" w:rsidTr="000D624D">
        <w:tc>
          <w:tcPr>
            <w:tcW w:w="8116" w:type="dxa"/>
            <w:gridSpan w:val="2"/>
            <w:shd w:val="clear" w:color="auto" w:fill="auto"/>
          </w:tcPr>
          <w:p w:rsidR="00C53BC9" w:rsidRPr="00C53BC9" w:rsidRDefault="00C53BC9" w:rsidP="00C53BC9">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tab/>
            </w:r>
            <w:r w:rsidRPr="00C53BC9">
              <w:t>Доклады неофициальных рабочих групп (пункт 5 повестки дня)</w:t>
            </w:r>
            <w:r>
              <w:t xml:space="preserve"> </w:t>
            </w:r>
            <w:r>
              <w:rPr>
                <w:spacing w:val="60"/>
                <w:sz w:val="17"/>
              </w:rPr>
              <w:tab/>
            </w:r>
          </w:p>
        </w:tc>
        <w:tc>
          <w:tcPr>
            <w:tcW w:w="994" w:type="dxa"/>
            <w:shd w:val="clear" w:color="auto" w:fill="auto"/>
            <w:vAlign w:val="bottom"/>
          </w:tcPr>
          <w:p w:rsidR="00C53BC9" w:rsidRDefault="00C53BC9" w:rsidP="000D624D">
            <w:pPr>
              <w:spacing w:after="120"/>
              <w:ind w:right="40"/>
              <w:jc w:val="right"/>
            </w:pPr>
            <w:r>
              <w:t>70–82</w:t>
            </w:r>
          </w:p>
        </w:tc>
        <w:tc>
          <w:tcPr>
            <w:tcW w:w="720" w:type="dxa"/>
            <w:shd w:val="clear" w:color="auto" w:fill="auto"/>
            <w:vAlign w:val="bottom"/>
          </w:tcPr>
          <w:p w:rsidR="00C53BC9" w:rsidRDefault="00D17D42" w:rsidP="000D624D">
            <w:pPr>
              <w:spacing w:after="120"/>
              <w:ind w:right="40"/>
              <w:jc w:val="right"/>
            </w:pPr>
            <w:r>
              <w:t>16</w:t>
            </w:r>
          </w:p>
        </w:tc>
      </w:tr>
      <w:tr w:rsidR="00C53BC9" w:rsidRPr="000D624D" w:rsidTr="000D624D">
        <w:tc>
          <w:tcPr>
            <w:tcW w:w="8116" w:type="dxa"/>
            <w:gridSpan w:val="2"/>
            <w:shd w:val="clear" w:color="auto" w:fill="auto"/>
          </w:tcPr>
          <w:p w:rsidR="00C53BC9" w:rsidRDefault="00C53BC9" w:rsidP="00C53BC9">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uppressAutoHyphens/>
              <w:spacing w:after="120"/>
            </w:pPr>
            <w:r w:rsidRPr="00C53BC9">
              <w:t>Неофициальная рабочая группа по дегазации грузовых танков</w:t>
            </w:r>
            <w:r>
              <w:t xml:space="preserve"> </w:t>
            </w:r>
            <w:r>
              <w:rPr>
                <w:spacing w:val="60"/>
                <w:sz w:val="17"/>
              </w:rPr>
              <w:tab/>
            </w:r>
          </w:p>
        </w:tc>
        <w:tc>
          <w:tcPr>
            <w:tcW w:w="994" w:type="dxa"/>
            <w:shd w:val="clear" w:color="auto" w:fill="auto"/>
            <w:vAlign w:val="bottom"/>
          </w:tcPr>
          <w:p w:rsidR="00C53BC9" w:rsidRDefault="00C53BC9" w:rsidP="000D624D">
            <w:pPr>
              <w:spacing w:after="120"/>
              <w:ind w:right="40"/>
              <w:jc w:val="right"/>
            </w:pPr>
            <w:r>
              <w:t>70–74</w:t>
            </w:r>
          </w:p>
        </w:tc>
        <w:tc>
          <w:tcPr>
            <w:tcW w:w="720" w:type="dxa"/>
            <w:shd w:val="clear" w:color="auto" w:fill="auto"/>
            <w:vAlign w:val="bottom"/>
          </w:tcPr>
          <w:p w:rsidR="00C53BC9" w:rsidRDefault="00D17D42" w:rsidP="000D624D">
            <w:pPr>
              <w:spacing w:after="120"/>
              <w:ind w:right="40"/>
              <w:jc w:val="right"/>
            </w:pPr>
            <w:r>
              <w:t>16</w:t>
            </w:r>
          </w:p>
        </w:tc>
      </w:tr>
      <w:tr w:rsidR="00C53BC9" w:rsidRPr="000D624D" w:rsidTr="000D624D">
        <w:tc>
          <w:tcPr>
            <w:tcW w:w="8116" w:type="dxa"/>
            <w:gridSpan w:val="2"/>
            <w:shd w:val="clear" w:color="auto" w:fill="auto"/>
          </w:tcPr>
          <w:p w:rsidR="00C53BC9" w:rsidRPr="00C53BC9" w:rsidRDefault="00C53BC9" w:rsidP="00C53BC9">
            <w:pPr>
              <w:numPr>
                <w:ilvl w:val="1"/>
                <w:numId w:val="11"/>
              </w:numPr>
              <w:tabs>
                <w:tab w:val="right" w:pos="1080"/>
                <w:tab w:val="left" w:pos="1296"/>
                <w:tab w:val="left" w:pos="1728"/>
                <w:tab w:val="left" w:pos="2160"/>
                <w:tab w:val="left" w:pos="2592"/>
                <w:tab w:val="right" w:leader="dot" w:pos="8194"/>
              </w:tabs>
              <w:suppressAutoHyphens/>
              <w:spacing w:after="120"/>
            </w:pPr>
            <w:r w:rsidRPr="00C53BC9">
              <w:t>Неофициальная рабочая гру</w:t>
            </w:r>
            <w:r>
              <w:t>ппа по защите против взрывов на </w:t>
            </w:r>
            <w:r w:rsidRPr="00C53BC9">
              <w:t>танкерах</w:t>
            </w:r>
            <w:r>
              <w:t xml:space="preserve"> </w:t>
            </w:r>
            <w:r>
              <w:rPr>
                <w:spacing w:val="60"/>
                <w:sz w:val="17"/>
              </w:rPr>
              <w:tab/>
            </w:r>
          </w:p>
        </w:tc>
        <w:tc>
          <w:tcPr>
            <w:tcW w:w="994" w:type="dxa"/>
            <w:shd w:val="clear" w:color="auto" w:fill="auto"/>
            <w:vAlign w:val="bottom"/>
          </w:tcPr>
          <w:p w:rsidR="00C53BC9" w:rsidRDefault="00C53BC9" w:rsidP="000D624D">
            <w:pPr>
              <w:spacing w:after="120"/>
              <w:ind w:right="40"/>
              <w:jc w:val="right"/>
            </w:pPr>
            <w:r>
              <w:t>75–76</w:t>
            </w:r>
          </w:p>
        </w:tc>
        <w:tc>
          <w:tcPr>
            <w:tcW w:w="720" w:type="dxa"/>
            <w:shd w:val="clear" w:color="auto" w:fill="auto"/>
            <w:vAlign w:val="bottom"/>
          </w:tcPr>
          <w:p w:rsidR="00C53BC9" w:rsidRDefault="00D17D42" w:rsidP="000D624D">
            <w:pPr>
              <w:spacing w:after="120"/>
              <w:ind w:right="40"/>
              <w:jc w:val="right"/>
            </w:pPr>
            <w:r>
              <w:t>1</w:t>
            </w:r>
            <w:r w:rsidR="00D738F3">
              <w:t>7</w:t>
            </w:r>
          </w:p>
        </w:tc>
      </w:tr>
      <w:tr w:rsidR="00C53BC9" w:rsidRPr="000D624D" w:rsidTr="000D624D">
        <w:tc>
          <w:tcPr>
            <w:tcW w:w="8116" w:type="dxa"/>
            <w:gridSpan w:val="2"/>
            <w:shd w:val="clear" w:color="auto" w:fill="auto"/>
          </w:tcPr>
          <w:p w:rsidR="00C53BC9" w:rsidRPr="00C53BC9" w:rsidRDefault="00C53BC9" w:rsidP="00C53BC9">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rsidRPr="00C53BC9">
              <w:t>Неофициальная рабочая группа по средствам для эвакуации</w:t>
            </w:r>
            <w:r>
              <w:t xml:space="preserve"> </w:t>
            </w:r>
            <w:r>
              <w:rPr>
                <w:spacing w:val="60"/>
                <w:sz w:val="17"/>
              </w:rPr>
              <w:tab/>
            </w:r>
          </w:p>
        </w:tc>
        <w:tc>
          <w:tcPr>
            <w:tcW w:w="994" w:type="dxa"/>
            <w:shd w:val="clear" w:color="auto" w:fill="auto"/>
            <w:vAlign w:val="bottom"/>
          </w:tcPr>
          <w:p w:rsidR="00C53BC9" w:rsidRDefault="00C53BC9" w:rsidP="000D624D">
            <w:pPr>
              <w:spacing w:after="120"/>
              <w:ind w:right="40"/>
              <w:jc w:val="right"/>
            </w:pPr>
            <w:r>
              <w:t>77–79</w:t>
            </w:r>
          </w:p>
        </w:tc>
        <w:tc>
          <w:tcPr>
            <w:tcW w:w="720" w:type="dxa"/>
            <w:shd w:val="clear" w:color="auto" w:fill="auto"/>
            <w:vAlign w:val="bottom"/>
          </w:tcPr>
          <w:p w:rsidR="00C53BC9" w:rsidRDefault="00D17D42" w:rsidP="000D624D">
            <w:pPr>
              <w:spacing w:after="120"/>
              <w:ind w:right="40"/>
              <w:jc w:val="right"/>
            </w:pPr>
            <w:r>
              <w:t>17</w:t>
            </w:r>
          </w:p>
        </w:tc>
      </w:tr>
      <w:tr w:rsidR="00C53BC9" w:rsidRPr="000D624D" w:rsidTr="000D624D">
        <w:tc>
          <w:tcPr>
            <w:tcW w:w="8116" w:type="dxa"/>
            <w:gridSpan w:val="2"/>
            <w:shd w:val="clear" w:color="auto" w:fill="auto"/>
          </w:tcPr>
          <w:p w:rsidR="00C53BC9" w:rsidRPr="00C53BC9" w:rsidRDefault="00C53BC9" w:rsidP="00C53BC9">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rsidRPr="00C53BC9">
              <w:t>Неофициальная рабочая группа по веществам</w:t>
            </w:r>
            <w:r>
              <w:t xml:space="preserve"> </w:t>
            </w:r>
            <w:r>
              <w:rPr>
                <w:spacing w:val="60"/>
                <w:sz w:val="17"/>
              </w:rPr>
              <w:tab/>
            </w:r>
          </w:p>
        </w:tc>
        <w:tc>
          <w:tcPr>
            <w:tcW w:w="994" w:type="dxa"/>
            <w:shd w:val="clear" w:color="auto" w:fill="auto"/>
            <w:vAlign w:val="bottom"/>
          </w:tcPr>
          <w:p w:rsidR="00C53BC9" w:rsidRDefault="00C53BC9" w:rsidP="000D624D">
            <w:pPr>
              <w:spacing w:after="120"/>
              <w:ind w:right="40"/>
              <w:jc w:val="right"/>
            </w:pPr>
            <w:r>
              <w:t>80–82</w:t>
            </w:r>
          </w:p>
        </w:tc>
        <w:tc>
          <w:tcPr>
            <w:tcW w:w="720" w:type="dxa"/>
            <w:shd w:val="clear" w:color="auto" w:fill="auto"/>
            <w:vAlign w:val="bottom"/>
          </w:tcPr>
          <w:p w:rsidR="00C53BC9" w:rsidRDefault="00D17D42" w:rsidP="000D624D">
            <w:pPr>
              <w:spacing w:after="120"/>
              <w:ind w:right="40"/>
              <w:jc w:val="right"/>
            </w:pPr>
            <w:r>
              <w:t>18</w:t>
            </w:r>
          </w:p>
        </w:tc>
      </w:tr>
      <w:tr w:rsidR="00C53BC9" w:rsidRPr="000D624D" w:rsidTr="000D624D">
        <w:tc>
          <w:tcPr>
            <w:tcW w:w="8116" w:type="dxa"/>
            <w:gridSpan w:val="2"/>
            <w:shd w:val="clear" w:color="auto" w:fill="auto"/>
          </w:tcPr>
          <w:p w:rsidR="00C53BC9" w:rsidRPr="00C53BC9" w:rsidRDefault="00C53BC9" w:rsidP="00C53BC9">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tab/>
            </w:r>
            <w:r w:rsidRPr="00C53BC9">
              <w:t>Программа работы и график совещаний (пункт 6 повестки дня)</w:t>
            </w:r>
            <w:r>
              <w:t xml:space="preserve"> </w:t>
            </w:r>
            <w:r>
              <w:rPr>
                <w:spacing w:val="60"/>
                <w:sz w:val="17"/>
              </w:rPr>
              <w:tab/>
            </w:r>
          </w:p>
        </w:tc>
        <w:tc>
          <w:tcPr>
            <w:tcW w:w="994" w:type="dxa"/>
            <w:shd w:val="clear" w:color="auto" w:fill="auto"/>
            <w:vAlign w:val="bottom"/>
          </w:tcPr>
          <w:p w:rsidR="00C53BC9" w:rsidRDefault="00C53BC9" w:rsidP="000D624D">
            <w:pPr>
              <w:spacing w:after="120"/>
              <w:ind w:right="40"/>
              <w:jc w:val="right"/>
            </w:pPr>
            <w:r>
              <w:t>83–84</w:t>
            </w:r>
          </w:p>
        </w:tc>
        <w:tc>
          <w:tcPr>
            <w:tcW w:w="720" w:type="dxa"/>
            <w:shd w:val="clear" w:color="auto" w:fill="auto"/>
            <w:vAlign w:val="bottom"/>
          </w:tcPr>
          <w:p w:rsidR="00C53BC9" w:rsidRDefault="00D17D42" w:rsidP="000D624D">
            <w:pPr>
              <w:spacing w:after="120"/>
              <w:ind w:right="40"/>
              <w:jc w:val="right"/>
            </w:pPr>
            <w:r>
              <w:t>18</w:t>
            </w:r>
          </w:p>
        </w:tc>
      </w:tr>
      <w:tr w:rsidR="00C53BC9" w:rsidRPr="000D624D" w:rsidTr="000D624D">
        <w:tc>
          <w:tcPr>
            <w:tcW w:w="8116" w:type="dxa"/>
            <w:gridSpan w:val="2"/>
            <w:shd w:val="clear" w:color="auto" w:fill="auto"/>
          </w:tcPr>
          <w:p w:rsidR="00C53BC9" w:rsidRDefault="00C53BC9" w:rsidP="00C53BC9">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pPr>
            <w:r>
              <w:tab/>
            </w:r>
            <w:r w:rsidRPr="00C53BC9">
              <w:t>Прочие вопросы (пункт 7 повестки дня)</w:t>
            </w:r>
            <w:r>
              <w:t xml:space="preserve"> </w:t>
            </w:r>
            <w:r>
              <w:rPr>
                <w:spacing w:val="60"/>
                <w:sz w:val="17"/>
              </w:rPr>
              <w:tab/>
            </w:r>
          </w:p>
        </w:tc>
        <w:tc>
          <w:tcPr>
            <w:tcW w:w="994" w:type="dxa"/>
            <w:shd w:val="clear" w:color="auto" w:fill="auto"/>
            <w:vAlign w:val="bottom"/>
          </w:tcPr>
          <w:p w:rsidR="00C53BC9" w:rsidRDefault="00FD7CA7" w:rsidP="000D624D">
            <w:pPr>
              <w:spacing w:after="120"/>
              <w:ind w:right="40"/>
              <w:jc w:val="right"/>
            </w:pPr>
            <w:r>
              <w:t>85–87</w:t>
            </w:r>
          </w:p>
        </w:tc>
        <w:tc>
          <w:tcPr>
            <w:tcW w:w="720" w:type="dxa"/>
            <w:shd w:val="clear" w:color="auto" w:fill="auto"/>
            <w:vAlign w:val="bottom"/>
          </w:tcPr>
          <w:p w:rsidR="00C53BC9" w:rsidRDefault="00D17D42" w:rsidP="000D624D">
            <w:pPr>
              <w:spacing w:after="120"/>
              <w:ind w:right="40"/>
              <w:jc w:val="right"/>
            </w:pPr>
            <w:r>
              <w:t>18</w:t>
            </w:r>
          </w:p>
        </w:tc>
      </w:tr>
      <w:tr w:rsidR="00FD7CA7" w:rsidRPr="000D624D" w:rsidTr="000D624D">
        <w:tc>
          <w:tcPr>
            <w:tcW w:w="8116" w:type="dxa"/>
            <w:gridSpan w:val="2"/>
            <w:shd w:val="clear" w:color="auto" w:fill="auto"/>
          </w:tcPr>
          <w:p w:rsidR="00FD7CA7" w:rsidRDefault="00FD7CA7" w:rsidP="00FD7CA7">
            <w:pPr>
              <w:numPr>
                <w:ilvl w:val="1"/>
                <w:numId w:val="11"/>
              </w:numPr>
              <w:tabs>
                <w:tab w:val="right" w:pos="1080"/>
                <w:tab w:val="left" w:pos="1296"/>
                <w:tab w:val="left" w:pos="1728"/>
                <w:tab w:val="left" w:pos="2160"/>
                <w:tab w:val="left" w:pos="2592"/>
                <w:tab w:val="left" w:pos="3024"/>
                <w:tab w:val="left" w:pos="3456"/>
                <w:tab w:val="right" w:leader="dot" w:pos="8194"/>
              </w:tabs>
              <w:suppressAutoHyphens/>
              <w:spacing w:after="120"/>
            </w:pPr>
            <w:r w:rsidRPr="00FD7CA7">
              <w:lastRenderedPageBreak/>
              <w:t>Системы швартовки с исп</w:t>
            </w:r>
            <w:r>
              <w:t>ользованием магнитных устройств</w:t>
            </w:r>
            <w:r>
              <w:br/>
            </w:r>
            <w:r w:rsidRPr="00FD7CA7">
              <w:t>(</w:t>
            </w:r>
            <w:proofErr w:type="spellStart"/>
            <w:r w:rsidRPr="00FD7CA7">
              <w:t>Dock</w:t>
            </w:r>
            <w:proofErr w:type="spellEnd"/>
            <w:r w:rsidRPr="00FD7CA7">
              <w:t xml:space="preserve"> </w:t>
            </w:r>
            <w:proofErr w:type="spellStart"/>
            <w:r w:rsidRPr="00FD7CA7">
              <w:t>Lock</w:t>
            </w:r>
            <w:proofErr w:type="spellEnd"/>
            <w:r w:rsidRPr="00FD7CA7">
              <w:t xml:space="preserve"> </w:t>
            </w:r>
            <w:proofErr w:type="spellStart"/>
            <w:r w:rsidRPr="00FD7CA7">
              <w:t>System</w:t>
            </w:r>
            <w:proofErr w:type="spellEnd"/>
            <w:r w:rsidRPr="00FD7CA7">
              <w:t>)</w:t>
            </w:r>
            <w:r>
              <w:t xml:space="preserve"> </w:t>
            </w:r>
            <w:r>
              <w:rPr>
                <w:spacing w:val="60"/>
                <w:sz w:val="17"/>
              </w:rPr>
              <w:tab/>
            </w:r>
          </w:p>
        </w:tc>
        <w:tc>
          <w:tcPr>
            <w:tcW w:w="994" w:type="dxa"/>
            <w:shd w:val="clear" w:color="auto" w:fill="auto"/>
            <w:vAlign w:val="bottom"/>
          </w:tcPr>
          <w:p w:rsidR="00FD7CA7" w:rsidRDefault="00FD7CA7" w:rsidP="000D624D">
            <w:pPr>
              <w:spacing w:after="120"/>
              <w:ind w:right="40"/>
              <w:jc w:val="right"/>
            </w:pPr>
            <w:r>
              <w:t>85</w:t>
            </w:r>
          </w:p>
        </w:tc>
        <w:tc>
          <w:tcPr>
            <w:tcW w:w="720" w:type="dxa"/>
            <w:shd w:val="clear" w:color="auto" w:fill="auto"/>
            <w:vAlign w:val="bottom"/>
          </w:tcPr>
          <w:p w:rsidR="00FD7CA7" w:rsidRDefault="00D17D42" w:rsidP="000D624D">
            <w:pPr>
              <w:spacing w:after="120"/>
              <w:ind w:right="40"/>
              <w:jc w:val="right"/>
            </w:pPr>
            <w:r>
              <w:t>18</w:t>
            </w:r>
          </w:p>
        </w:tc>
      </w:tr>
      <w:tr w:rsidR="00FD7CA7" w:rsidRPr="000D624D" w:rsidTr="000D624D">
        <w:tc>
          <w:tcPr>
            <w:tcW w:w="8116" w:type="dxa"/>
            <w:gridSpan w:val="2"/>
            <w:shd w:val="clear" w:color="auto" w:fill="auto"/>
          </w:tcPr>
          <w:p w:rsidR="00FD7CA7" w:rsidRPr="00FD7CA7" w:rsidRDefault="00FD7CA7" w:rsidP="00FD7CA7">
            <w:pPr>
              <w:numPr>
                <w:ilvl w:val="1"/>
                <w:numId w:val="11"/>
              </w:numPr>
              <w:tabs>
                <w:tab w:val="right" w:pos="1080"/>
                <w:tab w:val="left" w:pos="1296"/>
                <w:tab w:val="left" w:pos="1728"/>
                <w:tab w:val="left" w:pos="2160"/>
                <w:tab w:val="right" w:leader="dot" w:pos="8194"/>
              </w:tabs>
              <w:suppressAutoHyphens/>
              <w:spacing w:after="120"/>
            </w:pPr>
            <w:r w:rsidRPr="00FD7CA7">
              <w:t>Просьба Европейской ассоциации оптовых поста</w:t>
            </w:r>
            <w:r>
              <w:t>вщиков нефтепродуктов (ЕАОН) о предоставлении консультативного</w:t>
            </w:r>
            <w:r>
              <w:br/>
            </w:r>
            <w:r w:rsidRPr="00FD7CA7">
              <w:t>статуса</w:t>
            </w:r>
            <w:r>
              <w:t xml:space="preserve"> </w:t>
            </w:r>
            <w:r>
              <w:rPr>
                <w:spacing w:val="60"/>
                <w:sz w:val="17"/>
              </w:rPr>
              <w:tab/>
            </w:r>
          </w:p>
        </w:tc>
        <w:tc>
          <w:tcPr>
            <w:tcW w:w="994" w:type="dxa"/>
            <w:shd w:val="clear" w:color="auto" w:fill="auto"/>
            <w:vAlign w:val="bottom"/>
          </w:tcPr>
          <w:p w:rsidR="00FD7CA7" w:rsidRDefault="00FD7CA7" w:rsidP="000D624D">
            <w:pPr>
              <w:spacing w:after="120"/>
              <w:ind w:right="40"/>
              <w:jc w:val="right"/>
            </w:pPr>
            <w:r>
              <w:t>86</w:t>
            </w:r>
          </w:p>
        </w:tc>
        <w:tc>
          <w:tcPr>
            <w:tcW w:w="720" w:type="dxa"/>
            <w:shd w:val="clear" w:color="auto" w:fill="auto"/>
            <w:vAlign w:val="bottom"/>
          </w:tcPr>
          <w:p w:rsidR="00FD7CA7" w:rsidRDefault="00D17D42" w:rsidP="000D624D">
            <w:pPr>
              <w:spacing w:after="120"/>
              <w:ind w:right="40"/>
              <w:jc w:val="right"/>
            </w:pPr>
            <w:r>
              <w:t>19</w:t>
            </w:r>
          </w:p>
        </w:tc>
      </w:tr>
      <w:tr w:rsidR="00FD7CA7" w:rsidRPr="000D624D" w:rsidTr="000D624D">
        <w:tc>
          <w:tcPr>
            <w:tcW w:w="8116" w:type="dxa"/>
            <w:gridSpan w:val="2"/>
            <w:shd w:val="clear" w:color="auto" w:fill="auto"/>
          </w:tcPr>
          <w:p w:rsidR="00FD7CA7" w:rsidRPr="00FD7CA7" w:rsidRDefault="00FD7CA7" w:rsidP="00FD7CA7">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pPr>
            <w:r w:rsidRPr="00FD7CA7">
              <w:t>Выражение признательности г-ну Кристоферу Смиту</w:t>
            </w:r>
            <w:r>
              <w:t xml:space="preserve"> </w:t>
            </w:r>
            <w:r>
              <w:rPr>
                <w:spacing w:val="60"/>
                <w:sz w:val="17"/>
              </w:rPr>
              <w:tab/>
            </w:r>
          </w:p>
        </w:tc>
        <w:tc>
          <w:tcPr>
            <w:tcW w:w="994" w:type="dxa"/>
            <w:shd w:val="clear" w:color="auto" w:fill="auto"/>
            <w:vAlign w:val="bottom"/>
          </w:tcPr>
          <w:p w:rsidR="00FD7CA7" w:rsidRDefault="00FD7CA7" w:rsidP="000D624D">
            <w:pPr>
              <w:spacing w:after="120"/>
              <w:ind w:right="40"/>
              <w:jc w:val="right"/>
            </w:pPr>
            <w:r>
              <w:t>87</w:t>
            </w:r>
          </w:p>
        </w:tc>
        <w:tc>
          <w:tcPr>
            <w:tcW w:w="720" w:type="dxa"/>
            <w:shd w:val="clear" w:color="auto" w:fill="auto"/>
            <w:vAlign w:val="bottom"/>
          </w:tcPr>
          <w:p w:rsidR="00FD7CA7" w:rsidRDefault="00D17D42" w:rsidP="000D624D">
            <w:pPr>
              <w:spacing w:after="120"/>
              <w:ind w:right="40"/>
              <w:jc w:val="right"/>
            </w:pPr>
            <w:r>
              <w:t>19</w:t>
            </w:r>
          </w:p>
        </w:tc>
      </w:tr>
      <w:tr w:rsidR="00FD7CA7" w:rsidRPr="000D624D" w:rsidTr="000D624D">
        <w:tc>
          <w:tcPr>
            <w:tcW w:w="8116" w:type="dxa"/>
            <w:gridSpan w:val="2"/>
            <w:shd w:val="clear" w:color="auto" w:fill="auto"/>
          </w:tcPr>
          <w:p w:rsidR="00FD7CA7" w:rsidRPr="00FD7CA7" w:rsidRDefault="00FD7CA7" w:rsidP="00FD7CA7">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ab/>
            </w:r>
            <w:r w:rsidRPr="00FD7CA7">
              <w:t>Утверждение доклада (пункт 8 повестки дня)</w:t>
            </w:r>
            <w:r>
              <w:t xml:space="preserve"> </w:t>
            </w:r>
            <w:r>
              <w:rPr>
                <w:spacing w:val="60"/>
                <w:sz w:val="17"/>
              </w:rPr>
              <w:tab/>
            </w:r>
          </w:p>
        </w:tc>
        <w:tc>
          <w:tcPr>
            <w:tcW w:w="994" w:type="dxa"/>
            <w:shd w:val="clear" w:color="auto" w:fill="auto"/>
            <w:vAlign w:val="bottom"/>
          </w:tcPr>
          <w:p w:rsidR="00FD7CA7" w:rsidRDefault="00FD7CA7" w:rsidP="000D624D">
            <w:pPr>
              <w:spacing w:after="120"/>
              <w:ind w:right="40"/>
              <w:jc w:val="right"/>
            </w:pPr>
            <w:r>
              <w:t>88</w:t>
            </w:r>
          </w:p>
        </w:tc>
        <w:tc>
          <w:tcPr>
            <w:tcW w:w="720" w:type="dxa"/>
            <w:shd w:val="clear" w:color="auto" w:fill="auto"/>
            <w:vAlign w:val="bottom"/>
          </w:tcPr>
          <w:p w:rsidR="00FD7CA7" w:rsidRDefault="00D17D42" w:rsidP="000D624D">
            <w:pPr>
              <w:spacing w:after="120"/>
              <w:ind w:right="40"/>
              <w:jc w:val="right"/>
            </w:pPr>
            <w:r>
              <w:t>19</w:t>
            </w:r>
          </w:p>
        </w:tc>
      </w:tr>
      <w:tr w:rsidR="00FD7CA7" w:rsidRPr="000D624D" w:rsidTr="000D624D">
        <w:tc>
          <w:tcPr>
            <w:tcW w:w="8116" w:type="dxa"/>
            <w:gridSpan w:val="2"/>
            <w:shd w:val="clear" w:color="auto" w:fill="auto"/>
          </w:tcPr>
          <w:p w:rsidR="00FD7CA7" w:rsidRDefault="00FD7CA7" w:rsidP="00FD7CA7">
            <w:pPr>
              <w:tabs>
                <w:tab w:val="right" w:pos="1080"/>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t>Приложения</w:t>
            </w:r>
          </w:p>
        </w:tc>
        <w:tc>
          <w:tcPr>
            <w:tcW w:w="994" w:type="dxa"/>
            <w:shd w:val="clear" w:color="auto" w:fill="auto"/>
            <w:vAlign w:val="bottom"/>
          </w:tcPr>
          <w:p w:rsidR="00FD7CA7" w:rsidRDefault="00FD7CA7" w:rsidP="000D624D">
            <w:pPr>
              <w:spacing w:after="120"/>
              <w:ind w:right="40"/>
              <w:jc w:val="right"/>
            </w:pPr>
          </w:p>
        </w:tc>
        <w:tc>
          <w:tcPr>
            <w:tcW w:w="720" w:type="dxa"/>
            <w:shd w:val="clear" w:color="auto" w:fill="auto"/>
            <w:vAlign w:val="bottom"/>
          </w:tcPr>
          <w:p w:rsidR="00FD7CA7" w:rsidRDefault="00FD7CA7" w:rsidP="000D624D">
            <w:pPr>
              <w:spacing w:after="120"/>
              <w:ind w:right="40"/>
              <w:jc w:val="right"/>
            </w:pPr>
          </w:p>
        </w:tc>
      </w:tr>
      <w:tr w:rsidR="00FD7CA7" w:rsidRPr="000D624D" w:rsidTr="00191979">
        <w:tc>
          <w:tcPr>
            <w:tcW w:w="9110" w:type="dxa"/>
            <w:gridSpan w:val="3"/>
            <w:shd w:val="clear" w:color="auto" w:fill="auto"/>
          </w:tcPr>
          <w:p w:rsidR="00FD7CA7" w:rsidRDefault="00FD7CA7" w:rsidP="00FD7CA7">
            <w:pPr>
              <w:numPr>
                <w:ilvl w:val="0"/>
                <w:numId w:val="16"/>
              </w:numPr>
              <w:tabs>
                <w:tab w:val="right" w:pos="1080"/>
                <w:tab w:val="left" w:pos="1296"/>
                <w:tab w:val="left" w:pos="1728"/>
                <w:tab w:val="left" w:pos="2160"/>
                <w:tab w:val="left" w:pos="2592"/>
                <w:tab w:val="left" w:pos="3024"/>
                <w:tab w:val="right" w:leader="dot" w:pos="9245"/>
              </w:tabs>
              <w:suppressAutoHyphens/>
              <w:spacing w:after="120"/>
            </w:pPr>
            <w:r>
              <w:tab/>
            </w:r>
            <w:r w:rsidRPr="00FD7CA7">
              <w:t>Проекты поправок к Правилам, прилагаемым</w:t>
            </w:r>
            <w:r>
              <w:t xml:space="preserve"> к ВОПОГ, для вступления в силу</w:t>
            </w:r>
            <w:r>
              <w:br/>
            </w:r>
            <w:r w:rsidRPr="00FD7CA7">
              <w:t>1 января 2017 года</w:t>
            </w:r>
            <w:r>
              <w:t xml:space="preserve"> </w:t>
            </w:r>
            <w:r>
              <w:rPr>
                <w:spacing w:val="60"/>
                <w:sz w:val="17"/>
              </w:rPr>
              <w:tab/>
            </w:r>
          </w:p>
        </w:tc>
        <w:tc>
          <w:tcPr>
            <w:tcW w:w="720" w:type="dxa"/>
            <w:shd w:val="clear" w:color="auto" w:fill="auto"/>
            <w:vAlign w:val="bottom"/>
          </w:tcPr>
          <w:p w:rsidR="00FD7CA7" w:rsidRDefault="00D17D42" w:rsidP="000D624D">
            <w:pPr>
              <w:spacing w:after="120"/>
              <w:ind w:right="40"/>
              <w:jc w:val="right"/>
            </w:pPr>
            <w:r>
              <w:t>20</w:t>
            </w:r>
          </w:p>
        </w:tc>
      </w:tr>
      <w:tr w:rsidR="00FD7CA7" w:rsidRPr="000D624D" w:rsidTr="00191979">
        <w:tc>
          <w:tcPr>
            <w:tcW w:w="9110" w:type="dxa"/>
            <w:gridSpan w:val="3"/>
            <w:shd w:val="clear" w:color="auto" w:fill="auto"/>
          </w:tcPr>
          <w:p w:rsidR="00FD7CA7" w:rsidRDefault="00FD7CA7" w:rsidP="00FD7CA7">
            <w:pPr>
              <w:numPr>
                <w:ilvl w:val="0"/>
                <w:numId w:val="16"/>
              </w:numPr>
              <w:tabs>
                <w:tab w:val="right" w:pos="1080"/>
                <w:tab w:val="left" w:pos="1296"/>
                <w:tab w:val="left" w:pos="1728"/>
                <w:tab w:val="right" w:leader="dot" w:pos="9245"/>
              </w:tabs>
              <w:suppressAutoHyphens/>
              <w:spacing w:after="120"/>
            </w:pPr>
            <w:r>
              <w:tab/>
            </w:r>
            <w:r w:rsidRPr="00FD7CA7">
              <w:t>Исправления к Правилам, прилагаемым к ВОПОГ, – только версия на немецком языке</w:t>
            </w:r>
            <w:r>
              <w:t xml:space="preserve"> </w:t>
            </w:r>
            <w:r>
              <w:rPr>
                <w:spacing w:val="60"/>
                <w:sz w:val="17"/>
              </w:rPr>
              <w:tab/>
            </w:r>
          </w:p>
        </w:tc>
        <w:tc>
          <w:tcPr>
            <w:tcW w:w="720" w:type="dxa"/>
            <w:shd w:val="clear" w:color="auto" w:fill="auto"/>
            <w:vAlign w:val="bottom"/>
          </w:tcPr>
          <w:p w:rsidR="00FD7CA7" w:rsidRDefault="00D17D42" w:rsidP="000D624D">
            <w:pPr>
              <w:spacing w:after="120"/>
              <w:ind w:right="40"/>
              <w:jc w:val="right"/>
            </w:pPr>
            <w:r>
              <w:t>21</w:t>
            </w:r>
          </w:p>
        </w:tc>
      </w:tr>
    </w:tbl>
    <w:p w:rsidR="000D624D" w:rsidRDefault="000D624D" w:rsidP="000D624D"/>
    <w:p w:rsidR="000D624D" w:rsidRPr="000D624D" w:rsidRDefault="000D624D" w:rsidP="000D62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DC0C54">
        <w:lastRenderedPageBreak/>
        <w:tab/>
      </w:r>
      <w:r w:rsidRPr="000D624D">
        <w:t>I.</w:t>
      </w:r>
      <w:r w:rsidRPr="000D624D">
        <w:tab/>
        <w:t>Участники</w:t>
      </w:r>
    </w:p>
    <w:p w:rsidR="000D624D" w:rsidRPr="000D624D" w:rsidRDefault="000D624D" w:rsidP="00ED2FBE">
      <w:pPr>
        <w:pStyle w:val="SingleTxt"/>
        <w:spacing w:after="0" w:line="120" w:lineRule="exact"/>
        <w:rPr>
          <w:sz w:val="10"/>
        </w:rPr>
      </w:pPr>
    </w:p>
    <w:p w:rsidR="000D624D" w:rsidRPr="000D624D" w:rsidRDefault="000D624D" w:rsidP="000D624D">
      <w:pPr>
        <w:pStyle w:val="SingleTxt"/>
        <w:spacing w:after="0" w:line="120" w:lineRule="exact"/>
        <w:rPr>
          <w:sz w:val="10"/>
        </w:rPr>
      </w:pPr>
    </w:p>
    <w:p w:rsidR="000D624D" w:rsidRPr="000D624D" w:rsidRDefault="000D624D" w:rsidP="000D624D">
      <w:pPr>
        <w:pStyle w:val="SingleTxt"/>
      </w:pPr>
      <w:r w:rsidRPr="000D624D">
        <w:t>1.</w:t>
      </w:r>
      <w:r w:rsidRPr="000D624D">
        <w:tab/>
        <w:t>Совместное совещание экспертов по Правилам, прилагаемым к Европе</w:t>
      </w:r>
      <w:r w:rsidRPr="000D624D">
        <w:t>й</w:t>
      </w:r>
      <w:r w:rsidRPr="000D624D">
        <w:t>скому соглашению о международной перевозке опасных грузов по внутренним водным путям (ВОПОГ) (Комитет по вопросам безопасности ВОПОГ), провело свою двадцать седьмую сессию в Женеве 24–28 августа 2015 года под руково</w:t>
      </w:r>
      <w:r w:rsidRPr="000D624D">
        <w:t>д</w:t>
      </w:r>
      <w:r w:rsidRPr="000D624D">
        <w:t xml:space="preserve">ством Председателя г-на Х. </w:t>
      </w:r>
      <w:proofErr w:type="spellStart"/>
      <w:r w:rsidRPr="000D624D">
        <w:t>Райна</w:t>
      </w:r>
      <w:proofErr w:type="spellEnd"/>
      <w:r w:rsidRPr="000D624D">
        <w:t xml:space="preserve"> (Герма</w:t>
      </w:r>
      <w:r w:rsidR="00ED2FBE">
        <w:t>ния) и заместителя Председателя</w:t>
      </w:r>
      <w:r w:rsidR="00ED2FBE" w:rsidRPr="00ED2FBE">
        <w:br/>
      </w:r>
      <w:r w:rsidRPr="000D624D">
        <w:t xml:space="preserve">г-на Б. </w:t>
      </w:r>
      <w:proofErr w:type="spellStart"/>
      <w:r w:rsidRPr="000D624D">
        <w:t>Биркльхубера</w:t>
      </w:r>
      <w:proofErr w:type="spellEnd"/>
      <w:r w:rsidRPr="000D624D">
        <w:t xml:space="preserve"> (Австрия). В работе этой сессии приняли участие предст</w:t>
      </w:r>
      <w:r w:rsidRPr="000D624D">
        <w:t>а</w:t>
      </w:r>
      <w:r w:rsidRPr="000D624D">
        <w:t xml:space="preserve">вители следующих стран: </w:t>
      </w:r>
      <w:proofErr w:type="gramStart"/>
      <w:r w:rsidRPr="000D624D">
        <w:t>Австрии, Бельгии, Болгарии, Германии, Нидерландов, Российской Федерации, Румынии, Словакии, Франции, Хорватии и Швейцарии.</w:t>
      </w:r>
      <w:proofErr w:type="gramEnd"/>
      <w:r w:rsidRPr="000D624D">
        <w:t xml:space="preserve"> Были представлены следующие межправительственные организации: Европе</w:t>
      </w:r>
      <w:r w:rsidRPr="000D624D">
        <w:t>й</w:t>
      </w:r>
      <w:r w:rsidRPr="000D624D">
        <w:t>ский союз, Дунайская комиссия (ДК) и Центральная комиссия судоходства по Рейну (ЦКСР). Были также представлены следующие неправительственные о</w:t>
      </w:r>
      <w:r w:rsidRPr="000D624D">
        <w:t>р</w:t>
      </w:r>
      <w:r w:rsidRPr="000D624D">
        <w:t>ганизации: Европейская ассоциация оптовых поставщиков нефтепродуктов (ЕАОН), Европейская организация судоводителей (ЕОС), Европейский совет х</w:t>
      </w:r>
      <w:r w:rsidRPr="000D624D">
        <w:t>и</w:t>
      </w:r>
      <w:r w:rsidRPr="000D624D">
        <w:t>мической промышленности (ЕСФХП), Европейский союз речного и прибрежного транспорта (ЕСРПТ), Европейский союз речного судоходства (ЕСРС), Междун</w:t>
      </w:r>
      <w:r w:rsidRPr="000D624D">
        <w:t>а</w:t>
      </w:r>
      <w:r w:rsidRPr="000D624D">
        <w:t>родный комитет по предотвращению производственных аварий на речном тран</w:t>
      </w:r>
      <w:r w:rsidRPr="000D624D">
        <w:t>с</w:t>
      </w:r>
      <w:r w:rsidRPr="000D624D">
        <w:t>порте (СИПА), Рекомендованные классификационные общества ВОПОГ, Фед</w:t>
      </w:r>
      <w:r w:rsidRPr="000D624D">
        <w:t>е</w:t>
      </w:r>
      <w:r w:rsidRPr="000D624D">
        <w:t xml:space="preserve">рация европейских ассоциаций владельцев цистерн-хранилищ (ФЕТСА) и </w:t>
      </w:r>
      <w:proofErr w:type="spellStart"/>
      <w:r w:rsidRPr="000D624D">
        <w:t>Фь</w:t>
      </w:r>
      <w:r w:rsidRPr="000D624D">
        <w:t>ю</w:t>
      </w:r>
      <w:r w:rsidRPr="000D624D">
        <w:t>элзЕуроп</w:t>
      </w:r>
      <w:proofErr w:type="spellEnd"/>
      <w:r w:rsidRPr="000D624D">
        <w:t>.</w:t>
      </w:r>
    </w:p>
    <w:p w:rsidR="000D624D" w:rsidRPr="00ED2FBE" w:rsidRDefault="000D624D" w:rsidP="00ED2FBE">
      <w:pPr>
        <w:pStyle w:val="SingleTxt"/>
        <w:spacing w:after="0" w:line="120" w:lineRule="exact"/>
        <w:rPr>
          <w:sz w:val="10"/>
        </w:rPr>
      </w:pPr>
    </w:p>
    <w:p w:rsidR="00ED2FBE" w:rsidRPr="00ED2FBE" w:rsidRDefault="00ED2FBE" w:rsidP="00ED2FBE">
      <w:pPr>
        <w:pStyle w:val="SingleTxt"/>
        <w:spacing w:after="0" w:line="120" w:lineRule="exact"/>
        <w:rPr>
          <w:sz w:val="10"/>
        </w:rPr>
      </w:pPr>
    </w:p>
    <w:p w:rsidR="000D624D" w:rsidRPr="000D624D" w:rsidRDefault="00ED2FBE" w:rsidP="00ED2F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91979">
        <w:tab/>
      </w:r>
      <w:r w:rsidR="000D624D" w:rsidRPr="000D624D">
        <w:t>II.</w:t>
      </w:r>
      <w:r w:rsidR="000D624D" w:rsidRPr="000D624D">
        <w:tab/>
        <w:t>Утверждение повестки дня (пункт 1 повестки дня)</w:t>
      </w:r>
    </w:p>
    <w:p w:rsidR="000D624D" w:rsidRPr="00ED2FBE" w:rsidRDefault="000D624D" w:rsidP="00ED2FBE">
      <w:pPr>
        <w:pStyle w:val="SingleTxt"/>
        <w:spacing w:after="0" w:line="120" w:lineRule="exact"/>
        <w:rPr>
          <w:sz w:val="10"/>
        </w:rPr>
      </w:pPr>
    </w:p>
    <w:p w:rsidR="00ED2FBE" w:rsidRPr="00ED2FBE" w:rsidRDefault="00ED2FBE" w:rsidP="00ED2FBE">
      <w:pPr>
        <w:pStyle w:val="SingleTxt"/>
        <w:spacing w:after="0" w:line="120" w:lineRule="exact"/>
        <w:rPr>
          <w:sz w:val="10"/>
        </w:rPr>
      </w:pPr>
    </w:p>
    <w:p w:rsidR="000D624D" w:rsidRPr="000D624D" w:rsidRDefault="000D624D" w:rsidP="00634B60">
      <w:pPr>
        <w:pStyle w:val="SingleTxt"/>
        <w:jc w:val="left"/>
      </w:pPr>
      <w:r w:rsidRPr="000D624D">
        <w:rPr>
          <w:i/>
          <w:iCs/>
        </w:rPr>
        <w:t>Документы</w:t>
      </w:r>
      <w:r w:rsidRPr="000D624D">
        <w:t>:</w:t>
      </w:r>
      <w:r w:rsidRPr="000D624D">
        <w:tab/>
      </w:r>
      <w:r w:rsidRPr="000D624D">
        <w:tab/>
      </w:r>
      <w:r w:rsidRPr="000D624D">
        <w:tab/>
      </w:r>
      <w:r w:rsidRPr="000D624D">
        <w:tab/>
        <w:t>ECE/TRANS/WP.15/AC.2/55 и Add.1</w:t>
      </w:r>
    </w:p>
    <w:p w:rsidR="000D624D" w:rsidRPr="000D624D" w:rsidRDefault="000D624D" w:rsidP="000D624D">
      <w:pPr>
        <w:pStyle w:val="SingleTxt"/>
      </w:pPr>
      <w:r w:rsidRPr="000D624D">
        <w:rPr>
          <w:i/>
          <w:iCs/>
        </w:rPr>
        <w:t>Неофициальный документ</w:t>
      </w:r>
      <w:r w:rsidRPr="000D624D">
        <w:t>:</w:t>
      </w:r>
      <w:r w:rsidRPr="000D624D">
        <w:tab/>
        <w:t>INF.1/Rev.2 (секретариат)</w:t>
      </w:r>
    </w:p>
    <w:p w:rsidR="000D624D" w:rsidRPr="000D624D" w:rsidRDefault="000D624D" w:rsidP="000D624D">
      <w:pPr>
        <w:pStyle w:val="SingleTxt"/>
      </w:pPr>
      <w:r w:rsidRPr="000D624D">
        <w:t>2.</w:t>
      </w:r>
      <w:r w:rsidRPr="000D624D">
        <w:tab/>
        <w:t>Комитет по вопросам безопасности утвердил подготовленную секретари</w:t>
      </w:r>
      <w:r w:rsidRPr="000D624D">
        <w:t>а</w:t>
      </w:r>
      <w:r w:rsidRPr="000D624D">
        <w:t>том повестку дня, измененную в соответствии с неофициальным документом INF.1/Rev.2 с целью учета неофициальных документов INF.1–INF.21.</w:t>
      </w:r>
    </w:p>
    <w:p w:rsidR="000D624D" w:rsidRPr="000D624D" w:rsidRDefault="000D624D" w:rsidP="000D624D">
      <w:pPr>
        <w:pStyle w:val="SingleTxt"/>
      </w:pPr>
      <w:r w:rsidRPr="000D624D">
        <w:t>3.</w:t>
      </w:r>
      <w:r w:rsidRPr="000D624D">
        <w:tab/>
        <w:t>В отношении некоторых вопросов, оставшихся нерешенными с предыдущей сессии, которые указаны в нижеследующих пунктах доклада ECE/TRANS/WP.15/</w:t>
      </w:r>
      <w:r w:rsidR="00ED2FBE" w:rsidRPr="00ED2FBE">
        <w:br/>
      </w:r>
      <w:r w:rsidRPr="000D624D">
        <w:t>АС.2/54, Комитет отметил следующее:</w:t>
      </w:r>
    </w:p>
    <w:p w:rsidR="000D624D" w:rsidRPr="000D624D" w:rsidRDefault="00ED2FBE" w:rsidP="00ED2FBE">
      <w:pPr>
        <w:pStyle w:val="SingleTxt"/>
        <w:ind w:left="1742"/>
      </w:pPr>
      <w:r>
        <w:t>пункт 7:</w:t>
      </w:r>
      <w:r w:rsidRPr="00ED2FBE">
        <w:t xml:space="preserve"> </w:t>
      </w:r>
      <w:r w:rsidR="000D624D" w:rsidRPr="000D624D">
        <w:t>Нидерланды должны организовать заседание неофициальной раб</w:t>
      </w:r>
      <w:r w:rsidR="000D624D" w:rsidRPr="000D624D">
        <w:t>о</w:t>
      </w:r>
      <w:r w:rsidR="000D624D" w:rsidRPr="000D624D">
        <w:t>чей группы по использованию СПГ в качестве топлива для двигателей судов, как только будут получены окончательные законодательные предложения ЦКСР. Окончательный доклад должен быть представлен на следующей се</w:t>
      </w:r>
      <w:r w:rsidR="000D624D" w:rsidRPr="000D624D">
        <w:t>с</w:t>
      </w:r>
      <w:r w:rsidR="000D624D" w:rsidRPr="000D624D">
        <w:t>сии;</w:t>
      </w:r>
    </w:p>
    <w:p w:rsidR="000D624D" w:rsidRPr="000D624D" w:rsidRDefault="000D624D" w:rsidP="00ED2FBE">
      <w:pPr>
        <w:pStyle w:val="SingleTxt"/>
        <w:ind w:left="1742"/>
      </w:pPr>
      <w:r w:rsidRPr="000D624D">
        <w:t>пункт 8:</w:t>
      </w:r>
      <w:r w:rsidR="00ED2FBE" w:rsidRPr="00ED2FBE">
        <w:t xml:space="preserve"> </w:t>
      </w:r>
      <w:r w:rsidRPr="000D624D">
        <w:t>представитель Нидерландов должен проверить, целесообразно ли по-прежнему упоминать специальные разрешения для № ООН 2187 и 3298;</w:t>
      </w:r>
    </w:p>
    <w:p w:rsidR="000D624D" w:rsidRPr="000D624D" w:rsidRDefault="000D624D" w:rsidP="00ED2FBE">
      <w:pPr>
        <w:pStyle w:val="SingleTxt"/>
        <w:tabs>
          <w:tab w:val="clear" w:pos="3658"/>
          <w:tab w:val="left" w:pos="3366"/>
        </w:tabs>
        <w:ind w:left="1742"/>
      </w:pPr>
      <w:r w:rsidRPr="000D624D">
        <w:t>пункты 12 и 13:</w:t>
      </w:r>
      <w:r w:rsidR="00ED2FBE" w:rsidRPr="00ED2FBE">
        <w:t xml:space="preserve"> </w:t>
      </w:r>
      <w:r w:rsidRPr="000D624D">
        <w:t>представляется необходимым более углубленно рассмо</w:t>
      </w:r>
      <w:r w:rsidRPr="000D624D">
        <w:t>т</w:t>
      </w:r>
      <w:r w:rsidRPr="000D624D">
        <w:t>реть вопрос о сертификации квалификаций лиц, отвечающих за выполнение различных задач в соответствии с ВОПОГ. Германия, ЕСРС и ЕОС вернутся к данному вопросу в январе 2016 года с целью подготовки возможных п</w:t>
      </w:r>
      <w:r w:rsidRPr="000D624D">
        <w:t>о</w:t>
      </w:r>
      <w:r w:rsidRPr="000D624D">
        <w:t>правок для издания 2019 года;</w:t>
      </w:r>
    </w:p>
    <w:p w:rsidR="000D624D" w:rsidRPr="000D624D" w:rsidRDefault="000D624D" w:rsidP="00ED2FBE">
      <w:pPr>
        <w:pStyle w:val="SingleTxt"/>
        <w:tabs>
          <w:tab w:val="clear" w:pos="3658"/>
          <w:tab w:val="left" w:pos="3375"/>
        </w:tabs>
        <w:ind w:left="1742"/>
      </w:pPr>
      <w:r w:rsidRPr="000D624D">
        <w:t>пункты 15 и 16:</w:t>
      </w:r>
      <w:r w:rsidR="00ED2FBE" w:rsidRPr="00ED2FBE">
        <w:t xml:space="preserve"> </w:t>
      </w:r>
      <w:r w:rsidRPr="000D624D">
        <w:t>Германия должна вернуться к вопросу об операциях по п</w:t>
      </w:r>
      <w:r w:rsidRPr="000D624D">
        <w:t>е</w:t>
      </w:r>
      <w:r w:rsidRPr="000D624D">
        <w:t>регрузке груза на следующей сессии;</w:t>
      </w:r>
    </w:p>
    <w:p w:rsidR="000D624D" w:rsidRPr="000D624D" w:rsidRDefault="000D624D" w:rsidP="00ED2FBE">
      <w:pPr>
        <w:pStyle w:val="SingleTxt"/>
        <w:ind w:left="1742"/>
      </w:pPr>
      <w:r w:rsidRPr="000D624D">
        <w:t>пункт 23:</w:t>
      </w:r>
      <w:r w:rsidR="00ED2FBE" w:rsidRPr="00ED2FBE">
        <w:t xml:space="preserve"> </w:t>
      </w:r>
      <w:r w:rsidRPr="000D624D">
        <w:t>Нидерланды должны представить документ о перевозке угля на следующей сессии;</w:t>
      </w:r>
    </w:p>
    <w:p w:rsidR="000D624D" w:rsidRPr="000D624D" w:rsidRDefault="000D624D" w:rsidP="00ED2FBE">
      <w:pPr>
        <w:pStyle w:val="SingleTxt"/>
        <w:ind w:left="1742"/>
      </w:pPr>
      <w:r w:rsidRPr="000D624D">
        <w:lastRenderedPageBreak/>
        <w:t>пункты 40 и 41:</w:t>
      </w:r>
      <w:r w:rsidR="00ED2FBE">
        <w:t xml:space="preserve"> </w:t>
      </w:r>
      <w:r w:rsidRPr="000D624D">
        <w:t>вопрос, поднятый в пункте 41, можно было бы обсудить на следующей сессии;</w:t>
      </w:r>
    </w:p>
    <w:p w:rsidR="000D624D" w:rsidRPr="00191979" w:rsidRDefault="000D624D" w:rsidP="00ED2FBE">
      <w:pPr>
        <w:pStyle w:val="SingleTxt"/>
        <w:ind w:left="1742"/>
      </w:pPr>
      <w:r w:rsidRPr="000D624D">
        <w:t>пункт 45:</w:t>
      </w:r>
      <w:r w:rsidR="00ED2FBE">
        <w:t xml:space="preserve"> </w:t>
      </w:r>
      <w:r w:rsidRPr="000D624D">
        <w:t>работа, касающаяся выдачи нового перечня веществ после возо</w:t>
      </w:r>
      <w:r w:rsidRPr="000D624D">
        <w:t>б</w:t>
      </w:r>
      <w:r w:rsidRPr="000D624D">
        <w:t>новления свидетельства о допущении, будет продолжена.</w:t>
      </w:r>
    </w:p>
    <w:p w:rsidR="000D624D" w:rsidRPr="00ED2FBE" w:rsidRDefault="000D624D" w:rsidP="00ED2FBE">
      <w:pPr>
        <w:pStyle w:val="SingleTxt"/>
        <w:spacing w:after="0" w:line="120" w:lineRule="exact"/>
        <w:rPr>
          <w:sz w:val="10"/>
        </w:rPr>
      </w:pPr>
    </w:p>
    <w:p w:rsidR="00ED2FBE" w:rsidRPr="00ED2FBE" w:rsidRDefault="00ED2FBE" w:rsidP="00ED2FBE">
      <w:pPr>
        <w:pStyle w:val="SingleTxt"/>
        <w:spacing w:after="0" w:line="120" w:lineRule="exact"/>
        <w:rPr>
          <w:sz w:val="10"/>
        </w:rPr>
      </w:pPr>
    </w:p>
    <w:p w:rsidR="000D624D" w:rsidRPr="000D624D" w:rsidRDefault="00ED2FBE" w:rsidP="00ED2F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91979">
        <w:tab/>
      </w:r>
      <w:r w:rsidR="000D624D" w:rsidRPr="000D624D">
        <w:t>III.</w:t>
      </w:r>
      <w:r w:rsidR="000D624D" w:rsidRPr="000D624D">
        <w:tab/>
        <w:t>Вопросы, вытекающие из работы органов Организации Объединенн</w:t>
      </w:r>
      <w:r>
        <w:t>ых Наций или других организаций</w:t>
      </w:r>
      <w:r w:rsidR="00DC0C54">
        <w:br/>
      </w:r>
      <w:r w:rsidR="000D624D" w:rsidRPr="000D624D">
        <w:t xml:space="preserve">(пункт 2 повестки дня) </w:t>
      </w:r>
    </w:p>
    <w:p w:rsidR="000D624D" w:rsidRPr="00ED2FBE" w:rsidRDefault="000D624D" w:rsidP="00ED2FBE">
      <w:pPr>
        <w:pStyle w:val="SingleTxt"/>
        <w:spacing w:after="0" w:line="120" w:lineRule="exact"/>
        <w:rPr>
          <w:sz w:val="10"/>
        </w:rPr>
      </w:pPr>
    </w:p>
    <w:p w:rsidR="00ED2FBE" w:rsidRPr="00ED2FBE" w:rsidRDefault="00ED2FBE" w:rsidP="00ED2FBE">
      <w:pPr>
        <w:pStyle w:val="SingleTxt"/>
        <w:spacing w:after="0" w:line="120" w:lineRule="exact"/>
        <w:rPr>
          <w:sz w:val="10"/>
        </w:rPr>
      </w:pPr>
    </w:p>
    <w:p w:rsidR="000D624D" w:rsidRPr="000D624D" w:rsidRDefault="000D624D" w:rsidP="000D624D">
      <w:pPr>
        <w:pStyle w:val="SingleTxt"/>
      </w:pPr>
      <w:r w:rsidRPr="000D624D">
        <w:t>4.</w:t>
      </w:r>
      <w:r w:rsidRPr="000D624D">
        <w:tab/>
      </w:r>
      <w:proofErr w:type="gramStart"/>
      <w:r w:rsidRPr="000D624D">
        <w:t>Комитет по вопросам безопасности отметил, что Комитет по внутреннему транспорту ЕЭК ООН призвал свои государства-члены предоставить данные в поддержку экспериментального проекта создания базы данных об авариях, ос</w:t>
      </w:r>
      <w:r w:rsidRPr="000D624D">
        <w:t>у</w:t>
      </w:r>
      <w:r w:rsidRPr="000D624D">
        <w:t>ществляемого в рамках деятельности Со</w:t>
      </w:r>
      <w:r w:rsidR="00ED2FBE">
        <w:t>вместного совещания МПОГ/ДОПОГ/</w:t>
      </w:r>
      <w:r w:rsidR="00ED2FBE" w:rsidRPr="00ED2FBE">
        <w:br/>
      </w:r>
      <w:r w:rsidRPr="000D624D">
        <w:t>ВОПОГ в связи с уведомлениями о происшествиях, связанных с опасными гр</w:t>
      </w:r>
      <w:r w:rsidRPr="000D624D">
        <w:t>у</w:t>
      </w:r>
      <w:r w:rsidRPr="000D624D">
        <w:t>зами, в соответствии с разделом 1.</w:t>
      </w:r>
      <w:r w:rsidR="00ED2FBE">
        <w:t>8.5 Правил, прилагаемых к ВОПОГ</w:t>
      </w:r>
      <w:r w:rsidR="00ED2FBE" w:rsidRPr="00ED2FBE">
        <w:br/>
      </w:r>
      <w:r w:rsidRPr="000D624D">
        <w:t>(см. ECE/TRANS/248, пункт 116).</w:t>
      </w:r>
      <w:proofErr w:type="gramEnd"/>
    </w:p>
    <w:p w:rsidR="000D624D" w:rsidRPr="000D1237" w:rsidRDefault="000D624D" w:rsidP="000D624D">
      <w:pPr>
        <w:pStyle w:val="SingleTxt"/>
      </w:pPr>
      <w:r w:rsidRPr="000D624D">
        <w:t>5.</w:t>
      </w:r>
      <w:r w:rsidRPr="000D624D">
        <w:tab/>
        <w:t>Комитет по вопросам безопасности отметил, что секретариат ЕЭК ООН в настоящее время проводит оценку глобальных и региональных последствий и</w:t>
      </w:r>
      <w:r w:rsidRPr="000D624D">
        <w:t>с</w:t>
      </w:r>
      <w:r w:rsidRPr="000D624D">
        <w:t>пользования Правил ЕЭК ООН и Рекомендаций ООН по перевозке опасных гр</w:t>
      </w:r>
      <w:r w:rsidRPr="000D624D">
        <w:t>у</w:t>
      </w:r>
      <w:r w:rsidRPr="000D624D">
        <w:t xml:space="preserve">зов. С этой целью всем субъектам, участвующим в деятельности Комитета, был разослан вопросник и было предложено как можно скорее заполнить его, с </w:t>
      </w:r>
      <w:proofErr w:type="gramStart"/>
      <w:r w:rsidRPr="000D624D">
        <w:t>тем</w:t>
      </w:r>
      <w:proofErr w:type="gramEnd"/>
      <w:r w:rsidRPr="000D624D">
        <w:t xml:space="preserve"> чтобы консультант смог проанализировать по</w:t>
      </w:r>
      <w:r w:rsidR="00ED2FBE">
        <w:t>лученные ответы в сентябре 2015</w:t>
      </w:r>
      <w:r w:rsidR="00ED2FBE">
        <w:rPr>
          <w:lang w:val="en-US"/>
        </w:rPr>
        <w:t> </w:t>
      </w:r>
      <w:r w:rsidRPr="000D624D">
        <w:t>года</w:t>
      </w:r>
      <w:r w:rsidR="000D1237" w:rsidRPr="000D1237">
        <w:t>.</w:t>
      </w:r>
    </w:p>
    <w:p w:rsidR="000D624D" w:rsidRPr="00ED2FBE" w:rsidRDefault="000D624D" w:rsidP="00ED2FBE">
      <w:pPr>
        <w:pStyle w:val="SingleTxt"/>
        <w:spacing w:after="0" w:line="120" w:lineRule="exact"/>
        <w:rPr>
          <w:sz w:val="10"/>
        </w:rPr>
      </w:pPr>
    </w:p>
    <w:p w:rsidR="00ED2FBE" w:rsidRPr="00ED2FBE" w:rsidRDefault="00ED2FBE" w:rsidP="00ED2FBE">
      <w:pPr>
        <w:pStyle w:val="SingleTxt"/>
        <w:spacing w:after="0" w:line="120" w:lineRule="exact"/>
        <w:rPr>
          <w:sz w:val="10"/>
        </w:rPr>
      </w:pPr>
    </w:p>
    <w:p w:rsidR="000D624D" w:rsidRPr="000D624D" w:rsidRDefault="00ED2FBE" w:rsidP="00ED2F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1237">
        <w:tab/>
      </w:r>
      <w:r w:rsidR="000D624D" w:rsidRPr="000D624D">
        <w:t>IV.</w:t>
      </w:r>
      <w:r w:rsidR="000D624D" w:rsidRPr="000D624D">
        <w:tab/>
        <w:t>Применение Европейского соглашения о международной перевозке опасных грузов по внутренним водным путям (ВОПОГ) (пункт 3 повестки дня)</w:t>
      </w:r>
    </w:p>
    <w:p w:rsidR="000D624D" w:rsidRPr="00ED2FBE" w:rsidRDefault="000D624D" w:rsidP="00ED2FBE">
      <w:pPr>
        <w:pStyle w:val="SingleTxt"/>
        <w:spacing w:after="0" w:line="120" w:lineRule="exact"/>
        <w:rPr>
          <w:sz w:val="10"/>
        </w:rPr>
      </w:pPr>
    </w:p>
    <w:p w:rsidR="00ED2FBE" w:rsidRPr="00ED2FBE" w:rsidRDefault="00ED2FBE" w:rsidP="00ED2FBE">
      <w:pPr>
        <w:pStyle w:val="SingleTxt"/>
        <w:spacing w:after="0" w:line="120" w:lineRule="exact"/>
        <w:rPr>
          <w:sz w:val="10"/>
        </w:rPr>
      </w:pPr>
    </w:p>
    <w:p w:rsidR="000D624D" w:rsidRPr="000D624D" w:rsidRDefault="00ED2FBE" w:rsidP="00ED2F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D2FBE">
        <w:tab/>
      </w:r>
      <w:r>
        <w:t>A.</w:t>
      </w:r>
      <w:r w:rsidR="000D624D" w:rsidRPr="000D624D">
        <w:tab/>
        <w:t>Состояние ВОПОГ</w:t>
      </w:r>
    </w:p>
    <w:p w:rsidR="000D624D" w:rsidRPr="00ED2FBE" w:rsidRDefault="000D624D" w:rsidP="00ED2FBE">
      <w:pPr>
        <w:pStyle w:val="SingleTxt"/>
        <w:spacing w:after="0" w:line="120" w:lineRule="exact"/>
        <w:rPr>
          <w:sz w:val="10"/>
        </w:rPr>
      </w:pPr>
    </w:p>
    <w:p w:rsidR="00ED2FBE" w:rsidRPr="00ED2FBE" w:rsidRDefault="00ED2FBE" w:rsidP="00ED2FBE">
      <w:pPr>
        <w:pStyle w:val="SingleTxt"/>
        <w:spacing w:after="0" w:line="120" w:lineRule="exact"/>
        <w:rPr>
          <w:sz w:val="10"/>
        </w:rPr>
      </w:pPr>
    </w:p>
    <w:p w:rsidR="000D624D" w:rsidRPr="000D624D" w:rsidRDefault="000D624D" w:rsidP="000D624D">
      <w:pPr>
        <w:pStyle w:val="SingleTxt"/>
      </w:pPr>
      <w:r w:rsidRPr="000D624D">
        <w:t>6.</w:t>
      </w:r>
      <w:r w:rsidRPr="000D624D">
        <w:tab/>
        <w:t>Комитет по вопросам безопасности отметил, что новые документы о прис</w:t>
      </w:r>
      <w:r w:rsidRPr="000D624D">
        <w:t>о</w:t>
      </w:r>
      <w:r w:rsidRPr="000D624D">
        <w:t>единении не сдавались на хранение и что, следовательно, число Договарива</w:t>
      </w:r>
      <w:r w:rsidRPr="000D624D">
        <w:t>ю</w:t>
      </w:r>
      <w:r w:rsidRPr="000D624D">
        <w:t>щихся сторон по-прежнему составляет 18.</w:t>
      </w:r>
    </w:p>
    <w:p w:rsidR="000D624D" w:rsidRPr="00ED2FBE" w:rsidRDefault="000D624D" w:rsidP="00ED2FBE">
      <w:pPr>
        <w:pStyle w:val="SingleTxt"/>
        <w:spacing w:after="0" w:line="120" w:lineRule="exact"/>
        <w:rPr>
          <w:sz w:val="10"/>
        </w:rPr>
      </w:pPr>
    </w:p>
    <w:p w:rsidR="00ED2FBE" w:rsidRPr="00ED2FBE" w:rsidRDefault="00ED2FBE" w:rsidP="00ED2FBE">
      <w:pPr>
        <w:pStyle w:val="SingleTxt"/>
        <w:spacing w:after="0" w:line="120" w:lineRule="exact"/>
        <w:rPr>
          <w:sz w:val="10"/>
        </w:rPr>
      </w:pPr>
    </w:p>
    <w:p w:rsidR="000D624D" w:rsidRPr="000D624D" w:rsidRDefault="00ED2FBE" w:rsidP="00ED2F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91979">
        <w:tab/>
      </w:r>
      <w:r w:rsidR="000D624D" w:rsidRPr="000D624D">
        <w:t>B.</w:t>
      </w:r>
      <w:r w:rsidR="000D624D" w:rsidRPr="000D624D">
        <w:tab/>
        <w:t>Специальные разрешения, отступления и эквивалентные аналоги</w:t>
      </w:r>
    </w:p>
    <w:p w:rsidR="000D624D" w:rsidRPr="00ED2FBE" w:rsidRDefault="000D624D" w:rsidP="00ED2FBE">
      <w:pPr>
        <w:pStyle w:val="SingleTxt"/>
        <w:spacing w:after="0" w:line="120" w:lineRule="exact"/>
        <w:rPr>
          <w:sz w:val="10"/>
        </w:rPr>
      </w:pPr>
    </w:p>
    <w:p w:rsidR="00ED2FBE" w:rsidRPr="00ED2FBE" w:rsidRDefault="00ED2FBE" w:rsidP="00ED2FBE">
      <w:pPr>
        <w:pStyle w:val="SingleTxt"/>
        <w:spacing w:after="0" w:line="120" w:lineRule="exact"/>
        <w:rPr>
          <w:sz w:val="10"/>
        </w:rPr>
      </w:pPr>
    </w:p>
    <w:p w:rsidR="000D624D" w:rsidRPr="000D624D" w:rsidRDefault="00ED2FBE" w:rsidP="00ED2F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91979">
        <w:tab/>
      </w:r>
      <w:r w:rsidR="000D624D" w:rsidRPr="000D624D">
        <w:t>1.</w:t>
      </w:r>
      <w:r w:rsidR="000D624D" w:rsidRPr="000D624D">
        <w:tab/>
        <w:t>Многосторонние соглашения</w:t>
      </w:r>
    </w:p>
    <w:p w:rsidR="000D624D" w:rsidRPr="00ED2FBE" w:rsidRDefault="000D624D" w:rsidP="00ED2FBE">
      <w:pPr>
        <w:pStyle w:val="SingleTxt"/>
        <w:spacing w:after="0" w:line="120" w:lineRule="exact"/>
        <w:rPr>
          <w:sz w:val="10"/>
        </w:rPr>
      </w:pPr>
    </w:p>
    <w:p w:rsidR="000D624D" w:rsidRPr="000D624D" w:rsidRDefault="000D624D" w:rsidP="000D624D">
      <w:pPr>
        <w:pStyle w:val="SingleTxt"/>
      </w:pPr>
      <w:r w:rsidRPr="000D624D">
        <w:t>7.</w:t>
      </w:r>
      <w:r w:rsidRPr="000D624D">
        <w:tab/>
        <w:t>Комитет по вопросам безопасности отметил, что со времени предыдущей сессии вступили в силу три многосторонних соглашения (М013, M014 и M015). Некоторые делегации поинтересовались, намеревается ли Бельгия подписать с</w:t>
      </w:r>
      <w:r w:rsidRPr="000D624D">
        <w:t>о</w:t>
      </w:r>
      <w:r w:rsidRPr="000D624D">
        <w:t>глашения M014 и M015, которые касаются подтверждения достаточной остойч</w:t>
      </w:r>
      <w:r w:rsidRPr="000D624D">
        <w:t>и</w:t>
      </w:r>
      <w:r w:rsidRPr="000D624D">
        <w:t>вости неповрежденного судна и, по их мнению, имеют большое значение для рейнского флота. Представитель Бельгии сообщил, что в Бельгии компетенция в вопросах ВОПОГ была недавно делегирована регионам. В настоящее время ос</w:t>
      </w:r>
      <w:r w:rsidRPr="000D624D">
        <w:t>у</w:t>
      </w:r>
      <w:r w:rsidRPr="000D624D">
        <w:t>ществляется внутренняя процедура подписания многосторонних соглашений тремя регионами от имени Бельгии. Ожидается, что</w:t>
      </w:r>
      <w:r w:rsidR="00ED2FBE">
        <w:t xml:space="preserve"> </w:t>
      </w:r>
      <w:r w:rsidRPr="000D624D">
        <w:t>подписание указанных мн</w:t>
      </w:r>
      <w:r w:rsidRPr="000D624D">
        <w:t>о</w:t>
      </w:r>
      <w:r w:rsidRPr="000D624D">
        <w:t>госторонних соглашений</w:t>
      </w:r>
      <w:r w:rsidR="00ED2FBE">
        <w:t xml:space="preserve"> </w:t>
      </w:r>
      <w:r w:rsidRPr="000D624D">
        <w:t>состоится в сентябре 2015 года. Участникам напомнили, что в соответствии с разделом 1.8.4 Правил, прилагаемых к ВОПОГ, каждая Д</w:t>
      </w:r>
      <w:r w:rsidRPr="000D624D">
        <w:t>о</w:t>
      </w:r>
      <w:r w:rsidRPr="000D624D">
        <w:t>говаривающаяся сторона должна сообщить секретариату ЕЭК ООН перечень о</w:t>
      </w:r>
      <w:r w:rsidRPr="000D624D">
        <w:t>р</w:t>
      </w:r>
      <w:r w:rsidRPr="000D624D">
        <w:lastRenderedPageBreak/>
        <w:t>ганов и назначенных ими организаций, обладающих компетенцией, в соотве</w:t>
      </w:r>
      <w:r w:rsidRPr="000D624D">
        <w:t>т</w:t>
      </w:r>
      <w:r w:rsidRPr="000D624D">
        <w:t>ствии с внутригосударственным правом, в вопросах применения ВОПОГ.</w:t>
      </w:r>
    </w:p>
    <w:p w:rsidR="000D624D" w:rsidRPr="000D1237" w:rsidRDefault="000D624D" w:rsidP="000D1237">
      <w:pPr>
        <w:pStyle w:val="SingleTxt"/>
        <w:spacing w:after="0" w:line="120" w:lineRule="exact"/>
        <w:rPr>
          <w:sz w:val="10"/>
        </w:rPr>
      </w:pPr>
    </w:p>
    <w:p w:rsidR="000D624D" w:rsidRPr="000D624D" w:rsidRDefault="000D1237" w:rsidP="000D12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2.</w:t>
      </w:r>
      <w:r w:rsidR="000D624D" w:rsidRPr="000D624D">
        <w:tab/>
        <w:t>Использование СПГ в качестве топлива для танкера «</w:t>
      </w:r>
      <w:proofErr w:type="spellStart"/>
      <w:r w:rsidR="000D624D" w:rsidRPr="000D624D">
        <w:t>Argos</w:t>
      </w:r>
      <w:proofErr w:type="spellEnd"/>
      <w:r w:rsidR="000D624D" w:rsidRPr="000D624D">
        <w:t>-GL»</w:t>
      </w:r>
    </w:p>
    <w:p w:rsidR="000D624D" w:rsidRPr="000D1237" w:rsidRDefault="000D624D" w:rsidP="000D1237">
      <w:pPr>
        <w:pStyle w:val="SingleTxt"/>
        <w:spacing w:after="0" w:line="120" w:lineRule="exact"/>
        <w:rPr>
          <w:b/>
          <w:bCs/>
          <w:sz w:val="10"/>
        </w:rPr>
      </w:pPr>
    </w:p>
    <w:p w:rsidR="000D624D" w:rsidRPr="000D624D" w:rsidRDefault="000D624D" w:rsidP="00634B60">
      <w:pPr>
        <w:pStyle w:val="SingleTxt"/>
      </w:pPr>
      <w:r w:rsidRPr="000D624D">
        <w:rPr>
          <w:i/>
          <w:iCs/>
        </w:rPr>
        <w:t>Неофициальный документ</w:t>
      </w:r>
      <w:r w:rsidRPr="000D624D">
        <w:t xml:space="preserve">: </w:t>
      </w:r>
      <w:r w:rsidRPr="000D624D">
        <w:tab/>
        <w:t>INF.4 (Нидерланды)</w:t>
      </w:r>
    </w:p>
    <w:p w:rsidR="000D624D" w:rsidRPr="000D624D" w:rsidRDefault="000D624D" w:rsidP="000D624D">
      <w:pPr>
        <w:pStyle w:val="SingleTxt"/>
      </w:pPr>
      <w:r w:rsidRPr="000D624D">
        <w:t>8.</w:t>
      </w:r>
      <w:r w:rsidRPr="000D624D">
        <w:tab/>
        <w:t>Комитет по вопросам безопасности рекомендовал Административному к</w:t>
      </w:r>
      <w:r w:rsidRPr="000D624D">
        <w:t>о</w:t>
      </w:r>
      <w:r w:rsidRPr="000D624D">
        <w:t>митету принять решение о предоставлении отступления для танкера «</w:t>
      </w:r>
      <w:proofErr w:type="spellStart"/>
      <w:r w:rsidRPr="000D624D">
        <w:t>Argos</w:t>
      </w:r>
      <w:proofErr w:type="spellEnd"/>
      <w:r w:rsidRPr="000D624D">
        <w:t>-GL», как оно изложено в приложении 1 к неофициальному документу INF.4.</w:t>
      </w:r>
    </w:p>
    <w:p w:rsidR="000D624D" w:rsidRPr="000D1237" w:rsidRDefault="000D624D" w:rsidP="000D1237">
      <w:pPr>
        <w:pStyle w:val="SingleTxt"/>
        <w:spacing w:after="0" w:line="120" w:lineRule="exact"/>
        <w:rPr>
          <w:sz w:val="10"/>
        </w:rPr>
      </w:pPr>
    </w:p>
    <w:p w:rsidR="000D624D" w:rsidRPr="000D624D" w:rsidRDefault="000D1237" w:rsidP="000D12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3.</w:t>
      </w:r>
      <w:r w:rsidR="000D624D" w:rsidRPr="000D624D">
        <w:tab/>
        <w:t>Использование мембранных танко</w:t>
      </w:r>
      <w:r w:rsidR="00DC0C54">
        <w:t>в для перевозки СПГ на танкере</w:t>
      </w:r>
      <w:r w:rsidR="00DC0C54">
        <w:br/>
      </w:r>
      <w:r>
        <w:t>«</w:t>
      </w:r>
      <w:proofErr w:type="spellStart"/>
      <w:r>
        <w:t>Argos</w:t>
      </w:r>
      <w:proofErr w:type="spellEnd"/>
      <w:r>
        <w:t>-GL»</w:t>
      </w:r>
    </w:p>
    <w:p w:rsidR="000D624D" w:rsidRPr="000D1237" w:rsidRDefault="000D624D" w:rsidP="000D1237">
      <w:pPr>
        <w:pStyle w:val="SingleTxt"/>
        <w:spacing w:after="0" w:line="120" w:lineRule="exact"/>
        <w:rPr>
          <w:b/>
          <w:bCs/>
          <w:sz w:val="10"/>
        </w:rPr>
      </w:pPr>
    </w:p>
    <w:p w:rsidR="000D624D" w:rsidRPr="000D624D" w:rsidRDefault="000D624D" w:rsidP="00634B60">
      <w:pPr>
        <w:pStyle w:val="SingleTxt"/>
      </w:pPr>
      <w:r w:rsidRPr="000D624D">
        <w:rPr>
          <w:i/>
          <w:iCs/>
        </w:rPr>
        <w:t>Неофициальные документы</w:t>
      </w:r>
      <w:r w:rsidR="000D1237">
        <w:t>:</w:t>
      </w:r>
      <w:r w:rsidR="000D1237">
        <w:tab/>
      </w:r>
      <w:r w:rsidRPr="000D624D">
        <w:t>INF.6 и INF.6/Rev.1 (Нидерланды)</w:t>
      </w:r>
    </w:p>
    <w:p w:rsidR="000D624D" w:rsidRPr="000D624D" w:rsidRDefault="000D624D" w:rsidP="000D624D">
      <w:pPr>
        <w:pStyle w:val="SingleTxt"/>
      </w:pPr>
      <w:r w:rsidRPr="000D624D">
        <w:t>9.</w:t>
      </w:r>
      <w:r w:rsidRPr="000D624D">
        <w:tab/>
        <w:t xml:space="preserve">Данная заявка на предоставление отступления вызвала продолжительное обсуждение. Некоторые делегации сочли, что она является неполной, поскольку, с одной стороны, в этой заявке четко не указано, касается ли она судна типа </w:t>
      </w:r>
      <w:r w:rsidRPr="000D624D">
        <w:rPr>
          <w:lang w:val="en-US"/>
        </w:rPr>
        <w:t>G</w:t>
      </w:r>
      <w:r w:rsidRPr="000D624D">
        <w:t xml:space="preserve"> или судна типа </w:t>
      </w:r>
      <w:r w:rsidRPr="000D624D">
        <w:rPr>
          <w:lang w:val="en-US"/>
        </w:rPr>
        <w:t>C</w:t>
      </w:r>
      <w:r w:rsidRPr="000D624D">
        <w:t>, и, с другой стороны, в ней не упоминаются меры, обеспечив</w:t>
      </w:r>
      <w:r w:rsidRPr="000D624D">
        <w:t>а</w:t>
      </w:r>
      <w:r w:rsidRPr="000D624D">
        <w:t>ющие эквивалентность с точки зрения безопасности. Другие делегации подде</w:t>
      </w:r>
      <w:r w:rsidRPr="000D624D">
        <w:t>р</w:t>
      </w:r>
      <w:r w:rsidRPr="000D624D">
        <w:t>жали данную заявку на предоставление отступления, так как технология ме</w:t>
      </w:r>
      <w:r w:rsidRPr="000D624D">
        <w:t>м</w:t>
      </w:r>
      <w:r w:rsidRPr="000D624D">
        <w:t xml:space="preserve">бранных танков хорошо зарекомендовала себя в плане безопасности за многие годы использования на морском транспорте и при перевозке </w:t>
      </w:r>
      <w:proofErr w:type="gramStart"/>
      <w:r w:rsidRPr="000D624D">
        <w:t>гораздо больших</w:t>
      </w:r>
      <w:proofErr w:type="gramEnd"/>
      <w:r w:rsidRPr="000D624D">
        <w:t xml:space="preserve"> объемов грузов.</w:t>
      </w:r>
    </w:p>
    <w:p w:rsidR="000D624D" w:rsidRPr="000D624D" w:rsidRDefault="000D624D" w:rsidP="000D624D">
      <w:pPr>
        <w:pStyle w:val="SingleTxt"/>
      </w:pPr>
      <w:r w:rsidRPr="000D624D">
        <w:t>10.</w:t>
      </w:r>
      <w:r w:rsidRPr="000D624D">
        <w:tab/>
        <w:t>В итоге представитель Нидерландов, учитывая высказанные замечания, подготовил пересмотренную заявку на предоставление отступления (</w:t>
      </w:r>
      <w:r w:rsidRPr="000D624D">
        <w:rPr>
          <w:lang w:val="en-US"/>
        </w:rPr>
        <w:t>INF</w:t>
      </w:r>
      <w:r w:rsidRPr="000D624D">
        <w:t>.6/</w:t>
      </w:r>
      <w:r w:rsidRPr="000D624D">
        <w:rPr>
          <w:lang w:val="en-US"/>
        </w:rPr>
        <w:t>Rev</w:t>
      </w:r>
      <w:r w:rsidRPr="000D624D">
        <w:t>.1), которая была принята консенсусом с некоторыми исправлениями редакционного характера. Комитет по вопросам безопасности рекомендовал Административн</w:t>
      </w:r>
      <w:r w:rsidRPr="000D624D">
        <w:t>о</w:t>
      </w:r>
      <w:r w:rsidRPr="000D624D">
        <w:t>му комитету принять данное отступление.</w:t>
      </w:r>
    </w:p>
    <w:p w:rsidR="000D624D" w:rsidRPr="000D624D" w:rsidRDefault="000D624D" w:rsidP="000D624D">
      <w:pPr>
        <w:pStyle w:val="SingleTxt"/>
      </w:pPr>
      <w:r w:rsidRPr="000D624D">
        <w:t>11.</w:t>
      </w:r>
      <w:r w:rsidRPr="000D624D">
        <w:tab/>
        <w:t xml:space="preserve">Было подчеркнуто, что приложение 2 к документу </w:t>
      </w:r>
      <w:r w:rsidRPr="000D624D">
        <w:rPr>
          <w:lang w:val="en-US"/>
        </w:rPr>
        <w:t>INF</w:t>
      </w:r>
      <w:r w:rsidRPr="000D624D">
        <w:t>.6 является составной частью данного отступления</w:t>
      </w:r>
      <w:r w:rsidR="000D1237">
        <w:t>, однако на стр. 26/27 доклада «</w:t>
      </w:r>
      <w:proofErr w:type="spellStart"/>
      <w:r w:rsidR="000D1237">
        <w:t>Damen</w:t>
      </w:r>
      <w:proofErr w:type="spellEnd"/>
      <w:r w:rsidR="000D1237">
        <w:t>»</w:t>
      </w:r>
      <w:r w:rsidRPr="000D624D">
        <w:t>, в расчете на этапе 13 допущена ошибка, которую</w:t>
      </w:r>
      <w:r w:rsidR="000D1237">
        <w:t xml:space="preserve"> необходимо исправить (заменить «</w:t>
      </w:r>
      <w:r w:rsidRPr="000D624D">
        <w:t>760 м</w:t>
      </w:r>
      <w:r w:rsidRPr="000D624D">
        <w:rPr>
          <w:vertAlign w:val="superscript"/>
        </w:rPr>
        <w:t>3</w:t>
      </w:r>
      <w:r w:rsidR="000D1237">
        <w:t>» на «</w:t>
      </w:r>
      <w:r w:rsidRPr="000D624D">
        <w:t>935 м</w:t>
      </w:r>
      <w:r w:rsidRPr="000D624D">
        <w:rPr>
          <w:vertAlign w:val="superscript"/>
        </w:rPr>
        <w:t>3</w:t>
      </w:r>
      <w:r w:rsidR="000D1237">
        <w:t>»</w:t>
      </w:r>
      <w:r w:rsidRPr="000D624D">
        <w:t>).</w:t>
      </w:r>
    </w:p>
    <w:p w:rsidR="000D624D" w:rsidRPr="000D624D" w:rsidRDefault="000D624D" w:rsidP="000D624D">
      <w:pPr>
        <w:pStyle w:val="SingleTxt"/>
      </w:pPr>
      <w:r w:rsidRPr="000D624D">
        <w:t>12.</w:t>
      </w:r>
      <w:r w:rsidRPr="000D624D">
        <w:tab/>
        <w:t>Представитель Нидерландов указал, что условия предусматривают, что су</w:t>
      </w:r>
      <w:r w:rsidRPr="000D624D">
        <w:t>д</w:t>
      </w:r>
      <w:r w:rsidRPr="000D624D">
        <w:t>но должно эксплуатирова</w:t>
      </w:r>
      <w:r w:rsidR="000D1237">
        <w:t>ться только в районе Амстердама–Роттердама–</w:t>
      </w:r>
      <w:r w:rsidRPr="000D624D">
        <w:t>Антверпена, однако он, возможно, обратится с просьбой расширить в будущем этот район.</w:t>
      </w:r>
    </w:p>
    <w:p w:rsidR="000D624D" w:rsidRPr="000D1237" w:rsidRDefault="000D624D" w:rsidP="000D1237">
      <w:pPr>
        <w:pStyle w:val="SingleTxt"/>
        <w:spacing w:after="0" w:line="120" w:lineRule="exact"/>
        <w:rPr>
          <w:sz w:val="10"/>
        </w:rPr>
      </w:pPr>
    </w:p>
    <w:p w:rsidR="000D1237" w:rsidRPr="000D1237" w:rsidRDefault="000D1237" w:rsidP="000D1237">
      <w:pPr>
        <w:pStyle w:val="SingleTxt"/>
        <w:spacing w:after="0" w:line="120" w:lineRule="exact"/>
        <w:rPr>
          <w:sz w:val="10"/>
        </w:rPr>
      </w:pPr>
    </w:p>
    <w:p w:rsidR="000D624D" w:rsidRPr="000D624D" w:rsidRDefault="000D1237" w:rsidP="000D12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rPr>
          <w:lang w:val="en-US"/>
        </w:rPr>
        <w:t>C</w:t>
      </w:r>
      <w:r>
        <w:t>.</w:t>
      </w:r>
      <w:r w:rsidR="000D624D" w:rsidRPr="000D624D">
        <w:tab/>
        <w:t>Толкование Правил, прилагаемых к ВОПОГ</w:t>
      </w:r>
    </w:p>
    <w:p w:rsidR="000D624D" w:rsidRPr="000D1237" w:rsidRDefault="000D624D" w:rsidP="000D1237">
      <w:pPr>
        <w:pStyle w:val="SingleTxt"/>
        <w:spacing w:after="0" w:line="120" w:lineRule="exact"/>
        <w:rPr>
          <w:sz w:val="10"/>
        </w:rPr>
      </w:pPr>
    </w:p>
    <w:p w:rsidR="000D1237" w:rsidRPr="000D1237" w:rsidRDefault="000D1237" w:rsidP="000D1237">
      <w:pPr>
        <w:pStyle w:val="SingleTxt"/>
        <w:spacing w:after="0" w:line="120" w:lineRule="exact"/>
        <w:rPr>
          <w:sz w:val="10"/>
        </w:rPr>
      </w:pPr>
    </w:p>
    <w:p w:rsidR="000D624D" w:rsidRPr="000D624D" w:rsidRDefault="000D1237" w:rsidP="000D12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1.</w:t>
      </w:r>
      <w:r w:rsidR="000D624D" w:rsidRPr="000D624D">
        <w:tab/>
        <w:t xml:space="preserve">Обязанности ответственного за наполнение и разгрузчика, пункты 1.4.3.3 </w:t>
      </w:r>
      <w:r w:rsidR="000D624D" w:rsidRPr="000D624D">
        <w:rPr>
          <w:lang w:val="en-US"/>
        </w:rPr>
        <w:t>g</w:t>
      </w:r>
      <w:r>
        <w:t>) и </w:t>
      </w:r>
      <w:r w:rsidR="000D624D" w:rsidRPr="000D624D">
        <w:t xml:space="preserve">1.4.3.7.1 </w:t>
      </w:r>
      <w:r w:rsidR="000D624D" w:rsidRPr="000D624D">
        <w:rPr>
          <w:lang w:val="en-US"/>
        </w:rPr>
        <w:t>j</w:t>
      </w:r>
      <w:r w:rsidR="000D624D" w:rsidRPr="000D624D">
        <w:t>)</w:t>
      </w:r>
    </w:p>
    <w:p w:rsidR="000D624D" w:rsidRPr="000D1237" w:rsidRDefault="000D624D" w:rsidP="000D1237">
      <w:pPr>
        <w:pStyle w:val="SingleTxt"/>
        <w:spacing w:after="0" w:line="120" w:lineRule="exact"/>
        <w:rPr>
          <w:sz w:val="10"/>
        </w:rPr>
      </w:pPr>
    </w:p>
    <w:p w:rsidR="000D624D" w:rsidRPr="000D624D" w:rsidRDefault="000D624D" w:rsidP="00634B60">
      <w:pPr>
        <w:pStyle w:val="SingleTxt"/>
      </w:pPr>
      <w:r w:rsidRPr="000D624D">
        <w:rPr>
          <w:i/>
          <w:iCs/>
        </w:rPr>
        <w:t>Документ</w:t>
      </w:r>
      <w:r w:rsidRPr="000D624D">
        <w:t xml:space="preserve">: </w:t>
      </w:r>
      <w:r w:rsidRPr="000D624D">
        <w:tab/>
      </w:r>
      <w:r w:rsidRPr="000D624D">
        <w:tab/>
      </w:r>
      <w:r w:rsidR="000D1237">
        <w:tab/>
      </w:r>
      <w:r w:rsidR="000D1237">
        <w:tab/>
      </w:r>
      <w:r w:rsidRPr="000D624D">
        <w:rPr>
          <w:lang w:val="en-US"/>
        </w:rPr>
        <w:t>ECE</w:t>
      </w:r>
      <w:r w:rsidRPr="000D624D">
        <w:t>/</w:t>
      </w:r>
      <w:r w:rsidRPr="000D624D">
        <w:rPr>
          <w:lang w:val="en-US"/>
        </w:rPr>
        <w:t>TRANS</w:t>
      </w:r>
      <w:r w:rsidRPr="000D624D">
        <w:t>/</w:t>
      </w:r>
      <w:r w:rsidRPr="000D624D">
        <w:rPr>
          <w:lang w:val="en-US"/>
        </w:rPr>
        <w:t>WP</w:t>
      </w:r>
      <w:r w:rsidRPr="000D624D">
        <w:t>.15/</w:t>
      </w:r>
      <w:r w:rsidRPr="000D624D">
        <w:rPr>
          <w:lang w:val="en-US"/>
        </w:rPr>
        <w:t>AC</w:t>
      </w:r>
      <w:r w:rsidRPr="000D624D">
        <w:t>.2/2015/11 (Германия)</w:t>
      </w:r>
    </w:p>
    <w:p w:rsidR="000D624D" w:rsidRPr="000D624D" w:rsidRDefault="000D624D" w:rsidP="000D624D">
      <w:pPr>
        <w:pStyle w:val="SingleTxt"/>
      </w:pPr>
      <w:r w:rsidRPr="000D624D">
        <w:rPr>
          <w:i/>
          <w:iCs/>
        </w:rPr>
        <w:t>Неофициальный документ</w:t>
      </w:r>
      <w:r w:rsidRPr="000D624D">
        <w:t>:</w:t>
      </w:r>
      <w:r w:rsidRPr="000D624D">
        <w:tab/>
      </w:r>
      <w:r w:rsidRPr="000D624D">
        <w:rPr>
          <w:lang w:val="en-US"/>
        </w:rPr>
        <w:t>INF</w:t>
      </w:r>
      <w:r w:rsidRPr="000D624D">
        <w:t>.10 (Германия)</w:t>
      </w:r>
    </w:p>
    <w:p w:rsidR="000D624D" w:rsidRPr="000D624D" w:rsidRDefault="000D624D" w:rsidP="000D624D">
      <w:pPr>
        <w:pStyle w:val="SingleTxt"/>
      </w:pPr>
      <w:r w:rsidRPr="000D624D">
        <w:t>13.</w:t>
      </w:r>
      <w:r w:rsidRPr="000D624D">
        <w:tab/>
        <w:t>Комитет по вопросам безопасности признал, что разделы, включающие п</w:t>
      </w:r>
      <w:r w:rsidRPr="000D624D">
        <w:t>о</w:t>
      </w:r>
      <w:r w:rsidRPr="000D624D">
        <w:t>ложения об обязанностях ответственного за наполнение и разгрузчика танкера, содержат ряд несоответствий, которые должны быть рассмотрены на следующей сессии в официальном документе.</w:t>
      </w:r>
    </w:p>
    <w:p w:rsidR="000D624D" w:rsidRPr="000D624D" w:rsidRDefault="000D624D" w:rsidP="000D624D">
      <w:pPr>
        <w:pStyle w:val="SingleTxt"/>
      </w:pPr>
      <w:r w:rsidRPr="000D624D">
        <w:t>14.</w:t>
      </w:r>
      <w:r w:rsidRPr="000D624D">
        <w:tab/>
        <w:t xml:space="preserve">Германия подготовит предложение по поправке, включая сопутствующие изменения, на основе неофициального документа </w:t>
      </w:r>
      <w:r w:rsidRPr="000D624D">
        <w:rPr>
          <w:lang w:val="en-US"/>
        </w:rPr>
        <w:t>INF</w:t>
      </w:r>
      <w:r w:rsidRPr="000D624D">
        <w:t>.10.</w:t>
      </w:r>
    </w:p>
    <w:p w:rsidR="000D1237" w:rsidRPr="000D1237" w:rsidRDefault="000D1237" w:rsidP="000D1237">
      <w:pPr>
        <w:pStyle w:val="SingleTxt"/>
        <w:spacing w:after="0" w:line="120" w:lineRule="exact"/>
        <w:rPr>
          <w:sz w:val="10"/>
        </w:rPr>
      </w:pPr>
    </w:p>
    <w:p w:rsidR="000D624D" w:rsidRPr="000D624D" w:rsidRDefault="000D1237" w:rsidP="000D12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0D624D" w:rsidRPr="000D624D">
        <w:t>2.</w:t>
      </w:r>
      <w:r w:rsidR="000D624D" w:rsidRPr="000D624D">
        <w:tab/>
        <w:t>Технические требования к индикатора</w:t>
      </w:r>
      <w:r>
        <w:t>м легковоспламеняющихся газов и </w:t>
      </w:r>
      <w:proofErr w:type="spellStart"/>
      <w:r>
        <w:t>токсиметрам</w:t>
      </w:r>
      <w:proofErr w:type="spellEnd"/>
      <w:r>
        <w:t xml:space="preserve">, </w:t>
      </w:r>
      <w:r w:rsidR="000D624D" w:rsidRPr="000D624D">
        <w:t>раздел 1.2.1</w:t>
      </w:r>
    </w:p>
    <w:p w:rsidR="000D624D" w:rsidRPr="000D1237" w:rsidRDefault="000D624D" w:rsidP="000D1237">
      <w:pPr>
        <w:pStyle w:val="SingleTxt"/>
        <w:spacing w:after="0" w:line="120" w:lineRule="exact"/>
        <w:rPr>
          <w:sz w:val="10"/>
        </w:rPr>
      </w:pPr>
    </w:p>
    <w:p w:rsidR="000D624D" w:rsidRPr="000D624D" w:rsidRDefault="000D624D" w:rsidP="00634B60">
      <w:pPr>
        <w:pStyle w:val="SingleTxt"/>
      </w:pPr>
      <w:r w:rsidRPr="000D624D">
        <w:rPr>
          <w:i/>
          <w:iCs/>
        </w:rPr>
        <w:t>Документ</w:t>
      </w:r>
      <w:r w:rsidR="000D1237">
        <w:t xml:space="preserve">: </w:t>
      </w:r>
      <w:r w:rsidR="000D1237">
        <w:tab/>
      </w:r>
      <w:r w:rsidR="00634B60">
        <w:tab/>
      </w:r>
      <w:r w:rsidR="00634B60">
        <w:tab/>
      </w:r>
      <w:r w:rsidR="00634B60">
        <w:tab/>
      </w:r>
      <w:r w:rsidRPr="000D624D">
        <w:rPr>
          <w:lang w:val="en-US"/>
        </w:rPr>
        <w:t>ECE</w:t>
      </w:r>
      <w:r w:rsidRPr="000D624D">
        <w:t>/</w:t>
      </w:r>
      <w:r w:rsidRPr="000D624D">
        <w:rPr>
          <w:lang w:val="en-US"/>
        </w:rPr>
        <w:t>TRANS</w:t>
      </w:r>
      <w:r w:rsidRPr="000D624D">
        <w:t>/</w:t>
      </w:r>
      <w:r w:rsidRPr="000D624D">
        <w:rPr>
          <w:lang w:val="en-US"/>
        </w:rPr>
        <w:t>WP</w:t>
      </w:r>
      <w:r w:rsidRPr="000D624D">
        <w:t>.15/</w:t>
      </w:r>
      <w:r w:rsidRPr="000D624D">
        <w:rPr>
          <w:lang w:val="en-US"/>
        </w:rPr>
        <w:t>AC</w:t>
      </w:r>
      <w:r w:rsidRPr="000D624D">
        <w:t>.2/2015/13 (Германия)</w:t>
      </w:r>
    </w:p>
    <w:p w:rsidR="000D624D" w:rsidRPr="000D624D" w:rsidRDefault="000D624D" w:rsidP="000D624D">
      <w:pPr>
        <w:pStyle w:val="SingleTxt"/>
      </w:pPr>
      <w:r w:rsidRPr="000D624D">
        <w:t>15.</w:t>
      </w:r>
      <w:r w:rsidRPr="000D624D">
        <w:tab/>
        <w:t>Комитет по вопросам безопасности счел целесообразным использовать уже имеющиеся стандарты, в том числе применяемые для морского транспорта, на которые могут быть включены ссылки. В дальнейшем можно было бы обсудить вопрос о том, должны ли эти стандарты быть обязательными для переносных приборов. Неофициальной рабочей группе по защите против взрывов на танк</w:t>
      </w:r>
      <w:r w:rsidRPr="000D624D">
        <w:t>е</w:t>
      </w:r>
      <w:r w:rsidRPr="000D624D">
        <w:t xml:space="preserve">рах было предложено изучить этот вопрос, определить применимые стандарты и оценить последствия включения ссылок на указанные стандарты. </w:t>
      </w:r>
    </w:p>
    <w:p w:rsidR="000D624D" w:rsidRPr="000D1237" w:rsidRDefault="000D624D" w:rsidP="000D1237">
      <w:pPr>
        <w:pStyle w:val="SingleTxt"/>
        <w:spacing w:after="0" w:line="120" w:lineRule="exact"/>
        <w:rPr>
          <w:b/>
          <w:bCs/>
          <w:sz w:val="10"/>
        </w:rPr>
      </w:pPr>
    </w:p>
    <w:p w:rsidR="000D624D" w:rsidRPr="000D624D" w:rsidRDefault="000D1237" w:rsidP="000D12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3.</w:t>
      </w:r>
      <w:r w:rsidR="000D624D" w:rsidRPr="000D624D">
        <w:tab/>
        <w:t>Национальное толкование в Нидерландах</w:t>
      </w:r>
    </w:p>
    <w:p w:rsidR="000D624D" w:rsidRPr="000D1237" w:rsidRDefault="000D624D" w:rsidP="000D1237">
      <w:pPr>
        <w:pStyle w:val="SingleTxt"/>
        <w:spacing w:after="0" w:line="120" w:lineRule="exact"/>
        <w:rPr>
          <w:sz w:val="10"/>
        </w:rPr>
      </w:pPr>
    </w:p>
    <w:p w:rsidR="000D624D" w:rsidRPr="000D624D" w:rsidRDefault="000D624D" w:rsidP="000D1237">
      <w:pPr>
        <w:pStyle w:val="SingleTxt"/>
        <w:ind w:left="2693" w:hanging="1426"/>
        <w:jc w:val="left"/>
      </w:pPr>
      <w:r w:rsidRPr="000D624D">
        <w:rPr>
          <w:i/>
          <w:iCs/>
        </w:rPr>
        <w:t>Документы</w:t>
      </w:r>
      <w:r w:rsidRPr="000D624D">
        <w:t xml:space="preserve">: </w:t>
      </w:r>
      <w:r w:rsidRPr="000D624D">
        <w:tab/>
      </w:r>
      <w:r w:rsidR="00634B60">
        <w:tab/>
      </w:r>
      <w:r w:rsidR="00634B60">
        <w:tab/>
      </w:r>
      <w:r w:rsidR="00634B60">
        <w:tab/>
      </w:r>
      <w:r w:rsidRPr="000D624D">
        <w:rPr>
          <w:lang w:val="en-US"/>
        </w:rPr>
        <w:t>ECE</w:t>
      </w:r>
      <w:r w:rsidRPr="000D624D">
        <w:t>/</w:t>
      </w:r>
      <w:r w:rsidRPr="000D624D">
        <w:rPr>
          <w:lang w:val="en-US"/>
        </w:rPr>
        <w:t>TRANS</w:t>
      </w:r>
      <w:r w:rsidRPr="000D624D">
        <w:t>/</w:t>
      </w:r>
      <w:r w:rsidRPr="000D624D">
        <w:rPr>
          <w:lang w:val="en-US"/>
        </w:rPr>
        <w:t>WP</w:t>
      </w:r>
      <w:r w:rsidRPr="000D624D">
        <w:t>.15/</w:t>
      </w:r>
      <w:r w:rsidRPr="000D624D">
        <w:rPr>
          <w:lang w:val="en-US"/>
        </w:rPr>
        <w:t>AC</w:t>
      </w:r>
      <w:r w:rsidRPr="000D624D">
        <w:t>.2/2015/18 (Нидерланды)</w:t>
      </w:r>
      <w:r w:rsidR="000D1237">
        <w:br/>
      </w:r>
      <w:r w:rsidR="00634B60">
        <w:tab/>
      </w:r>
      <w:r w:rsidR="00634B60">
        <w:tab/>
      </w:r>
      <w:r w:rsidR="00634B60">
        <w:tab/>
      </w:r>
      <w:r w:rsidRPr="000D624D">
        <w:rPr>
          <w:lang w:val="en-US"/>
        </w:rPr>
        <w:t>ECE</w:t>
      </w:r>
      <w:r w:rsidRPr="000D624D">
        <w:t>/</w:t>
      </w:r>
      <w:r w:rsidRPr="000D624D">
        <w:rPr>
          <w:lang w:val="en-US"/>
        </w:rPr>
        <w:t>TRANS</w:t>
      </w:r>
      <w:r w:rsidRPr="000D624D">
        <w:t>/</w:t>
      </w:r>
      <w:r w:rsidRPr="000D624D">
        <w:rPr>
          <w:lang w:val="en-US"/>
        </w:rPr>
        <w:t>WP</w:t>
      </w:r>
      <w:r w:rsidRPr="000D624D">
        <w:t>.15/</w:t>
      </w:r>
      <w:r w:rsidRPr="000D624D">
        <w:rPr>
          <w:lang w:val="en-US"/>
        </w:rPr>
        <w:t>AC</w:t>
      </w:r>
      <w:r w:rsidRPr="000D624D">
        <w:t>.2/2015/32 (Германия)</w:t>
      </w:r>
    </w:p>
    <w:p w:rsidR="000D624D" w:rsidRPr="000D624D" w:rsidRDefault="000D624D" w:rsidP="000D624D">
      <w:pPr>
        <w:pStyle w:val="SingleTxt"/>
      </w:pPr>
      <w:r w:rsidRPr="000D624D">
        <w:t>16.</w:t>
      </w:r>
      <w:r w:rsidRPr="000D624D">
        <w:tab/>
        <w:t>Комитет по вопросам безопасности принял толкование Нидерландов в о</w:t>
      </w:r>
      <w:r w:rsidRPr="000D624D">
        <w:t>т</w:t>
      </w:r>
      <w:r w:rsidRPr="000D624D">
        <w:t>ношении пункта 7.2.4.25.5 (</w:t>
      </w:r>
      <w:proofErr w:type="spellStart"/>
      <w:r w:rsidRPr="000D624D">
        <w:t>газовозвратные</w:t>
      </w:r>
      <w:proofErr w:type="spellEnd"/>
      <w:r w:rsidRPr="000D624D">
        <w:t xml:space="preserve"> трубопроводы). Было также отмечено, что процесс дегазации должен распространяться одновременно на трубопроводы и береговые сооружения. Данное толкование не применимо в случае судов, им</w:t>
      </w:r>
      <w:r w:rsidRPr="000D624D">
        <w:t>е</w:t>
      </w:r>
      <w:r w:rsidRPr="000D624D">
        <w:t>ющих свидетельство о дегазации, или судов открытого типа.</w:t>
      </w:r>
    </w:p>
    <w:p w:rsidR="000D624D" w:rsidRPr="000D624D" w:rsidRDefault="000D624D" w:rsidP="000D624D">
      <w:pPr>
        <w:pStyle w:val="SingleTxt"/>
      </w:pPr>
      <w:r w:rsidRPr="000D624D">
        <w:t>17.</w:t>
      </w:r>
      <w:r w:rsidRPr="000D624D">
        <w:tab/>
        <w:t>Комитет по вопросам безопасности счел, что данное толкование в принципе должно быть отражено в тексте Правил путем внесения поправок. С этой целью представители Франции и Нидерландов представят предложение именно для данного конкретного случая.</w:t>
      </w:r>
    </w:p>
    <w:p w:rsidR="000D624D" w:rsidRPr="000D624D" w:rsidRDefault="000D624D" w:rsidP="000D624D">
      <w:pPr>
        <w:pStyle w:val="SingleTxt"/>
      </w:pPr>
      <w:r w:rsidRPr="000D624D">
        <w:t>18.</w:t>
      </w:r>
      <w:r w:rsidRPr="000D624D">
        <w:tab/>
        <w:t>Кроме того, было принято толкование относительно наблюдения за погр</w:t>
      </w:r>
      <w:r w:rsidRPr="000D624D">
        <w:t>у</w:t>
      </w:r>
      <w:r w:rsidRPr="000D624D">
        <w:t>зочно-разгрузочными операциями (раздел 8.6.3, вопрос 10), однако Комитет по вопросам безопасности счел, что в этом случае нет необходимости вносить п</w:t>
      </w:r>
      <w:r w:rsidRPr="000D624D">
        <w:t>о</w:t>
      </w:r>
      <w:r w:rsidRPr="000D624D">
        <w:t>правки в те</w:t>
      </w:r>
      <w:proofErr w:type="gramStart"/>
      <w:r w:rsidRPr="000D624D">
        <w:t>кст Пр</w:t>
      </w:r>
      <w:proofErr w:type="gramEnd"/>
      <w:r w:rsidRPr="000D624D">
        <w:t xml:space="preserve">авил. Предложенная Германией поправка к подразделу 1.4.3.3 в отношении наблюдения была принята (см. приложение </w:t>
      </w:r>
      <w:r w:rsidRPr="000D624D">
        <w:rPr>
          <w:lang w:val="en-US"/>
        </w:rPr>
        <w:t>I</w:t>
      </w:r>
      <w:r w:rsidRPr="000D624D">
        <w:t>).</w:t>
      </w:r>
    </w:p>
    <w:p w:rsidR="000D624D" w:rsidRPr="000D624D" w:rsidRDefault="000D624D" w:rsidP="000D624D">
      <w:pPr>
        <w:pStyle w:val="SingleTxt"/>
      </w:pPr>
      <w:r w:rsidRPr="000D624D">
        <w:t>19.</w:t>
      </w:r>
      <w:r w:rsidRPr="000D624D">
        <w:tab/>
        <w:t>Толкование Нидерландов в отношении вакуумных клапанов и клапанов п</w:t>
      </w:r>
      <w:r w:rsidRPr="000D624D">
        <w:t>о</w:t>
      </w:r>
      <w:r w:rsidRPr="000D624D">
        <w:t>вышенного давления не было принято Комитетом по вопросам безопасности. Нидерланды исключат это национальное толкование и представят предложение о поправках к соответствующим действующим текстам на следующей сессии.</w:t>
      </w:r>
    </w:p>
    <w:p w:rsidR="000D624D" w:rsidRPr="002B1065" w:rsidRDefault="000D624D" w:rsidP="002B1065">
      <w:pPr>
        <w:pStyle w:val="SingleTxt"/>
        <w:spacing w:after="0" w:line="120" w:lineRule="exact"/>
        <w:rPr>
          <w:sz w:val="10"/>
        </w:rPr>
      </w:pPr>
    </w:p>
    <w:p w:rsidR="000D624D" w:rsidRPr="000D624D" w:rsidRDefault="002B1065" w:rsidP="002B10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4.</w:t>
      </w:r>
      <w:r w:rsidR="000D624D" w:rsidRPr="000D624D">
        <w:tab/>
        <w:t xml:space="preserve">Коффердамы на танкерах типа </w:t>
      </w:r>
      <w:r w:rsidR="000D624D" w:rsidRPr="000D624D">
        <w:rPr>
          <w:lang w:val="en-US"/>
        </w:rPr>
        <w:t>G</w:t>
      </w:r>
    </w:p>
    <w:p w:rsidR="000D624D" w:rsidRPr="002B1065" w:rsidRDefault="000D624D" w:rsidP="002B1065">
      <w:pPr>
        <w:pStyle w:val="SingleTxt"/>
        <w:spacing w:after="0" w:line="120" w:lineRule="exact"/>
        <w:rPr>
          <w:sz w:val="10"/>
        </w:rPr>
      </w:pPr>
    </w:p>
    <w:p w:rsidR="000D624D" w:rsidRPr="000D624D" w:rsidRDefault="000D624D" w:rsidP="00634B60">
      <w:pPr>
        <w:pStyle w:val="SingleTxt"/>
        <w:ind w:left="4133" w:hanging="2866"/>
        <w:jc w:val="left"/>
      </w:pPr>
      <w:r w:rsidRPr="000D624D">
        <w:rPr>
          <w:i/>
          <w:iCs/>
        </w:rPr>
        <w:t>Документ</w:t>
      </w:r>
      <w:r w:rsidR="002B1065">
        <w:t xml:space="preserve">: </w:t>
      </w:r>
      <w:r w:rsidR="002B1065">
        <w:tab/>
      </w:r>
      <w:r w:rsidR="00634B60">
        <w:tab/>
      </w:r>
      <w:r w:rsidR="00634B60">
        <w:tab/>
      </w:r>
      <w:r w:rsidR="00634B60">
        <w:tab/>
      </w:r>
      <w:r w:rsidRPr="000D624D">
        <w:rPr>
          <w:lang w:val="en-US"/>
        </w:rPr>
        <w:t>ECE</w:t>
      </w:r>
      <w:r w:rsidRPr="000D624D">
        <w:t>/</w:t>
      </w:r>
      <w:r w:rsidRPr="000D624D">
        <w:rPr>
          <w:lang w:val="en-US"/>
        </w:rPr>
        <w:t>TRANS</w:t>
      </w:r>
      <w:r w:rsidRPr="000D624D">
        <w:t>/</w:t>
      </w:r>
      <w:r w:rsidRPr="000D624D">
        <w:rPr>
          <w:lang w:val="en-US"/>
        </w:rPr>
        <w:t>WP</w:t>
      </w:r>
      <w:r w:rsidRPr="000D624D">
        <w:t>.15/</w:t>
      </w:r>
      <w:r w:rsidRPr="000D624D">
        <w:rPr>
          <w:lang w:val="en-US"/>
        </w:rPr>
        <w:t>AC</w:t>
      </w:r>
      <w:r w:rsidR="00634B60">
        <w:t>.2/2015/</w:t>
      </w:r>
      <w:proofErr w:type="gramStart"/>
      <w:r w:rsidR="00634B60">
        <w:t>27</w:t>
      </w:r>
      <w:proofErr w:type="gramEnd"/>
      <w:r w:rsidR="00634B60">
        <w:br/>
      </w:r>
      <w:r w:rsidR="002B1065">
        <w:t>(Рекомендован</w:t>
      </w:r>
      <w:r w:rsidR="00634B60">
        <w:t xml:space="preserve">ные </w:t>
      </w:r>
      <w:r w:rsidRPr="000D624D">
        <w:t>классифика</w:t>
      </w:r>
      <w:r w:rsidR="002B1065">
        <w:t xml:space="preserve">ционные общества </w:t>
      </w:r>
      <w:r w:rsidRPr="000D624D">
        <w:t>ВОПОГ)</w:t>
      </w:r>
    </w:p>
    <w:p w:rsidR="000D624D" w:rsidRPr="000D624D" w:rsidRDefault="000D624D" w:rsidP="000D624D">
      <w:pPr>
        <w:pStyle w:val="SingleTxt"/>
      </w:pPr>
      <w:r w:rsidRPr="000D624D">
        <w:t>20.</w:t>
      </w:r>
      <w:r w:rsidRPr="000D624D">
        <w:tab/>
        <w:t xml:space="preserve">Комитет по вопросам безопасности счел, что толкование, не учитывающее предписания в отношении переборок с изоляцией класса А-60 на судах типа </w:t>
      </w:r>
      <w:r w:rsidRPr="000D624D">
        <w:rPr>
          <w:lang w:val="en-US"/>
        </w:rPr>
        <w:t>G</w:t>
      </w:r>
      <w:r w:rsidRPr="000D624D">
        <w:t>, является неприемлемым. Поскольку коффердамы обеспечивают противопожа</w:t>
      </w:r>
      <w:r w:rsidRPr="000D624D">
        <w:t>р</w:t>
      </w:r>
      <w:r w:rsidRPr="000D624D">
        <w:t xml:space="preserve">ную защиту, Рекомендованным классификационным обществам ВОПОГ было предложено представить предложение о поправках, которые, возможно, позволят установить эквивалентность коффердамов и переборок с изоляцией класса А-60 на судах типа </w:t>
      </w:r>
      <w:r w:rsidRPr="000D624D">
        <w:rPr>
          <w:lang w:val="en-US"/>
        </w:rPr>
        <w:t>G</w:t>
      </w:r>
      <w:r w:rsidRPr="000D624D">
        <w:t>.</w:t>
      </w:r>
    </w:p>
    <w:p w:rsidR="000D624D" w:rsidRPr="002B1065" w:rsidRDefault="000D624D" w:rsidP="002B1065">
      <w:pPr>
        <w:pStyle w:val="SingleTxt"/>
        <w:spacing w:after="0" w:line="120" w:lineRule="exact"/>
        <w:rPr>
          <w:sz w:val="10"/>
        </w:rPr>
      </w:pPr>
    </w:p>
    <w:p w:rsidR="000D624D" w:rsidRPr="000D624D" w:rsidRDefault="002B1065" w:rsidP="002B10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5.</w:t>
      </w:r>
      <w:r w:rsidR="000D624D" w:rsidRPr="000D624D">
        <w:tab/>
        <w:t>Толкование пункта 1.6.7.4.1</w:t>
      </w:r>
    </w:p>
    <w:p w:rsidR="000D624D" w:rsidRPr="002B1065" w:rsidRDefault="000D624D" w:rsidP="002B1065">
      <w:pPr>
        <w:pStyle w:val="SingleTxt"/>
        <w:spacing w:after="0" w:line="120" w:lineRule="exact"/>
        <w:rPr>
          <w:sz w:val="10"/>
        </w:rPr>
      </w:pPr>
    </w:p>
    <w:p w:rsidR="000D624D" w:rsidRPr="000D624D" w:rsidRDefault="000D624D" w:rsidP="000D624D">
      <w:pPr>
        <w:pStyle w:val="SingleTxt"/>
      </w:pPr>
      <w:r w:rsidRPr="000D624D">
        <w:rPr>
          <w:i/>
          <w:iCs/>
        </w:rPr>
        <w:t>Документ</w:t>
      </w:r>
      <w:r w:rsidR="002B1065">
        <w:t xml:space="preserve">: </w:t>
      </w:r>
      <w:r w:rsidR="002B1065">
        <w:tab/>
      </w:r>
      <w:r w:rsidR="00634B60">
        <w:tab/>
      </w:r>
      <w:r w:rsidR="00634B60">
        <w:tab/>
      </w:r>
      <w:r w:rsidR="00634B60">
        <w:tab/>
      </w:r>
      <w:r w:rsidRPr="000D624D">
        <w:rPr>
          <w:lang w:val="en-US"/>
        </w:rPr>
        <w:t>ECE</w:t>
      </w:r>
      <w:r w:rsidRPr="000D624D">
        <w:t>/</w:t>
      </w:r>
      <w:r w:rsidRPr="000D624D">
        <w:rPr>
          <w:lang w:val="en-US"/>
        </w:rPr>
        <w:t>TRANS</w:t>
      </w:r>
      <w:r w:rsidRPr="000D624D">
        <w:t>/</w:t>
      </w:r>
      <w:r w:rsidRPr="000D624D">
        <w:rPr>
          <w:lang w:val="en-US"/>
        </w:rPr>
        <w:t>WP</w:t>
      </w:r>
      <w:r w:rsidRPr="000D624D">
        <w:t>.15/</w:t>
      </w:r>
      <w:r w:rsidRPr="000D624D">
        <w:rPr>
          <w:lang w:val="en-US"/>
        </w:rPr>
        <w:t>AC</w:t>
      </w:r>
      <w:r w:rsidRPr="000D624D">
        <w:t>.2/2015/30 (Нидерланды)</w:t>
      </w:r>
    </w:p>
    <w:p w:rsidR="000D624D" w:rsidRPr="000D624D" w:rsidRDefault="000D624D" w:rsidP="000D624D">
      <w:pPr>
        <w:pStyle w:val="SingleTxt"/>
      </w:pPr>
      <w:r w:rsidRPr="000D624D">
        <w:t>21.</w:t>
      </w:r>
      <w:r w:rsidRPr="000D624D">
        <w:tab/>
        <w:t>Некоторые делегации выступили против толкования, предложенного Н</w:t>
      </w:r>
      <w:r w:rsidRPr="000D624D">
        <w:t>и</w:t>
      </w:r>
      <w:r w:rsidRPr="000D624D">
        <w:t xml:space="preserve">дерландами. В частности, они не поддержали аргументацию пункта 5, согласно </w:t>
      </w:r>
      <w:r w:rsidRPr="000D624D">
        <w:lastRenderedPageBreak/>
        <w:t>которому действие ВОПОГ не распространялось на тяжелое печное топливо до 1</w:t>
      </w:r>
      <w:r w:rsidR="002B1065">
        <w:t> </w:t>
      </w:r>
      <w:r w:rsidRPr="000D624D">
        <w:t>января 2013 года. Действительно, хотя тяжелое печное топливо по наименов</w:t>
      </w:r>
      <w:r w:rsidRPr="000D624D">
        <w:t>а</w:t>
      </w:r>
      <w:r w:rsidRPr="000D624D">
        <w:t>нию и не было указано в таблице</w:t>
      </w:r>
      <w:proofErr w:type="gramStart"/>
      <w:r w:rsidRPr="000D624D">
        <w:t xml:space="preserve"> С</w:t>
      </w:r>
      <w:proofErr w:type="gramEnd"/>
      <w:r w:rsidRPr="000D624D">
        <w:t xml:space="preserve">, в ней в </w:t>
      </w:r>
      <w:r w:rsidR="00191979">
        <w:t>качестве общей позиции име</w:t>
      </w:r>
      <w:r w:rsidR="00191979">
        <w:t>л</w:t>
      </w:r>
      <w:r w:rsidR="00191979">
        <w:t>ся </w:t>
      </w:r>
      <w:r w:rsidR="002B1065">
        <w:t>№ </w:t>
      </w:r>
      <w:r w:rsidRPr="000D624D">
        <w:t>ООН 3082. Таким образом, до 1 января 2013 года для классификации тяж</w:t>
      </w:r>
      <w:r w:rsidRPr="000D624D">
        <w:t>е</w:t>
      </w:r>
      <w:r w:rsidRPr="000D624D">
        <w:t>лого печного топлива обосновано было п</w:t>
      </w:r>
      <w:r w:rsidR="00A011DF">
        <w:t>рименять схему принятия реш</w:t>
      </w:r>
      <w:r w:rsidR="00A011DF">
        <w:t>е</w:t>
      </w:r>
      <w:r w:rsidR="00A011DF">
        <w:t>ния </w:t>
      </w:r>
      <w:r w:rsidRPr="000D624D">
        <w:t>3.2.3.3.</w:t>
      </w:r>
    </w:p>
    <w:p w:rsidR="000D624D" w:rsidRPr="002B1065" w:rsidRDefault="000D624D" w:rsidP="002B1065">
      <w:pPr>
        <w:pStyle w:val="SingleTxt"/>
        <w:spacing w:after="0" w:line="120" w:lineRule="exact"/>
        <w:rPr>
          <w:sz w:val="10"/>
        </w:rPr>
      </w:pPr>
    </w:p>
    <w:p w:rsidR="000D624D" w:rsidRPr="000D624D" w:rsidRDefault="002B1065" w:rsidP="002B10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6.</w:t>
      </w:r>
      <w:r w:rsidR="000D624D" w:rsidRPr="000D624D">
        <w:tab/>
        <w:t>Программное обеспечение для расчета остойчивости</w:t>
      </w:r>
    </w:p>
    <w:p w:rsidR="000D624D" w:rsidRPr="002B1065" w:rsidRDefault="000D624D" w:rsidP="002B1065">
      <w:pPr>
        <w:pStyle w:val="SingleTxt"/>
        <w:spacing w:after="0" w:line="120" w:lineRule="exact"/>
        <w:rPr>
          <w:sz w:val="10"/>
        </w:rPr>
      </w:pPr>
    </w:p>
    <w:p w:rsidR="000D624D" w:rsidRPr="000D624D" w:rsidRDefault="000D624D" w:rsidP="00634B60">
      <w:pPr>
        <w:pStyle w:val="SingleTxt"/>
        <w:ind w:left="4133" w:hanging="2866"/>
        <w:jc w:val="left"/>
      </w:pPr>
      <w:r w:rsidRPr="000D624D">
        <w:rPr>
          <w:i/>
          <w:iCs/>
        </w:rPr>
        <w:t>Неофициальные документы</w:t>
      </w:r>
      <w:r w:rsidRPr="000D624D">
        <w:t>:</w:t>
      </w:r>
      <w:r w:rsidRPr="000D624D">
        <w:tab/>
      </w:r>
      <w:r w:rsidRPr="000D624D">
        <w:rPr>
          <w:lang w:val="en-US"/>
        </w:rPr>
        <w:t>INF</w:t>
      </w:r>
      <w:r w:rsidR="002B1065">
        <w:t>.18 и INF.18/Rev.1 (Рекомендованные</w:t>
      </w:r>
      <w:r w:rsidR="002B1065">
        <w:br/>
      </w:r>
      <w:r w:rsidRPr="000D624D">
        <w:t>класси</w:t>
      </w:r>
      <w:r w:rsidR="002B1065">
        <w:t xml:space="preserve">фикационные общества </w:t>
      </w:r>
      <w:r w:rsidRPr="000D624D">
        <w:t>ВОПОГ)</w:t>
      </w:r>
    </w:p>
    <w:p w:rsidR="000D624D" w:rsidRPr="000D624D" w:rsidRDefault="000D624D" w:rsidP="000D624D">
      <w:pPr>
        <w:pStyle w:val="SingleTxt"/>
      </w:pPr>
      <w:r w:rsidRPr="000D624D">
        <w:t>22.</w:t>
      </w:r>
      <w:r w:rsidRPr="000D624D">
        <w:tab/>
        <w:t>Комитет по вопросам безопасности одобрил предложенное в пункте 9 то</w:t>
      </w:r>
      <w:r w:rsidRPr="000D624D">
        <w:t>л</w:t>
      </w:r>
      <w:r w:rsidRPr="000D624D">
        <w:t>кование для двойных отводов ограниченного диаметра.</w:t>
      </w:r>
    </w:p>
    <w:p w:rsidR="000D624D" w:rsidRPr="000D624D" w:rsidRDefault="000D624D" w:rsidP="000D624D">
      <w:pPr>
        <w:pStyle w:val="SingleTxt"/>
      </w:pPr>
      <w:r w:rsidRPr="000D624D">
        <w:t>23.</w:t>
      </w:r>
      <w:r w:rsidRPr="000D624D">
        <w:tab/>
        <w:t>Комитет по вопросам безопасности одоб</w:t>
      </w:r>
      <w:r w:rsidR="00191979">
        <w:t>рил также предложенное в пун</w:t>
      </w:r>
      <w:r w:rsidR="00191979">
        <w:t>к</w:t>
      </w:r>
      <w:r w:rsidR="00191979">
        <w:t>те </w:t>
      </w:r>
      <w:r w:rsidRPr="000D624D">
        <w:t>22 толкование для автоматических закрывающих устройств с поплавком при условии, однако, что эти устройства должны подвергаться регулярной проверке каждые два с половиной года со стороны соответствующего классификационного общества. Он также внес поправки в пункт 25 в соответствии с неофициальным документом INF.18/Rev.1.</w:t>
      </w:r>
    </w:p>
    <w:p w:rsidR="000D624D" w:rsidRPr="002B1065" w:rsidRDefault="000D624D" w:rsidP="002B1065">
      <w:pPr>
        <w:pStyle w:val="SingleTxt"/>
        <w:spacing w:after="0" w:line="120" w:lineRule="exact"/>
        <w:rPr>
          <w:sz w:val="10"/>
        </w:rPr>
      </w:pPr>
    </w:p>
    <w:p w:rsidR="002B1065" w:rsidRPr="002B1065" w:rsidRDefault="002B1065" w:rsidP="002B1065">
      <w:pPr>
        <w:pStyle w:val="SingleTxt"/>
        <w:spacing w:after="0" w:line="120" w:lineRule="exact"/>
        <w:rPr>
          <w:sz w:val="10"/>
        </w:rPr>
      </w:pPr>
    </w:p>
    <w:p w:rsidR="000D624D" w:rsidRPr="000D624D" w:rsidRDefault="002B1065" w:rsidP="002B10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rsidR="000D624D" w:rsidRPr="000D624D">
        <w:tab/>
        <w:t>Подготовка экспертов</w:t>
      </w:r>
    </w:p>
    <w:p w:rsidR="000D624D" w:rsidRPr="002B1065" w:rsidRDefault="000D624D" w:rsidP="002B1065">
      <w:pPr>
        <w:pStyle w:val="SingleTxt"/>
        <w:spacing w:after="0" w:line="120" w:lineRule="exact"/>
        <w:rPr>
          <w:sz w:val="10"/>
        </w:rPr>
      </w:pPr>
    </w:p>
    <w:p w:rsidR="002B1065" w:rsidRPr="002B1065" w:rsidRDefault="002B1065" w:rsidP="002B1065">
      <w:pPr>
        <w:pStyle w:val="SingleTxt"/>
        <w:spacing w:after="0" w:line="120" w:lineRule="exact"/>
        <w:rPr>
          <w:sz w:val="10"/>
        </w:rPr>
      </w:pPr>
    </w:p>
    <w:p w:rsidR="000D624D" w:rsidRPr="000D624D" w:rsidRDefault="002B1065" w:rsidP="002B10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1.</w:t>
      </w:r>
      <w:r w:rsidR="000D624D" w:rsidRPr="000D624D">
        <w:tab/>
        <w:t>Доклад о работе четырнадцатого совещания неофициальной рабочей группы по подготовке экспертов</w:t>
      </w:r>
    </w:p>
    <w:p w:rsidR="000D624D" w:rsidRPr="002B1065" w:rsidRDefault="000D624D" w:rsidP="002B1065">
      <w:pPr>
        <w:pStyle w:val="SingleTxt"/>
        <w:spacing w:after="0" w:line="120" w:lineRule="exact"/>
        <w:rPr>
          <w:sz w:val="10"/>
        </w:rPr>
      </w:pPr>
    </w:p>
    <w:p w:rsidR="000D624D" w:rsidRPr="000D624D" w:rsidRDefault="000D624D" w:rsidP="00634B60">
      <w:pPr>
        <w:pStyle w:val="SingleTxt"/>
        <w:jc w:val="left"/>
      </w:pPr>
      <w:r w:rsidRPr="000D624D">
        <w:rPr>
          <w:i/>
          <w:iCs/>
        </w:rPr>
        <w:t>Документ</w:t>
      </w:r>
      <w:r w:rsidRPr="000D624D">
        <w:t xml:space="preserve">: </w:t>
      </w:r>
      <w:r w:rsidRPr="000D624D">
        <w:tab/>
      </w:r>
      <w:r w:rsidRPr="000D624D">
        <w:tab/>
      </w:r>
      <w:r w:rsidRPr="000D624D">
        <w:tab/>
      </w:r>
      <w:r w:rsidRPr="000D624D">
        <w:tab/>
        <w:t>ECE/TRANS/WP.15/AC.2/2015/31 (ЦКСР)</w:t>
      </w:r>
    </w:p>
    <w:p w:rsidR="000D624D" w:rsidRPr="000D624D" w:rsidRDefault="000D624D" w:rsidP="000D624D">
      <w:pPr>
        <w:pStyle w:val="SingleTxt"/>
      </w:pPr>
      <w:r w:rsidRPr="000D624D">
        <w:t>24.</w:t>
      </w:r>
      <w:r w:rsidRPr="000D624D">
        <w:tab/>
        <w:t>Комитет по вопросам безопасности с удовлетворением принял к сведению доклад неофициальной рабочей группы и сообщение о ходе ее работы.</w:t>
      </w:r>
    </w:p>
    <w:p w:rsidR="000D624D" w:rsidRPr="000D624D" w:rsidRDefault="000D624D" w:rsidP="000D624D">
      <w:pPr>
        <w:pStyle w:val="SingleTxt"/>
      </w:pPr>
      <w:r w:rsidRPr="000D624D">
        <w:t>25.</w:t>
      </w:r>
      <w:r w:rsidRPr="000D624D">
        <w:tab/>
        <w:t>Комитет по вопросам безопасности предложил различным делегациям пр</w:t>
      </w:r>
      <w:r w:rsidRPr="000D624D">
        <w:t>о</w:t>
      </w:r>
      <w:r w:rsidRPr="000D624D">
        <w:t>должать обмен информацией о своих критериях признания подготовки.</w:t>
      </w:r>
    </w:p>
    <w:p w:rsidR="000D624D" w:rsidRPr="000D624D" w:rsidRDefault="000D624D" w:rsidP="000D624D">
      <w:pPr>
        <w:pStyle w:val="SingleTxt"/>
      </w:pPr>
      <w:r w:rsidRPr="000D624D">
        <w:t>26.</w:t>
      </w:r>
      <w:r w:rsidRPr="000D624D">
        <w:tab/>
        <w:t>Необходимо продолжить обсуждение вопроса о форме свидетельства. Никто не высказался против введения свидетельства в формате кредитной карты, одн</w:t>
      </w:r>
      <w:r w:rsidRPr="000D624D">
        <w:t>а</w:t>
      </w:r>
      <w:r w:rsidRPr="000D624D">
        <w:t>ко некоторые делегации сочли, что в случае внутреннего судоходства опасность подделки меньше, чем в случае автомобильного транспорта, и высказались за то, чтобы и впредь разрешать выдачу свидетельств в их нынешней форме.</w:t>
      </w:r>
    </w:p>
    <w:p w:rsidR="000D624D" w:rsidRPr="000D624D" w:rsidRDefault="000D624D" w:rsidP="000D624D">
      <w:pPr>
        <w:pStyle w:val="SingleTxt"/>
      </w:pPr>
      <w:r w:rsidRPr="000D624D">
        <w:t>27.</w:t>
      </w:r>
      <w:r w:rsidRPr="000D624D">
        <w:tab/>
        <w:t>Комитет по вопросам безопасности одобрил содержащийся в пункте 31 в</w:t>
      </w:r>
      <w:r w:rsidRPr="000D624D">
        <w:t>ы</w:t>
      </w:r>
      <w:r w:rsidRPr="000D624D">
        <w:t>вод о том, что подготовка, проведенная в государстве – Договаривающейся ст</w:t>
      </w:r>
      <w:r w:rsidRPr="000D624D">
        <w:t>о</w:t>
      </w:r>
      <w:r w:rsidRPr="000D624D">
        <w:t>роне ВОПОГ, не являющемся государством проведения экзамена, должна пр</w:t>
      </w:r>
      <w:r w:rsidRPr="000D624D">
        <w:t>и</w:t>
      </w:r>
      <w:r w:rsidRPr="000D624D">
        <w:t>знаваться последним государством.</w:t>
      </w:r>
    </w:p>
    <w:p w:rsidR="000D624D" w:rsidRPr="000D624D" w:rsidRDefault="000D624D" w:rsidP="000D624D">
      <w:pPr>
        <w:pStyle w:val="SingleTxt"/>
      </w:pPr>
      <w:r w:rsidRPr="000D624D">
        <w:t>28.</w:t>
      </w:r>
      <w:r w:rsidRPr="000D624D">
        <w:tab/>
        <w:t>Другие упомянутые в этом докладе вопросы при необходимости станут предметом дальнейших обсуждений в рамках группы.</w:t>
      </w:r>
    </w:p>
    <w:p w:rsidR="000D624D" w:rsidRPr="002B1065" w:rsidRDefault="000D624D" w:rsidP="002B1065">
      <w:pPr>
        <w:pStyle w:val="SingleTxt"/>
        <w:spacing w:after="0" w:line="120" w:lineRule="exact"/>
        <w:rPr>
          <w:sz w:val="10"/>
        </w:rPr>
      </w:pPr>
    </w:p>
    <w:p w:rsidR="000D624D" w:rsidRPr="000D624D" w:rsidRDefault="002B1065" w:rsidP="002B10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2.</w:t>
      </w:r>
      <w:r w:rsidR="000D624D" w:rsidRPr="000D624D">
        <w:tab/>
        <w:t>Программа работы неофициальной рабочей группы по подготовке экспертов</w:t>
      </w:r>
    </w:p>
    <w:p w:rsidR="000D624D" w:rsidRPr="002B1065" w:rsidRDefault="000D624D" w:rsidP="002B1065">
      <w:pPr>
        <w:pStyle w:val="SingleTxt"/>
        <w:spacing w:after="0" w:line="120" w:lineRule="exact"/>
        <w:rPr>
          <w:b/>
          <w:bCs/>
          <w:sz w:val="10"/>
        </w:rPr>
      </w:pPr>
    </w:p>
    <w:p w:rsidR="000D624D" w:rsidRPr="000D624D" w:rsidRDefault="000D624D" w:rsidP="00634B60">
      <w:pPr>
        <w:pStyle w:val="SingleTxt"/>
      </w:pPr>
      <w:r w:rsidRPr="000D624D">
        <w:rPr>
          <w:i/>
          <w:iCs/>
        </w:rPr>
        <w:t>Документ</w:t>
      </w:r>
      <w:r w:rsidRPr="000D624D">
        <w:t xml:space="preserve">: </w:t>
      </w:r>
      <w:r w:rsidRPr="000D624D">
        <w:tab/>
      </w:r>
      <w:r w:rsidRPr="000D624D">
        <w:tab/>
      </w:r>
      <w:r w:rsidR="002B1065">
        <w:tab/>
      </w:r>
      <w:r w:rsidR="002B1065">
        <w:tab/>
      </w:r>
      <w:r w:rsidRPr="000D624D">
        <w:t>ECE/TRANS/WP.15/AC.2/2015/9 (ЦКСР)</w:t>
      </w:r>
    </w:p>
    <w:p w:rsidR="000D624D" w:rsidRPr="000D624D" w:rsidRDefault="000D624D" w:rsidP="000D624D">
      <w:pPr>
        <w:pStyle w:val="SingleTxt"/>
      </w:pPr>
      <w:r w:rsidRPr="000D624D">
        <w:t>29.</w:t>
      </w:r>
      <w:r w:rsidRPr="000D624D">
        <w:tab/>
        <w:t>Комитет по вопросам безопасности утвердил программу работы неофиц</w:t>
      </w:r>
      <w:r w:rsidRPr="000D624D">
        <w:t>и</w:t>
      </w:r>
      <w:r w:rsidRPr="000D624D">
        <w:t>альной рабочей группы по подготовке экспертов.</w:t>
      </w:r>
    </w:p>
    <w:p w:rsidR="000D624D" w:rsidRPr="000D624D" w:rsidRDefault="000D624D" w:rsidP="000D624D">
      <w:pPr>
        <w:pStyle w:val="SingleTxt"/>
      </w:pPr>
      <w:r w:rsidRPr="000D624D">
        <w:t>30.</w:t>
      </w:r>
      <w:r w:rsidRPr="000D624D">
        <w:tab/>
        <w:t>Комитет по вопросам безопасности отметил, что следующая сессия группы состоится в Страсбурге 14 и 15 марта 2016 года.</w:t>
      </w:r>
    </w:p>
    <w:p w:rsidR="000D624D" w:rsidRPr="002B1065" w:rsidRDefault="000D624D" w:rsidP="002B1065">
      <w:pPr>
        <w:pStyle w:val="SingleTxt"/>
        <w:spacing w:after="0" w:line="120" w:lineRule="exact"/>
        <w:rPr>
          <w:sz w:val="10"/>
        </w:rPr>
      </w:pPr>
    </w:p>
    <w:p w:rsidR="000D624D" w:rsidRPr="000D624D" w:rsidRDefault="002B1065" w:rsidP="002B10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0D624D" w:rsidRPr="000D624D">
        <w:t>3.</w:t>
      </w:r>
      <w:r w:rsidR="000D624D" w:rsidRPr="000D624D">
        <w:tab/>
        <w:t>Статистические данные о результатах экзаменов</w:t>
      </w:r>
    </w:p>
    <w:p w:rsidR="000D624D" w:rsidRPr="002B1065" w:rsidRDefault="000D624D" w:rsidP="002B1065">
      <w:pPr>
        <w:pStyle w:val="SingleTxt"/>
        <w:keepNext/>
        <w:keepLines/>
        <w:spacing w:after="0" w:line="120" w:lineRule="exact"/>
        <w:rPr>
          <w:sz w:val="10"/>
        </w:rPr>
      </w:pPr>
    </w:p>
    <w:p w:rsidR="000D624D" w:rsidRPr="000D624D" w:rsidRDefault="000D624D" w:rsidP="00634B60">
      <w:pPr>
        <w:pStyle w:val="SingleTxt"/>
        <w:keepNext/>
        <w:keepLines/>
        <w:ind w:left="4133" w:hanging="2866"/>
        <w:jc w:val="left"/>
      </w:pPr>
      <w:r w:rsidRPr="000D624D">
        <w:rPr>
          <w:i/>
          <w:iCs/>
        </w:rPr>
        <w:t>Неофициальные документы</w:t>
      </w:r>
      <w:r w:rsidRPr="000D624D">
        <w:t>:</w:t>
      </w:r>
      <w:r w:rsidRPr="000D624D">
        <w:tab/>
        <w:t>INF.2 (Болгария)</w:t>
      </w:r>
      <w:r w:rsidR="002B1065">
        <w:br/>
      </w:r>
      <w:r w:rsidRPr="000D624D">
        <w:t>INF.5 (Нидерланды)</w:t>
      </w:r>
      <w:r w:rsidR="002B1065">
        <w:br/>
      </w:r>
      <w:r w:rsidRPr="000D624D">
        <w:t>INF.15 (Бельгия)</w:t>
      </w:r>
      <w:r w:rsidR="002B1065">
        <w:br/>
      </w:r>
      <w:r w:rsidRPr="000D624D">
        <w:t>INF.16 (Франция)</w:t>
      </w:r>
    </w:p>
    <w:p w:rsidR="000D624D" w:rsidRPr="000D624D" w:rsidRDefault="000D624D" w:rsidP="000D624D">
      <w:pPr>
        <w:pStyle w:val="SingleTxt"/>
      </w:pPr>
      <w:r w:rsidRPr="000D624D">
        <w:t>31.</w:t>
      </w:r>
      <w:r w:rsidRPr="000D624D">
        <w:tab/>
        <w:t>Комитет по вопросам безопасности с интересом отметил представленную информацию и просил делегации продолжать направлять информацию, каса</w:t>
      </w:r>
      <w:r w:rsidRPr="000D624D">
        <w:t>ю</w:t>
      </w:r>
      <w:r w:rsidRPr="000D624D">
        <w:t>щуюся статистических данных о результатах экзаменов.</w:t>
      </w:r>
    </w:p>
    <w:p w:rsidR="000D624D" w:rsidRPr="002B1065" w:rsidRDefault="000D624D" w:rsidP="002B1065">
      <w:pPr>
        <w:pStyle w:val="SingleTxt"/>
        <w:spacing w:after="0" w:line="120" w:lineRule="exact"/>
        <w:rPr>
          <w:sz w:val="10"/>
        </w:rPr>
      </w:pPr>
    </w:p>
    <w:p w:rsidR="002B1065" w:rsidRPr="002B1065" w:rsidRDefault="002B1065" w:rsidP="002B1065">
      <w:pPr>
        <w:pStyle w:val="SingleTxt"/>
        <w:spacing w:after="0" w:line="120" w:lineRule="exact"/>
        <w:rPr>
          <w:sz w:val="10"/>
        </w:rPr>
      </w:pPr>
    </w:p>
    <w:p w:rsidR="000D624D" w:rsidRPr="000D624D" w:rsidRDefault="002B1065" w:rsidP="002B10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rsidR="000D624D" w:rsidRPr="000D624D">
        <w:tab/>
        <w:t>Вопросы, касающиеся классификационных обществ</w:t>
      </w:r>
    </w:p>
    <w:p w:rsidR="000D624D" w:rsidRPr="002B1065" w:rsidRDefault="000D624D" w:rsidP="002B1065">
      <w:pPr>
        <w:pStyle w:val="SingleTxt"/>
        <w:spacing w:after="0" w:line="120" w:lineRule="exact"/>
        <w:rPr>
          <w:sz w:val="10"/>
        </w:rPr>
      </w:pPr>
    </w:p>
    <w:p w:rsidR="002B1065" w:rsidRPr="002B1065" w:rsidRDefault="002B1065" w:rsidP="002B1065">
      <w:pPr>
        <w:pStyle w:val="SingleTxt"/>
        <w:spacing w:after="0" w:line="120" w:lineRule="exact"/>
        <w:rPr>
          <w:sz w:val="10"/>
        </w:rPr>
      </w:pPr>
    </w:p>
    <w:p w:rsidR="000D624D" w:rsidRPr="000D624D" w:rsidRDefault="002B1065" w:rsidP="002B10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1.</w:t>
      </w:r>
      <w:r w:rsidR="000D624D" w:rsidRPr="000D624D">
        <w:tab/>
        <w:t>Доклад о девятом совещании Рекомендованных классификационных обществ ВОПОГ</w:t>
      </w:r>
    </w:p>
    <w:p w:rsidR="000D624D" w:rsidRPr="00EF2FBA" w:rsidRDefault="000D624D" w:rsidP="00EF2FBA">
      <w:pPr>
        <w:pStyle w:val="SingleTxt"/>
        <w:spacing w:after="0" w:line="120" w:lineRule="exact"/>
        <w:rPr>
          <w:sz w:val="10"/>
        </w:rPr>
      </w:pPr>
    </w:p>
    <w:p w:rsidR="000D624D" w:rsidRPr="000D624D" w:rsidRDefault="000D624D" w:rsidP="00EF2FBA">
      <w:pPr>
        <w:pStyle w:val="SingleTxt"/>
        <w:ind w:left="4133" w:hanging="2866"/>
        <w:jc w:val="left"/>
      </w:pPr>
      <w:r w:rsidRPr="000D624D">
        <w:rPr>
          <w:i/>
          <w:iCs/>
        </w:rPr>
        <w:t>Неофициальный документ</w:t>
      </w:r>
      <w:r w:rsidRPr="000D624D">
        <w:t>:</w:t>
      </w:r>
      <w:r w:rsidRPr="000D624D">
        <w:tab/>
        <w:t>INF.3 (Ре</w:t>
      </w:r>
      <w:r w:rsidR="00EF2FBA">
        <w:t>комендованные классификационные</w:t>
      </w:r>
      <w:r w:rsidR="00EF2FBA">
        <w:br/>
      </w:r>
      <w:r w:rsidRPr="000D624D">
        <w:t>общества ВОПОГ)</w:t>
      </w:r>
    </w:p>
    <w:p w:rsidR="000D624D" w:rsidRPr="000D624D" w:rsidRDefault="000D624D" w:rsidP="000D624D">
      <w:pPr>
        <w:pStyle w:val="SingleTxt"/>
      </w:pPr>
      <w:r w:rsidRPr="000D624D">
        <w:t>32.</w:t>
      </w:r>
      <w:r w:rsidRPr="000D624D">
        <w:tab/>
        <w:t>Комитет по вопросам безопасности принял к сведению доклад и предложил классификационным обществам как можно скорее завершить их работу по пун</w:t>
      </w:r>
      <w:r w:rsidRPr="000D624D">
        <w:t>к</w:t>
      </w:r>
      <w:r w:rsidRPr="000D624D">
        <w:t>там 2. (1) и 2. (2) доклада. Вопросы, требующие решения Комитетом, были пре</w:t>
      </w:r>
      <w:r w:rsidRPr="000D624D">
        <w:t>д</w:t>
      </w:r>
      <w:r w:rsidRPr="000D624D">
        <w:t>ставлены в отдельных документах.</w:t>
      </w:r>
    </w:p>
    <w:p w:rsidR="000D624D" w:rsidRPr="00EF2FBA" w:rsidRDefault="000D624D" w:rsidP="00EF2FBA">
      <w:pPr>
        <w:pStyle w:val="SingleTxt"/>
        <w:spacing w:after="0" w:line="120" w:lineRule="exact"/>
        <w:rPr>
          <w:b/>
          <w:bCs/>
          <w:sz w:val="10"/>
        </w:rPr>
      </w:pPr>
    </w:p>
    <w:p w:rsidR="000D624D" w:rsidRPr="000D624D" w:rsidRDefault="007B0C2B" w:rsidP="007B0C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2.</w:t>
      </w:r>
      <w:r w:rsidR="000D624D" w:rsidRPr="000D624D">
        <w:tab/>
        <w:t>Сертификация в соответствии со стандартом EN/ISO/IEC 17020:2012</w:t>
      </w:r>
    </w:p>
    <w:p w:rsidR="000D624D" w:rsidRPr="00EF2FBA" w:rsidRDefault="000D624D" w:rsidP="00EF2FBA">
      <w:pPr>
        <w:pStyle w:val="SingleTxt"/>
        <w:spacing w:after="0" w:line="120" w:lineRule="exact"/>
        <w:rPr>
          <w:b/>
          <w:bCs/>
          <w:sz w:val="10"/>
        </w:rPr>
      </w:pPr>
    </w:p>
    <w:p w:rsidR="000D624D" w:rsidRPr="000D624D" w:rsidRDefault="000D624D" w:rsidP="00634B60">
      <w:pPr>
        <w:pStyle w:val="SingleTxt"/>
        <w:ind w:left="4133" w:hanging="2866"/>
        <w:jc w:val="left"/>
      </w:pPr>
      <w:r w:rsidRPr="000D624D">
        <w:rPr>
          <w:i/>
          <w:iCs/>
        </w:rPr>
        <w:t>Неофициальные документы</w:t>
      </w:r>
      <w:r w:rsidRPr="000D624D">
        <w:t>:</w:t>
      </w:r>
      <w:r w:rsidRPr="000D624D">
        <w:tab/>
        <w:t>INF.7 (Ре</w:t>
      </w:r>
      <w:r w:rsidR="00EF2FBA">
        <w:t>комендованные классификационные</w:t>
      </w:r>
      <w:r w:rsidR="00EF2FBA">
        <w:br/>
      </w:r>
      <w:r w:rsidRPr="000D624D">
        <w:t>общества ВОПОГ)</w:t>
      </w:r>
      <w:r w:rsidR="00EF2FBA">
        <w:br/>
      </w:r>
      <w:r w:rsidRPr="000D624D">
        <w:t>INF.21 (Российский морской регистр судоходства)</w:t>
      </w:r>
    </w:p>
    <w:p w:rsidR="000D624D" w:rsidRPr="000D624D" w:rsidRDefault="00EF2FBA" w:rsidP="000D624D">
      <w:pPr>
        <w:pStyle w:val="SingleTxt"/>
      </w:pPr>
      <w:r>
        <w:t>33.</w:t>
      </w:r>
      <w:r>
        <w:tab/>
      </w:r>
      <w:r w:rsidR="000D624D" w:rsidRPr="000D624D">
        <w:t>Комитет по вопросам безопасности рассмотрел документы, представлен</w:t>
      </w:r>
      <w:r>
        <w:t>ные Бюро «</w:t>
      </w:r>
      <w:proofErr w:type="spellStart"/>
      <w:r>
        <w:t>Веритас</w:t>
      </w:r>
      <w:proofErr w:type="spellEnd"/>
      <w:r>
        <w:t>»</w:t>
      </w:r>
      <w:r w:rsidR="000D624D" w:rsidRPr="000D624D">
        <w:t>, Регистром судоходства Ллойда, Российским морским регистром судоходства и Регистром судоходства Украины на предмет подтверждения своей сертификации в соответствии со стандартом EN ISO/IEC 17020:2012.</w:t>
      </w:r>
    </w:p>
    <w:p w:rsidR="000D624D" w:rsidRPr="000D624D" w:rsidRDefault="000D624D" w:rsidP="000D624D">
      <w:pPr>
        <w:pStyle w:val="SingleTxt"/>
      </w:pPr>
      <w:r w:rsidRPr="000D624D">
        <w:t>34.</w:t>
      </w:r>
      <w:r w:rsidRPr="000D624D">
        <w:tab/>
        <w:t>Эти документы стали предметом длительных дискуссий. Например, обсу</w:t>
      </w:r>
      <w:r w:rsidRPr="000D624D">
        <w:t>ж</w:t>
      </w:r>
      <w:r w:rsidRPr="000D624D">
        <w:t xml:space="preserve">дались следующие вопросы: могут ли быть приняты документы о сертификации, содержащие ссылку на программу сертификации системы менеджмента качества МАКО для морских судов. </w:t>
      </w:r>
      <w:proofErr w:type="gramStart"/>
      <w:r w:rsidRPr="000D624D">
        <w:t>В документе о сертификации Регистра судоходства Ллойда не указано, на основе какой версии стандарта EN/ISO/IEC 17020 он с</w:t>
      </w:r>
      <w:r w:rsidRPr="000D624D">
        <w:t>о</w:t>
      </w:r>
      <w:r w:rsidRPr="000D624D">
        <w:t>ставлен, причем этот документ не дает четкого представления о том, распростр</w:t>
      </w:r>
      <w:r w:rsidRPr="000D624D">
        <w:t>а</w:t>
      </w:r>
      <w:r w:rsidRPr="000D624D">
        <w:t xml:space="preserve">няется ли сертификация на данное классификационное общество в целом, в том числе на его зарубежные дочерние компании, осуществляющие деятельность в </w:t>
      </w:r>
      <w:r w:rsidR="00191979">
        <w:t>сфере ВОПОГ.</w:t>
      </w:r>
      <w:proofErr w:type="gramEnd"/>
      <w:r w:rsidR="00191979">
        <w:t xml:space="preserve"> Сертификация Бюро «</w:t>
      </w:r>
      <w:proofErr w:type="spellStart"/>
      <w:r w:rsidR="00191979">
        <w:t>Веритас</w:t>
      </w:r>
      <w:proofErr w:type="spellEnd"/>
      <w:r w:rsidR="00191979">
        <w:t>»</w:t>
      </w:r>
      <w:r w:rsidRPr="000D624D">
        <w:t xml:space="preserve"> распространяется только на его бельгийский филиал. В этой связи участникам также напомнили о том, что кла</w:t>
      </w:r>
      <w:r w:rsidRPr="000D624D">
        <w:t>с</w:t>
      </w:r>
      <w:r w:rsidRPr="000D624D">
        <w:t xml:space="preserve">сификационное общество должно иметь </w:t>
      </w:r>
      <w:proofErr w:type="gramStart"/>
      <w:r w:rsidRPr="000D624D">
        <w:t>экспертов</w:t>
      </w:r>
      <w:proofErr w:type="gramEnd"/>
      <w:r w:rsidRPr="000D624D">
        <w:t xml:space="preserve"> по крайней мере в двух стр</w:t>
      </w:r>
      <w:r w:rsidRPr="000D624D">
        <w:t>а</w:t>
      </w:r>
      <w:r w:rsidRPr="000D624D">
        <w:t>нах, являющихся Договаривающимися сторонами.</w:t>
      </w:r>
    </w:p>
    <w:p w:rsidR="000D624D" w:rsidRPr="000D624D" w:rsidRDefault="000D624D" w:rsidP="000D624D">
      <w:pPr>
        <w:pStyle w:val="SingleTxt"/>
      </w:pPr>
      <w:r w:rsidRPr="000D624D">
        <w:t>35.</w:t>
      </w:r>
      <w:r w:rsidRPr="000D624D">
        <w:tab/>
        <w:t>В заключение Комитет по вопросам безопасности обратился к соответств</w:t>
      </w:r>
      <w:r w:rsidRPr="000D624D">
        <w:t>у</w:t>
      </w:r>
      <w:r w:rsidRPr="000D624D">
        <w:t>ющим классификационным обществам с просьбой представить на следующей сессии новые сертификаты аккредитации или дополнительную информацию, а именно:</w:t>
      </w:r>
    </w:p>
    <w:p w:rsidR="000D624D" w:rsidRPr="000D624D" w:rsidRDefault="000D624D" w:rsidP="00EF2FBA">
      <w:pPr>
        <w:pStyle w:val="Bullet1"/>
      </w:pPr>
      <w:r w:rsidRPr="000D624D">
        <w:t>для бюро «</w:t>
      </w:r>
      <w:proofErr w:type="spellStart"/>
      <w:r w:rsidRPr="000D624D">
        <w:t>Веритас</w:t>
      </w:r>
      <w:proofErr w:type="spellEnd"/>
      <w:r w:rsidRPr="000D624D">
        <w:t>» – сертификат, действительный для всего классифик</w:t>
      </w:r>
      <w:r w:rsidRPr="000D624D">
        <w:t>а</w:t>
      </w:r>
      <w:r w:rsidRPr="000D624D">
        <w:t>ционного общества, а не только для его отделения в Бельгии;</w:t>
      </w:r>
    </w:p>
    <w:p w:rsidR="000D624D" w:rsidRPr="000D624D" w:rsidRDefault="000D624D" w:rsidP="00EF2FBA">
      <w:pPr>
        <w:pStyle w:val="Bullet1"/>
      </w:pPr>
      <w:r w:rsidRPr="000D624D">
        <w:t>для Регистра судоходства Ллойда – сертификат, в котором указана соотве</w:t>
      </w:r>
      <w:r w:rsidRPr="000D624D">
        <w:t>т</w:t>
      </w:r>
      <w:r w:rsidRPr="000D624D">
        <w:t xml:space="preserve">ствующая версия стандарта EN ISO/IEC 17020 и подтверждается, что он </w:t>
      </w:r>
      <w:r w:rsidRPr="000D624D">
        <w:lastRenderedPageBreak/>
        <w:t>распространяется на деятельность в области не только морского, но и вну</w:t>
      </w:r>
      <w:r w:rsidRPr="000D624D">
        <w:t>т</w:t>
      </w:r>
      <w:r w:rsidRPr="000D624D">
        <w:t>реннего судоходства;</w:t>
      </w:r>
    </w:p>
    <w:p w:rsidR="000D624D" w:rsidRPr="000D624D" w:rsidRDefault="000D624D" w:rsidP="00EF2FBA">
      <w:pPr>
        <w:pStyle w:val="Bullet1"/>
      </w:pPr>
      <w:r w:rsidRPr="000D624D">
        <w:t xml:space="preserve">для Российского морского регистра судоходства – сертификат, в котором указано, что он распространяется на деятельность в области внутреннего судоходства, и подтверждается, что SAI </w:t>
      </w:r>
      <w:proofErr w:type="spellStart"/>
      <w:r w:rsidRPr="000D624D">
        <w:t>Global</w:t>
      </w:r>
      <w:proofErr w:type="spellEnd"/>
      <w:r w:rsidRPr="000D624D">
        <w:t xml:space="preserve"> является органом по аккр</w:t>
      </w:r>
      <w:r w:rsidRPr="000D624D">
        <w:t>е</w:t>
      </w:r>
      <w:r w:rsidRPr="000D624D">
        <w:t>дитации, признанным правительством Российской Федерации.</w:t>
      </w:r>
    </w:p>
    <w:p w:rsidR="000D624D" w:rsidRPr="000D624D" w:rsidRDefault="000D624D" w:rsidP="000D624D">
      <w:pPr>
        <w:pStyle w:val="SingleTxt"/>
      </w:pPr>
      <w:r w:rsidRPr="000D624D">
        <w:t>36.</w:t>
      </w:r>
      <w:r w:rsidRPr="000D624D">
        <w:tab/>
        <w:t>Рекомендованным классификационным обществам ВОПОГ, которые еще не представили сертификата, было предложено сделать это до следующей сессии.</w:t>
      </w:r>
    </w:p>
    <w:p w:rsidR="000D624D" w:rsidRPr="00EF2FBA" w:rsidRDefault="000D624D" w:rsidP="00EF2FBA">
      <w:pPr>
        <w:pStyle w:val="SingleTxt"/>
        <w:spacing w:after="0" w:line="120" w:lineRule="exact"/>
        <w:rPr>
          <w:sz w:val="10"/>
        </w:rPr>
      </w:pPr>
    </w:p>
    <w:p w:rsidR="000D624D" w:rsidRPr="000D624D" w:rsidRDefault="00EF2FBA" w:rsidP="00EF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3.</w:t>
      </w:r>
      <w:r w:rsidR="000D624D" w:rsidRPr="000D624D">
        <w:tab/>
        <w:t>Итальянский морской регистр (RINA)</w:t>
      </w:r>
    </w:p>
    <w:p w:rsidR="000D624D" w:rsidRPr="00EF2FBA" w:rsidRDefault="000D624D" w:rsidP="00EF2FBA">
      <w:pPr>
        <w:pStyle w:val="SingleTxt"/>
        <w:spacing w:after="0" w:line="120" w:lineRule="exact"/>
        <w:rPr>
          <w:sz w:val="10"/>
        </w:rPr>
      </w:pPr>
    </w:p>
    <w:p w:rsidR="000D624D" w:rsidRPr="000D624D" w:rsidRDefault="000D624D" w:rsidP="00634B60">
      <w:pPr>
        <w:pStyle w:val="SingleTxt"/>
        <w:ind w:left="4133" w:hanging="2866"/>
        <w:jc w:val="left"/>
      </w:pPr>
      <w:r w:rsidRPr="000D624D">
        <w:rPr>
          <w:i/>
          <w:iCs/>
        </w:rPr>
        <w:t>Неофициальный документ</w:t>
      </w:r>
      <w:r w:rsidRPr="000D624D">
        <w:t xml:space="preserve">: </w:t>
      </w:r>
      <w:r w:rsidRPr="000D624D">
        <w:tab/>
        <w:t xml:space="preserve">INF.3 (Германия), </w:t>
      </w:r>
      <w:proofErr w:type="gramStart"/>
      <w:r w:rsidRPr="000D624D">
        <w:t>представленн</w:t>
      </w:r>
      <w:r w:rsidR="00EF2FBA">
        <w:t>ый</w:t>
      </w:r>
      <w:proofErr w:type="gramEnd"/>
      <w:r w:rsidR="00EF2FBA">
        <w:t xml:space="preserve"> на пятнадцатой сессии </w:t>
      </w:r>
      <w:r w:rsidRPr="000D624D">
        <w:t>Административного комитета</w:t>
      </w:r>
    </w:p>
    <w:p w:rsidR="000D624D" w:rsidRPr="000D624D" w:rsidRDefault="000D624D" w:rsidP="000D624D">
      <w:pPr>
        <w:pStyle w:val="SingleTxt"/>
      </w:pPr>
      <w:r w:rsidRPr="000D624D">
        <w:t>37.</w:t>
      </w:r>
      <w:r w:rsidRPr="000D624D">
        <w:tab/>
        <w:t>Комитет по вопросам безопасности принял к сведению, что Германия пр</w:t>
      </w:r>
      <w:r w:rsidRPr="000D624D">
        <w:t>и</w:t>
      </w:r>
      <w:r w:rsidRPr="000D624D">
        <w:t>знала отделение RINA в Германии в соответствии с подразделом 1.15.2.4 Правил, прилагаемых к ВОПОГ.</w:t>
      </w:r>
    </w:p>
    <w:p w:rsidR="000D624D" w:rsidRPr="00EF2FBA" w:rsidRDefault="000D624D" w:rsidP="00EF2FBA">
      <w:pPr>
        <w:pStyle w:val="SingleTxt"/>
        <w:spacing w:after="0" w:line="120" w:lineRule="exact"/>
        <w:rPr>
          <w:sz w:val="10"/>
        </w:rPr>
      </w:pPr>
    </w:p>
    <w:p w:rsidR="00EF2FBA" w:rsidRPr="00EF2FBA" w:rsidRDefault="00EF2FBA" w:rsidP="00EF2FBA">
      <w:pPr>
        <w:pStyle w:val="SingleTxt"/>
        <w:spacing w:after="0" w:line="120" w:lineRule="exact"/>
        <w:rPr>
          <w:sz w:val="10"/>
        </w:rPr>
      </w:pPr>
    </w:p>
    <w:p w:rsidR="000D624D" w:rsidRPr="000D624D" w:rsidRDefault="00EF2FBA" w:rsidP="00EF2F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V.</w:t>
      </w:r>
      <w:r w:rsidR="000D624D" w:rsidRPr="000D624D">
        <w:tab/>
        <w:t>Предложения о внесении поправок в Правила, прилагаемые к ВОПОГ (пункт 4 повестки дня)</w:t>
      </w:r>
    </w:p>
    <w:p w:rsidR="000D624D" w:rsidRPr="00EF2FBA" w:rsidRDefault="000D624D" w:rsidP="00EF2FBA">
      <w:pPr>
        <w:pStyle w:val="SingleTxt"/>
        <w:spacing w:after="0" w:line="120" w:lineRule="exact"/>
        <w:rPr>
          <w:sz w:val="10"/>
        </w:rPr>
      </w:pPr>
    </w:p>
    <w:p w:rsidR="00EF2FBA" w:rsidRPr="00EF2FBA" w:rsidRDefault="00EF2FBA" w:rsidP="00EF2FBA">
      <w:pPr>
        <w:pStyle w:val="SingleTxt"/>
        <w:spacing w:after="0" w:line="120" w:lineRule="exact"/>
        <w:rPr>
          <w:sz w:val="10"/>
        </w:rPr>
      </w:pPr>
    </w:p>
    <w:p w:rsidR="000D624D" w:rsidRPr="000D624D" w:rsidRDefault="00EF2FBA" w:rsidP="00EF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A.</w:t>
      </w:r>
      <w:r w:rsidR="000D624D" w:rsidRPr="000D624D">
        <w:tab/>
        <w:t>Работа Совместного совещания МПОГ/ДОПОГ/ВОПОГ</w:t>
      </w:r>
    </w:p>
    <w:p w:rsidR="000D624D" w:rsidRPr="00EF2FBA" w:rsidRDefault="000D624D" w:rsidP="00EF2FBA">
      <w:pPr>
        <w:pStyle w:val="SingleTxt"/>
        <w:spacing w:after="0" w:line="120" w:lineRule="exact"/>
        <w:rPr>
          <w:sz w:val="10"/>
        </w:rPr>
      </w:pPr>
    </w:p>
    <w:p w:rsidR="00EF2FBA" w:rsidRPr="00EF2FBA" w:rsidRDefault="00EF2FBA" w:rsidP="00EF2FBA">
      <w:pPr>
        <w:pStyle w:val="SingleTxt"/>
        <w:spacing w:after="0" w:line="120" w:lineRule="exact"/>
        <w:rPr>
          <w:sz w:val="10"/>
        </w:rPr>
      </w:pPr>
    </w:p>
    <w:p w:rsidR="00191979" w:rsidRDefault="000D624D" w:rsidP="00634B60">
      <w:pPr>
        <w:pStyle w:val="SingleTxt"/>
        <w:ind w:left="4133" w:hanging="2866"/>
        <w:jc w:val="left"/>
      </w:pPr>
      <w:r w:rsidRPr="000D624D">
        <w:rPr>
          <w:i/>
          <w:iCs/>
        </w:rPr>
        <w:t>Документы</w:t>
      </w:r>
      <w:r w:rsidR="00EF2FBA">
        <w:t>:</w:t>
      </w:r>
      <w:r w:rsidRPr="000D624D">
        <w:tab/>
      </w:r>
      <w:r w:rsidR="00EF2FBA">
        <w:tab/>
      </w:r>
      <w:r w:rsidR="00EF2FBA">
        <w:tab/>
      </w:r>
      <w:r w:rsidR="00EF2FBA">
        <w:tab/>
      </w:r>
      <w:r w:rsidR="00EF2FBA" w:rsidRPr="00EF2FBA">
        <w:rPr>
          <w:spacing w:val="2"/>
        </w:rPr>
        <w:t>ECE/TRANS/WP.15/AC.1/138</w:t>
      </w:r>
      <w:r w:rsidR="00EF2FBA">
        <w:t xml:space="preserve"> </w:t>
      </w:r>
      <w:r w:rsidRPr="00EF2FBA">
        <w:rPr>
          <w:spacing w:val="2"/>
        </w:rPr>
        <w:t>(док</w:t>
      </w:r>
      <w:r w:rsidR="00EF2FBA" w:rsidRPr="00EF2FBA">
        <w:rPr>
          <w:spacing w:val="2"/>
        </w:rPr>
        <w:t xml:space="preserve">лад Совместного </w:t>
      </w:r>
      <w:r w:rsidR="00EF2FBA">
        <w:t xml:space="preserve">совещания </w:t>
      </w:r>
      <w:r w:rsidRPr="000D624D">
        <w:t>МПОГ/ДОПОГ/ВОПОГ о работе его весенней сессии 2015 года)</w:t>
      </w:r>
    </w:p>
    <w:p w:rsidR="000D624D" w:rsidRPr="000D624D" w:rsidRDefault="000D624D" w:rsidP="00191979">
      <w:pPr>
        <w:pStyle w:val="SingleTxt"/>
        <w:ind w:left="4133"/>
        <w:jc w:val="left"/>
      </w:pPr>
      <w:r w:rsidRPr="000D624D">
        <w:t>ECE/TRANS/WP.15/228 (доклад Рабочей группы по перевозкам опас</w:t>
      </w:r>
      <w:r w:rsidR="00EF2FBA">
        <w:t xml:space="preserve">ных грузов </w:t>
      </w:r>
      <w:r w:rsidRPr="000D624D">
        <w:t>(WP.15) о ра</w:t>
      </w:r>
      <w:r w:rsidR="00EF2FBA">
        <w:t>бо</w:t>
      </w:r>
      <w:r w:rsidR="00191979">
        <w:t>те</w:t>
      </w:r>
      <w:r w:rsidR="00191979">
        <w:br/>
      </w:r>
      <w:r w:rsidRPr="000D624D">
        <w:t>ее девяносто восьмой сессии)</w:t>
      </w:r>
    </w:p>
    <w:p w:rsidR="000D624D" w:rsidRPr="000D624D" w:rsidRDefault="000D624D" w:rsidP="000D624D">
      <w:pPr>
        <w:pStyle w:val="SingleTxt"/>
      </w:pPr>
      <w:r w:rsidRPr="000D624D">
        <w:t>38.</w:t>
      </w:r>
      <w:r w:rsidRPr="000D624D">
        <w:tab/>
        <w:t>Секретариату было предложено объединить в одном документе все прин</w:t>
      </w:r>
      <w:r w:rsidRPr="000D624D">
        <w:t>я</w:t>
      </w:r>
      <w:r w:rsidRPr="000D624D">
        <w:t>тые Совместным совещанием и WP.15 в 2014 и 2015 годах поправки, которые также должны быть отражены в Правилах, прилагаемых к ВОПОГ, и которые еще не были приняты, для рассмотрения на следующей сессии.</w:t>
      </w:r>
    </w:p>
    <w:p w:rsidR="000D624D" w:rsidRPr="00EF2FBA" w:rsidRDefault="000D624D" w:rsidP="00EF2FBA">
      <w:pPr>
        <w:pStyle w:val="SingleTxt"/>
        <w:spacing w:after="0" w:line="120" w:lineRule="exact"/>
        <w:rPr>
          <w:sz w:val="10"/>
        </w:rPr>
      </w:pPr>
    </w:p>
    <w:p w:rsidR="00EF2FBA" w:rsidRPr="00EF2FBA" w:rsidRDefault="00EF2FBA" w:rsidP="00EF2FBA">
      <w:pPr>
        <w:pStyle w:val="SingleTxt"/>
        <w:spacing w:after="0" w:line="120" w:lineRule="exact"/>
        <w:rPr>
          <w:sz w:val="10"/>
        </w:rPr>
      </w:pPr>
    </w:p>
    <w:p w:rsidR="000D624D" w:rsidRPr="000D624D" w:rsidRDefault="00EF2FBA" w:rsidP="00EF2F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B.</w:t>
      </w:r>
      <w:r w:rsidR="000D624D" w:rsidRPr="000D624D">
        <w:tab/>
        <w:t>Другие предложения</w:t>
      </w:r>
    </w:p>
    <w:p w:rsidR="000D624D" w:rsidRPr="00EF2FBA" w:rsidRDefault="000D624D" w:rsidP="00EF2FBA">
      <w:pPr>
        <w:pStyle w:val="SingleTxt"/>
        <w:spacing w:after="0" w:line="120" w:lineRule="exact"/>
        <w:rPr>
          <w:sz w:val="10"/>
        </w:rPr>
      </w:pPr>
    </w:p>
    <w:p w:rsidR="00EF2FBA" w:rsidRPr="00EF2FBA" w:rsidRDefault="00EF2FBA" w:rsidP="00EF2FBA">
      <w:pPr>
        <w:pStyle w:val="SingleTxt"/>
        <w:spacing w:after="0" w:line="120" w:lineRule="exact"/>
        <w:rPr>
          <w:sz w:val="10"/>
        </w:rPr>
      </w:pPr>
    </w:p>
    <w:p w:rsidR="000D624D" w:rsidRPr="000D624D" w:rsidRDefault="00EF2FBA" w:rsidP="00EF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1.</w:t>
      </w:r>
      <w:r w:rsidR="000D624D" w:rsidRPr="000D624D">
        <w:tab/>
        <w:t>Положения, касающиеся резервуаро</w:t>
      </w:r>
      <w:r>
        <w:t>в высокого давления, арматуры и </w:t>
      </w:r>
      <w:r w:rsidR="000D624D" w:rsidRPr="000D624D">
        <w:t>трубопроводов, находящихся под давлением, в системах пожаротушения</w:t>
      </w:r>
    </w:p>
    <w:p w:rsidR="000D624D" w:rsidRPr="00EF2FBA" w:rsidRDefault="000D624D" w:rsidP="00EF2FBA">
      <w:pPr>
        <w:pStyle w:val="SingleTxt"/>
        <w:spacing w:after="0" w:line="120" w:lineRule="exact"/>
        <w:rPr>
          <w:sz w:val="10"/>
        </w:rPr>
      </w:pPr>
    </w:p>
    <w:p w:rsidR="000D624D" w:rsidRPr="000D624D" w:rsidRDefault="000D624D" w:rsidP="00634B60">
      <w:pPr>
        <w:pStyle w:val="SingleTxt"/>
      </w:pPr>
      <w:r w:rsidRPr="000D624D">
        <w:rPr>
          <w:i/>
          <w:iCs/>
        </w:rPr>
        <w:t>Документ</w:t>
      </w:r>
      <w:r w:rsidRPr="000D624D">
        <w:t xml:space="preserve">: </w:t>
      </w:r>
      <w:r w:rsidRPr="000D624D">
        <w:tab/>
      </w:r>
      <w:r w:rsidR="00EF2FBA">
        <w:tab/>
      </w:r>
      <w:r w:rsidR="00EF2FBA">
        <w:tab/>
      </w:r>
      <w:r w:rsidR="00EF2FBA">
        <w:tab/>
      </w:r>
      <w:r w:rsidRPr="000D624D">
        <w:t>ECE/TRANS/WP.15/AC.2/2015/8 (Германия)</w:t>
      </w:r>
    </w:p>
    <w:p w:rsidR="000D624D" w:rsidRPr="000D624D" w:rsidRDefault="000D624D" w:rsidP="000D624D">
      <w:pPr>
        <w:pStyle w:val="SingleTxt"/>
      </w:pPr>
      <w:r w:rsidRPr="000D624D">
        <w:t>39.</w:t>
      </w:r>
      <w:r w:rsidRPr="000D624D">
        <w:tab/>
        <w:t>Данные предложения о поправках были приняты с некоторыми изменени</w:t>
      </w:r>
      <w:r w:rsidRPr="000D624D">
        <w:t>я</w:t>
      </w:r>
      <w:r w:rsidRPr="000D624D">
        <w:t>ми (см. приложение I).</w:t>
      </w:r>
    </w:p>
    <w:p w:rsidR="000D624D" w:rsidRPr="00EF2FBA" w:rsidRDefault="000D624D" w:rsidP="00EF2FBA">
      <w:pPr>
        <w:pStyle w:val="SingleTxt"/>
        <w:spacing w:after="0" w:line="120" w:lineRule="exact"/>
        <w:rPr>
          <w:sz w:val="10"/>
        </w:rPr>
      </w:pPr>
    </w:p>
    <w:p w:rsidR="000D624D" w:rsidRPr="000D624D" w:rsidRDefault="00EF2FBA" w:rsidP="00EF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2.</w:t>
      </w:r>
      <w:r w:rsidR="000D624D" w:rsidRPr="000D624D">
        <w:tab/>
        <w:t>Таблица 7.2.4.77 – Возможные средства для эвакуации в случае возникновения чрезвычайной ситуации</w:t>
      </w:r>
    </w:p>
    <w:p w:rsidR="000D624D" w:rsidRPr="00EF2FBA" w:rsidRDefault="000D624D" w:rsidP="00EF2FBA">
      <w:pPr>
        <w:pStyle w:val="SingleTxt"/>
        <w:spacing w:after="0" w:line="120" w:lineRule="exact"/>
        <w:rPr>
          <w:sz w:val="10"/>
        </w:rPr>
      </w:pPr>
    </w:p>
    <w:p w:rsidR="000D624D" w:rsidRPr="000D624D" w:rsidRDefault="000D624D" w:rsidP="00634B60">
      <w:pPr>
        <w:pStyle w:val="SingleTxt"/>
      </w:pPr>
      <w:r w:rsidRPr="000D624D">
        <w:rPr>
          <w:i/>
          <w:iCs/>
        </w:rPr>
        <w:t>Документ</w:t>
      </w:r>
      <w:r w:rsidR="00EF2FBA">
        <w:t>:</w:t>
      </w:r>
      <w:r w:rsidRPr="000D624D">
        <w:tab/>
      </w:r>
      <w:r w:rsidR="00EF2FBA">
        <w:tab/>
      </w:r>
      <w:r w:rsidR="00EF2FBA">
        <w:tab/>
      </w:r>
      <w:r w:rsidR="00EF2FBA">
        <w:tab/>
      </w:r>
      <w:r w:rsidRPr="000D624D">
        <w:t>ECE/TRANS/WP.15/AC.2/2015/10 (Германия)</w:t>
      </w:r>
    </w:p>
    <w:p w:rsidR="000D624D" w:rsidRPr="000D624D" w:rsidRDefault="000D624D" w:rsidP="000D624D">
      <w:pPr>
        <w:pStyle w:val="SingleTxt"/>
      </w:pPr>
      <w:r w:rsidRPr="000D624D">
        <w:t>40.</w:t>
      </w:r>
      <w:r w:rsidRPr="000D624D">
        <w:tab/>
        <w:t>Данное предложение о поправке к таблице было принято (см. приложение I).</w:t>
      </w:r>
    </w:p>
    <w:p w:rsidR="000D624D" w:rsidRPr="00EF2FBA" w:rsidRDefault="000D624D" w:rsidP="00EF2FBA">
      <w:pPr>
        <w:pStyle w:val="SingleTxt"/>
        <w:spacing w:after="0" w:line="120" w:lineRule="exact"/>
        <w:rPr>
          <w:sz w:val="10"/>
        </w:rPr>
      </w:pPr>
    </w:p>
    <w:p w:rsidR="000D624D" w:rsidRPr="000D624D" w:rsidRDefault="00EF2FBA" w:rsidP="001919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0D624D" w:rsidRPr="000D624D">
        <w:t>3.</w:t>
      </w:r>
      <w:r w:rsidR="000D624D" w:rsidRPr="000D624D">
        <w:tab/>
        <w:t>Переходное положение для пунктов 9.3.х.51.3 (температурный класс и группа взрывоопасности)</w:t>
      </w:r>
    </w:p>
    <w:p w:rsidR="000D624D" w:rsidRPr="00EF2FBA" w:rsidRDefault="000D624D" w:rsidP="00191979">
      <w:pPr>
        <w:pStyle w:val="SingleTxt"/>
        <w:keepNext/>
        <w:keepLines/>
        <w:spacing w:after="0" w:line="120" w:lineRule="exact"/>
        <w:rPr>
          <w:sz w:val="10"/>
        </w:rPr>
      </w:pPr>
    </w:p>
    <w:p w:rsidR="000D624D" w:rsidRPr="000D624D" w:rsidRDefault="000D624D" w:rsidP="00634B60">
      <w:pPr>
        <w:pStyle w:val="SingleTxt"/>
        <w:keepNext/>
        <w:keepLines/>
      </w:pPr>
      <w:r w:rsidRPr="000D624D">
        <w:rPr>
          <w:i/>
          <w:iCs/>
        </w:rPr>
        <w:t>Документ</w:t>
      </w:r>
      <w:r w:rsidRPr="000D624D">
        <w:t xml:space="preserve">: </w:t>
      </w:r>
      <w:r w:rsidRPr="000D624D">
        <w:tab/>
      </w:r>
      <w:r w:rsidR="00EF2FBA">
        <w:tab/>
      </w:r>
      <w:r w:rsidR="00EF2FBA">
        <w:tab/>
      </w:r>
      <w:r w:rsidR="00EF2FBA">
        <w:tab/>
      </w:r>
      <w:r w:rsidRPr="000D624D">
        <w:t>ECE/TRANS/WP.15/AC.2/2015/12 (Германия)</w:t>
      </w:r>
    </w:p>
    <w:p w:rsidR="000D624D" w:rsidRPr="000D624D" w:rsidRDefault="000D624D" w:rsidP="00191979">
      <w:pPr>
        <w:pStyle w:val="SingleTxt"/>
        <w:keepNext/>
        <w:keepLines/>
      </w:pPr>
      <w:r w:rsidRPr="000D624D">
        <w:t>41.</w:t>
      </w:r>
      <w:r w:rsidRPr="000D624D">
        <w:tab/>
        <w:t>Ряд делегаций сочли, что перенос даты завершения переходного периода на 31 декабря 2018 года, вместо 31 декабря 2034 года, будет иметь гораздо более с</w:t>
      </w:r>
      <w:r w:rsidRPr="000D624D">
        <w:t>е</w:t>
      </w:r>
      <w:r w:rsidRPr="000D624D">
        <w:t>рьезные экономические последствия, чем последствия, указанные в этом пре</w:t>
      </w:r>
      <w:r w:rsidRPr="000D624D">
        <w:t>д</w:t>
      </w:r>
      <w:r w:rsidRPr="000D624D">
        <w:t>ложении, учитывая, что это касается всех типов судов, включая небольшие суда снабжения типа N.</w:t>
      </w:r>
    </w:p>
    <w:p w:rsidR="000D624D" w:rsidRPr="000D624D" w:rsidRDefault="000D624D" w:rsidP="000D624D">
      <w:pPr>
        <w:pStyle w:val="SingleTxt"/>
      </w:pPr>
      <w:r w:rsidRPr="000D624D">
        <w:t>42.</w:t>
      </w:r>
      <w:r w:rsidRPr="000D624D">
        <w:tab/>
        <w:t>Поскольку, кроме того, представлялось трудным оценить ситуацию с техн</w:t>
      </w:r>
      <w:r w:rsidRPr="000D624D">
        <w:t>и</w:t>
      </w:r>
      <w:r w:rsidRPr="000D624D">
        <w:t>ческой точки зрения, так как соответствующие суда были построены в соотве</w:t>
      </w:r>
      <w:r w:rsidRPr="000D624D">
        <w:t>т</w:t>
      </w:r>
      <w:r w:rsidRPr="000D624D">
        <w:t>ствии с предписаниями, применявшимися до 1996 года, Председатель предложил профессиональному сообществу и классификационным обществам предоставить информацию по этому вопросу, прежде чем принимать какое-либо решение.</w:t>
      </w:r>
    </w:p>
    <w:p w:rsidR="000D624D" w:rsidRPr="00EF2FBA" w:rsidRDefault="000D624D" w:rsidP="00EF2FBA">
      <w:pPr>
        <w:pStyle w:val="SingleTxt"/>
        <w:spacing w:after="0" w:line="120" w:lineRule="exact"/>
        <w:rPr>
          <w:sz w:val="10"/>
        </w:rPr>
      </w:pPr>
    </w:p>
    <w:p w:rsidR="000D624D" w:rsidRPr="000D624D" w:rsidRDefault="00EF2FBA" w:rsidP="00EF2F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4.</w:t>
      </w:r>
      <w:r w:rsidR="000D624D" w:rsidRPr="000D624D">
        <w:tab/>
        <w:t>Примеры образцов свидетельств о подготовке</w:t>
      </w:r>
    </w:p>
    <w:p w:rsidR="000D624D" w:rsidRPr="00EF2FBA" w:rsidRDefault="000D624D" w:rsidP="00EF2FBA">
      <w:pPr>
        <w:pStyle w:val="SingleTxt"/>
        <w:spacing w:after="0" w:line="120" w:lineRule="exact"/>
        <w:rPr>
          <w:sz w:val="10"/>
        </w:rPr>
      </w:pPr>
    </w:p>
    <w:p w:rsidR="000D624D" w:rsidRPr="000D624D" w:rsidRDefault="000D624D" w:rsidP="00634B60">
      <w:pPr>
        <w:pStyle w:val="SingleTxt"/>
      </w:pPr>
      <w:r w:rsidRPr="000D624D">
        <w:rPr>
          <w:i/>
          <w:iCs/>
        </w:rPr>
        <w:t>Документ</w:t>
      </w:r>
      <w:r w:rsidRPr="000D624D">
        <w:t xml:space="preserve">: </w:t>
      </w:r>
      <w:r w:rsidRPr="000D624D">
        <w:tab/>
      </w:r>
      <w:r w:rsidR="001E4B0C">
        <w:tab/>
      </w:r>
      <w:r w:rsidR="001E4B0C">
        <w:tab/>
      </w:r>
      <w:r w:rsidR="001E4B0C">
        <w:tab/>
      </w:r>
      <w:r w:rsidRPr="000D624D">
        <w:t>ECE/TRANS/WP.15/AC.2/2015/14 (Германия)</w:t>
      </w:r>
    </w:p>
    <w:p w:rsidR="000D624D" w:rsidRPr="000D624D" w:rsidRDefault="000D624D" w:rsidP="000D624D">
      <w:pPr>
        <w:pStyle w:val="SingleTxt"/>
      </w:pPr>
      <w:r w:rsidRPr="000D624D">
        <w:t>43.</w:t>
      </w:r>
      <w:r w:rsidRPr="000D624D">
        <w:tab/>
        <w:t>Комитет по вопросам безопасности принял предложение о том, чтобы пре</w:t>
      </w:r>
      <w:r w:rsidRPr="000D624D">
        <w:t>д</w:t>
      </w:r>
      <w:r w:rsidRPr="000D624D">
        <w:t>ложить Договаривающимся сторонам передать образцы выданных свидетельств с целью их опубликования на веб-сайте ЕЭК ООН, как это происходит со свид</w:t>
      </w:r>
      <w:r w:rsidRPr="000D624D">
        <w:t>е</w:t>
      </w:r>
      <w:r w:rsidRPr="000D624D">
        <w:t>тельствами ДОПОГ (см. приложение I).</w:t>
      </w:r>
    </w:p>
    <w:p w:rsidR="000D624D" w:rsidRPr="001E4B0C" w:rsidRDefault="000D624D" w:rsidP="001E4B0C">
      <w:pPr>
        <w:pStyle w:val="SingleTxt"/>
        <w:spacing w:after="0" w:line="120" w:lineRule="exact"/>
        <w:rPr>
          <w:sz w:val="10"/>
        </w:rPr>
      </w:pPr>
    </w:p>
    <w:p w:rsidR="000D624D" w:rsidRPr="000D624D" w:rsidRDefault="001E4B0C" w:rsidP="001E4B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5.</w:t>
      </w:r>
      <w:r w:rsidR="000D624D" w:rsidRPr="000D624D">
        <w:tab/>
        <w:t>Исправления в тексте пунктов 9.3.2.22 4 и 9.3.3.22.4 на немецком языке</w:t>
      </w:r>
    </w:p>
    <w:p w:rsidR="000D624D" w:rsidRPr="001E4B0C" w:rsidRDefault="000D624D" w:rsidP="001E4B0C">
      <w:pPr>
        <w:pStyle w:val="SingleTxt"/>
        <w:spacing w:after="0" w:line="120" w:lineRule="exact"/>
        <w:rPr>
          <w:sz w:val="10"/>
        </w:rPr>
      </w:pPr>
    </w:p>
    <w:p w:rsidR="000D624D" w:rsidRPr="000D624D" w:rsidRDefault="000D624D" w:rsidP="00634B60">
      <w:pPr>
        <w:pStyle w:val="SingleTxt"/>
      </w:pPr>
      <w:r w:rsidRPr="000D624D">
        <w:rPr>
          <w:i/>
          <w:iCs/>
        </w:rPr>
        <w:t>Документ</w:t>
      </w:r>
      <w:r w:rsidR="001E4B0C">
        <w:t>:</w:t>
      </w:r>
      <w:r w:rsidRPr="000D624D">
        <w:tab/>
      </w:r>
      <w:r w:rsidR="001E4B0C">
        <w:tab/>
      </w:r>
      <w:r w:rsidR="001E4B0C">
        <w:tab/>
      </w:r>
      <w:r w:rsidR="001E4B0C">
        <w:tab/>
      </w:r>
      <w:r w:rsidRPr="000D624D">
        <w:t>ECE/TRANS/WP.15/AC.2/2015/15 (Германия)</w:t>
      </w:r>
    </w:p>
    <w:p w:rsidR="000D624D" w:rsidRPr="000D624D" w:rsidRDefault="000D624D" w:rsidP="000D624D">
      <w:pPr>
        <w:pStyle w:val="SingleTxt"/>
      </w:pPr>
      <w:r w:rsidRPr="000D624D">
        <w:t>44.</w:t>
      </w:r>
      <w:r w:rsidRPr="000D624D">
        <w:tab/>
        <w:t>Комитет по вопросам безопасности отм</w:t>
      </w:r>
      <w:r w:rsidR="001E4B0C">
        <w:t>етил, что в варианте ВОПОГ 2015 </w:t>
      </w:r>
      <w:r w:rsidRPr="000D624D">
        <w:t>года на немецком языке были допущены ошибки, и просил секретариат ЦКСР немедленно устранить их для обеспечения согласованности с другими языковыми вариантами.</w:t>
      </w:r>
    </w:p>
    <w:p w:rsidR="000D624D" w:rsidRPr="000D624D" w:rsidRDefault="000D624D" w:rsidP="000D624D">
      <w:pPr>
        <w:pStyle w:val="SingleTxt"/>
      </w:pPr>
      <w:r w:rsidRPr="000D624D">
        <w:t>45.</w:t>
      </w:r>
      <w:r w:rsidRPr="000D624D">
        <w:tab/>
        <w:t>После выступления представителя ЕСРС Председатель заявил, что, если профессиональное сообщество желает использовать более простые пламегасит</w:t>
      </w:r>
      <w:r w:rsidRPr="000D624D">
        <w:t>е</w:t>
      </w:r>
      <w:r w:rsidRPr="000D624D">
        <w:t>ли по сравнению с теми, которые требуются в настоящее время, оно должно представить соответствующим образом обоснованное официальное предложение.</w:t>
      </w:r>
    </w:p>
    <w:p w:rsidR="000D624D" w:rsidRPr="001E4B0C" w:rsidRDefault="000D624D" w:rsidP="001E4B0C">
      <w:pPr>
        <w:pStyle w:val="SingleTxt"/>
        <w:spacing w:after="0" w:line="120" w:lineRule="exact"/>
        <w:rPr>
          <w:sz w:val="10"/>
        </w:rPr>
      </w:pPr>
    </w:p>
    <w:p w:rsidR="000D624D" w:rsidRPr="000D624D" w:rsidRDefault="001E4B0C" w:rsidP="001E4B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6.</w:t>
      </w:r>
      <w:r w:rsidR="000D624D" w:rsidRPr="000D624D">
        <w:tab/>
        <w:t xml:space="preserve">Указания, касающиеся установки для закачивания инертного газа, </w:t>
      </w:r>
      <w:r>
        <w:t>в </w:t>
      </w:r>
      <w:r w:rsidR="000D624D" w:rsidRPr="000D624D">
        <w:t>подразделах 8.6.1.3 и 8.6.1.4</w:t>
      </w:r>
    </w:p>
    <w:p w:rsidR="000D624D" w:rsidRPr="001E4B0C" w:rsidRDefault="000D624D" w:rsidP="001E4B0C">
      <w:pPr>
        <w:pStyle w:val="SingleTxt"/>
        <w:spacing w:after="0" w:line="120" w:lineRule="exact"/>
        <w:rPr>
          <w:sz w:val="10"/>
        </w:rPr>
      </w:pPr>
    </w:p>
    <w:p w:rsidR="000D624D" w:rsidRPr="000D624D" w:rsidRDefault="000D624D" w:rsidP="000D624D">
      <w:pPr>
        <w:pStyle w:val="SingleTxt"/>
      </w:pPr>
      <w:r w:rsidRPr="000D624D">
        <w:rPr>
          <w:i/>
          <w:iCs/>
        </w:rPr>
        <w:t>Документ</w:t>
      </w:r>
      <w:r w:rsidRPr="000D624D">
        <w:t>:</w:t>
      </w:r>
      <w:r w:rsidRPr="000D624D">
        <w:tab/>
      </w:r>
      <w:r w:rsidR="001E4B0C">
        <w:tab/>
      </w:r>
      <w:r w:rsidR="001E4B0C">
        <w:tab/>
      </w:r>
      <w:r w:rsidR="001E4B0C">
        <w:tab/>
      </w:r>
      <w:r w:rsidRPr="000D624D">
        <w:t>ECE/TRANS/WP.15/AC.2/2015/16 (Германия)</w:t>
      </w:r>
    </w:p>
    <w:p w:rsidR="000D624D" w:rsidRPr="000D624D" w:rsidRDefault="000D624D" w:rsidP="000D624D">
      <w:pPr>
        <w:pStyle w:val="SingleTxt"/>
      </w:pPr>
      <w:r w:rsidRPr="000D624D">
        <w:t>46.</w:t>
      </w:r>
      <w:r w:rsidRPr="000D624D">
        <w:tab/>
        <w:t>Предложение о внесении поправки в свидетельства о допущении было пр</w:t>
      </w:r>
      <w:r w:rsidRPr="000D624D">
        <w:t>и</w:t>
      </w:r>
      <w:r w:rsidRPr="000D624D">
        <w:t>нято (см. приложение I).</w:t>
      </w:r>
    </w:p>
    <w:p w:rsidR="000D624D" w:rsidRPr="001E4B0C" w:rsidRDefault="000D624D" w:rsidP="001E4B0C">
      <w:pPr>
        <w:pStyle w:val="SingleTxt"/>
        <w:spacing w:after="0" w:line="120" w:lineRule="exact"/>
        <w:rPr>
          <w:sz w:val="10"/>
        </w:rPr>
      </w:pPr>
    </w:p>
    <w:p w:rsidR="000D624D" w:rsidRPr="000D624D" w:rsidRDefault="001E4B0C" w:rsidP="001E4B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7.</w:t>
      </w:r>
      <w:r w:rsidR="000D624D" w:rsidRPr="000D624D">
        <w:tab/>
        <w:t>Определение сжиженного природного газа (СПГ) (в варианте на немецком языке)</w:t>
      </w:r>
    </w:p>
    <w:p w:rsidR="000D624D" w:rsidRPr="001E4B0C" w:rsidRDefault="000D624D" w:rsidP="001E4B0C">
      <w:pPr>
        <w:pStyle w:val="SingleTxt"/>
        <w:spacing w:after="0" w:line="120" w:lineRule="exact"/>
        <w:rPr>
          <w:sz w:val="10"/>
        </w:rPr>
      </w:pPr>
    </w:p>
    <w:p w:rsidR="000D624D" w:rsidRPr="000D624D" w:rsidRDefault="000D624D" w:rsidP="000D624D">
      <w:pPr>
        <w:pStyle w:val="SingleTxt"/>
      </w:pPr>
      <w:r w:rsidRPr="000D624D">
        <w:rPr>
          <w:i/>
          <w:iCs/>
        </w:rPr>
        <w:t>Документ</w:t>
      </w:r>
      <w:r w:rsidRPr="000D624D">
        <w:t>:</w:t>
      </w:r>
      <w:r w:rsidRPr="000D624D">
        <w:tab/>
      </w:r>
      <w:r w:rsidR="001E4B0C">
        <w:tab/>
      </w:r>
      <w:r w:rsidR="001E4B0C">
        <w:tab/>
      </w:r>
      <w:r w:rsidR="001E4B0C">
        <w:tab/>
      </w:r>
      <w:r w:rsidRPr="000D624D">
        <w:t>ECE/TRANS/WP.15/AC.2/2015/17 (Германия)</w:t>
      </w:r>
    </w:p>
    <w:p w:rsidR="000D624D" w:rsidRPr="000D624D" w:rsidRDefault="000D624D" w:rsidP="000D624D">
      <w:pPr>
        <w:pStyle w:val="SingleTxt"/>
      </w:pPr>
      <w:r w:rsidRPr="000D624D">
        <w:t>47.</w:t>
      </w:r>
      <w:r w:rsidRPr="000D624D">
        <w:tab/>
        <w:t>Предложение о внесении поправки в вариант на немецком языке было пр</w:t>
      </w:r>
      <w:r w:rsidRPr="000D624D">
        <w:t>и</w:t>
      </w:r>
      <w:r w:rsidRPr="000D624D">
        <w:t>нято (см. приложение I).</w:t>
      </w:r>
    </w:p>
    <w:p w:rsidR="000D624D" w:rsidRPr="001E4B0C" w:rsidRDefault="000D624D" w:rsidP="001E4B0C">
      <w:pPr>
        <w:pStyle w:val="SingleTxt"/>
        <w:spacing w:after="0" w:line="120" w:lineRule="exact"/>
        <w:rPr>
          <w:sz w:val="10"/>
        </w:rPr>
      </w:pPr>
    </w:p>
    <w:p w:rsidR="000D624D" w:rsidRPr="000D624D" w:rsidRDefault="001E4B0C" w:rsidP="00A652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0D624D" w:rsidRPr="000D624D">
        <w:t>8.</w:t>
      </w:r>
      <w:r w:rsidR="000D624D" w:rsidRPr="000D624D">
        <w:tab/>
        <w:t>Предложение об освобождении от действия требования, предусмотрен</w:t>
      </w:r>
      <w:r>
        <w:t>ного в </w:t>
      </w:r>
      <w:r w:rsidR="000D624D" w:rsidRPr="000D624D">
        <w:t xml:space="preserve">пункте 7.2.4.25.5, об отводе </w:t>
      </w:r>
      <w:proofErr w:type="spellStart"/>
      <w:r w:rsidR="000D624D" w:rsidRPr="000D624D">
        <w:t>газовоздушных</w:t>
      </w:r>
      <w:proofErr w:type="spellEnd"/>
      <w:r w:rsidR="000D624D" w:rsidRPr="000D624D">
        <w:t xml:space="preserve"> смесей на берег во время операций по погрузке тяжелого печного топлива</w:t>
      </w:r>
    </w:p>
    <w:p w:rsidR="000D624D" w:rsidRPr="001E4B0C" w:rsidRDefault="000D624D" w:rsidP="00A65286">
      <w:pPr>
        <w:pStyle w:val="SingleTxt"/>
        <w:keepNext/>
        <w:keepLines/>
        <w:spacing w:after="0" w:line="120" w:lineRule="exact"/>
        <w:rPr>
          <w:sz w:val="10"/>
        </w:rPr>
      </w:pPr>
    </w:p>
    <w:p w:rsidR="000D624D" w:rsidRPr="000D624D" w:rsidRDefault="000D624D" w:rsidP="00A65286">
      <w:pPr>
        <w:pStyle w:val="SingleTxt"/>
        <w:keepNext/>
        <w:keepLines/>
        <w:jc w:val="left"/>
      </w:pPr>
      <w:r w:rsidRPr="000D624D">
        <w:rPr>
          <w:i/>
          <w:iCs/>
        </w:rPr>
        <w:t>Документ</w:t>
      </w:r>
      <w:r w:rsidRPr="000D624D">
        <w:t>:</w:t>
      </w:r>
      <w:r w:rsidRPr="000D624D">
        <w:tab/>
      </w:r>
      <w:r w:rsidR="001E4B0C">
        <w:tab/>
      </w:r>
      <w:r w:rsidR="001E4B0C">
        <w:tab/>
      </w:r>
      <w:r w:rsidR="001E4B0C">
        <w:tab/>
      </w:r>
      <w:r w:rsidRPr="000D624D">
        <w:t>ECE/TRANS/WP.15/AC.2/2015/20 (</w:t>
      </w:r>
      <w:proofErr w:type="spellStart"/>
      <w:r w:rsidRPr="000D624D">
        <w:t>ФьюэлзЕуроп</w:t>
      </w:r>
      <w:proofErr w:type="spellEnd"/>
      <w:r w:rsidRPr="000D624D">
        <w:t>)</w:t>
      </w:r>
    </w:p>
    <w:p w:rsidR="000D624D" w:rsidRPr="000D624D" w:rsidRDefault="000D624D" w:rsidP="00A65286">
      <w:pPr>
        <w:pStyle w:val="SingleTxt"/>
        <w:keepNext/>
        <w:keepLines/>
        <w:jc w:val="left"/>
      </w:pPr>
      <w:r w:rsidRPr="000D624D">
        <w:rPr>
          <w:i/>
          <w:iCs/>
        </w:rPr>
        <w:t>Неофициальный документ</w:t>
      </w:r>
      <w:r w:rsidRPr="000D624D">
        <w:t xml:space="preserve">: </w:t>
      </w:r>
      <w:r w:rsidRPr="000D624D">
        <w:tab/>
        <w:t>INF.20 (</w:t>
      </w:r>
      <w:proofErr w:type="spellStart"/>
      <w:r w:rsidRPr="000D624D">
        <w:t>ФьюэлзЕуроп</w:t>
      </w:r>
      <w:proofErr w:type="spellEnd"/>
      <w:r w:rsidRPr="000D624D">
        <w:t>)</w:t>
      </w:r>
    </w:p>
    <w:p w:rsidR="000D624D" w:rsidRPr="000D624D" w:rsidRDefault="000D624D" w:rsidP="001E4B0C">
      <w:pPr>
        <w:pStyle w:val="SingleTxt"/>
        <w:keepNext/>
        <w:keepLines/>
      </w:pPr>
      <w:r w:rsidRPr="000D624D">
        <w:t>48.</w:t>
      </w:r>
      <w:r w:rsidRPr="000D624D">
        <w:tab/>
        <w:t>Представитель Нидерландов заявил, что его технические эксперты не смо</w:t>
      </w:r>
      <w:r w:rsidRPr="000D624D">
        <w:t>г</w:t>
      </w:r>
      <w:r w:rsidRPr="000D624D">
        <w:t>ли проверить доклад по исследованию КОНКАВЕ, препровожденный ассоциац</w:t>
      </w:r>
      <w:r w:rsidRPr="000D624D">
        <w:t>и</w:t>
      </w:r>
      <w:r w:rsidRPr="000D624D">
        <w:t xml:space="preserve">ей </w:t>
      </w:r>
      <w:proofErr w:type="spellStart"/>
      <w:r w:rsidRPr="000D624D">
        <w:t>ФьюэлзЕуроп</w:t>
      </w:r>
      <w:proofErr w:type="spellEnd"/>
      <w:r w:rsidRPr="000D624D">
        <w:t xml:space="preserve"> в неофициальном документе INF.20, и что поэтому он не в с</w:t>
      </w:r>
      <w:r w:rsidRPr="000D624D">
        <w:t>о</w:t>
      </w:r>
      <w:r w:rsidRPr="000D624D">
        <w:t>стоянии принять это предложение.</w:t>
      </w:r>
    </w:p>
    <w:p w:rsidR="000D624D" w:rsidRPr="000D624D" w:rsidRDefault="000D624D" w:rsidP="000D624D">
      <w:pPr>
        <w:pStyle w:val="SingleTxt"/>
      </w:pPr>
      <w:r w:rsidRPr="000D624D">
        <w:t>49.</w:t>
      </w:r>
      <w:r w:rsidRPr="000D624D">
        <w:tab/>
        <w:t xml:space="preserve">Председатель выразил сожаление в связи с таким положением дел, отметив, что после состоявшихся на последней сессии обсуждений все заинтересованные делегации имели возможность проконсультироваться с </w:t>
      </w:r>
      <w:proofErr w:type="spellStart"/>
      <w:r w:rsidRPr="000D624D">
        <w:t>ФьюэлзЕуроп</w:t>
      </w:r>
      <w:proofErr w:type="spellEnd"/>
      <w:r w:rsidRPr="000D624D">
        <w:t xml:space="preserve"> по техн</w:t>
      </w:r>
      <w:r w:rsidRPr="000D624D">
        <w:t>и</w:t>
      </w:r>
      <w:r w:rsidRPr="000D624D">
        <w:t>ческим вопросам и представить свои замечания по первому проекту доклада.</w:t>
      </w:r>
    </w:p>
    <w:p w:rsidR="000D624D" w:rsidRPr="000D624D" w:rsidRDefault="000D624D" w:rsidP="000D624D">
      <w:pPr>
        <w:pStyle w:val="SingleTxt"/>
      </w:pPr>
      <w:r w:rsidRPr="000D624D">
        <w:t>50.</w:t>
      </w:r>
      <w:r w:rsidRPr="000D624D">
        <w:tab/>
        <w:t>Было отмечено, что если предлагаемое освобождение не будет принято в январе 2016 года, то потребуется, по крайней мере, один год для того, чтобы об</w:t>
      </w:r>
      <w:r w:rsidRPr="000D624D">
        <w:t>о</w:t>
      </w:r>
      <w:r w:rsidRPr="000D624D">
        <w:t xml:space="preserve">рудовать порты установками для отвода на берег </w:t>
      </w:r>
      <w:proofErr w:type="spellStart"/>
      <w:r w:rsidRPr="000D624D">
        <w:t>газовоздушных</w:t>
      </w:r>
      <w:proofErr w:type="spellEnd"/>
      <w:r w:rsidRPr="000D624D">
        <w:t xml:space="preserve"> смесей, образ</w:t>
      </w:r>
      <w:r w:rsidRPr="000D624D">
        <w:t>у</w:t>
      </w:r>
      <w:r w:rsidRPr="000D624D">
        <w:t>ющихся во время операций по погрузке тяжелого печного топлива.</w:t>
      </w:r>
    </w:p>
    <w:p w:rsidR="000D624D" w:rsidRPr="000D624D" w:rsidRDefault="000D624D" w:rsidP="000D624D">
      <w:pPr>
        <w:pStyle w:val="SingleTxt"/>
      </w:pPr>
      <w:r w:rsidRPr="000D624D">
        <w:t>51.</w:t>
      </w:r>
      <w:r w:rsidRPr="000D624D">
        <w:tab/>
        <w:t>В итоге было решено:</w:t>
      </w:r>
    </w:p>
    <w:p w:rsidR="000D624D" w:rsidRPr="000D624D" w:rsidRDefault="000D624D" w:rsidP="000D624D">
      <w:pPr>
        <w:pStyle w:val="SingleTxt"/>
      </w:pPr>
      <w:r w:rsidRPr="000D624D">
        <w:tab/>
        <w:t>а)</w:t>
      </w:r>
      <w:r w:rsidRPr="000D624D">
        <w:tab/>
        <w:t>предложить всем делегациям, сомневающимся в технической дост</w:t>
      </w:r>
      <w:r w:rsidRPr="000D624D">
        <w:t>о</w:t>
      </w:r>
      <w:r w:rsidRPr="000D624D">
        <w:t>верности доклада КОНКАВЕ по оцен</w:t>
      </w:r>
      <w:r w:rsidR="00191979">
        <w:t>ке рисков, проконсультироваться с</w:t>
      </w:r>
      <w:r w:rsidR="00191979">
        <w:br/>
      </w:r>
      <w:proofErr w:type="spellStart"/>
      <w:r w:rsidRPr="000D624D">
        <w:t>ФьюэлзЕуроп</w:t>
      </w:r>
      <w:proofErr w:type="spellEnd"/>
      <w:r w:rsidRPr="000D624D">
        <w:t xml:space="preserve"> на предмет проверки информации, которая представляет для них проблему;</w:t>
      </w:r>
    </w:p>
    <w:p w:rsidR="000D624D" w:rsidRPr="000D624D" w:rsidRDefault="000D624D" w:rsidP="000D624D">
      <w:pPr>
        <w:pStyle w:val="SingleTxt"/>
      </w:pPr>
      <w:r w:rsidRPr="000D624D">
        <w:tab/>
        <w:t>b)</w:t>
      </w:r>
      <w:r w:rsidRPr="000D624D">
        <w:tab/>
        <w:t xml:space="preserve">предложить </w:t>
      </w:r>
      <w:proofErr w:type="spellStart"/>
      <w:r w:rsidRPr="000D624D">
        <w:t>ФьюэлзЕуроп</w:t>
      </w:r>
      <w:proofErr w:type="spellEnd"/>
      <w:r w:rsidRPr="000D624D">
        <w:t xml:space="preserve"> представить окончательное предложение на следующей сессии.</w:t>
      </w:r>
    </w:p>
    <w:p w:rsidR="000D624D" w:rsidRPr="001E4B0C" w:rsidRDefault="000D624D" w:rsidP="001E4B0C">
      <w:pPr>
        <w:pStyle w:val="SingleTxt"/>
        <w:spacing w:after="0" w:line="120" w:lineRule="exact"/>
        <w:rPr>
          <w:sz w:val="10"/>
        </w:rPr>
      </w:pPr>
    </w:p>
    <w:p w:rsidR="000D624D" w:rsidRPr="000D624D" w:rsidRDefault="001E4B0C" w:rsidP="001E4B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9.</w:t>
      </w:r>
      <w:r w:rsidR="000D624D" w:rsidRPr="000D624D">
        <w:tab/>
        <w:t>Сигнал системы пожарной сигнали</w:t>
      </w:r>
      <w:r>
        <w:t>зации, предусмотренный в пункте </w:t>
      </w:r>
      <w:r w:rsidR="000D624D" w:rsidRPr="000D624D">
        <w:t>9.1.0.40.2.3</w:t>
      </w:r>
    </w:p>
    <w:p w:rsidR="000D624D" w:rsidRPr="001E4B0C" w:rsidRDefault="000D624D" w:rsidP="001E4B0C">
      <w:pPr>
        <w:pStyle w:val="SingleTxt"/>
        <w:spacing w:after="0" w:line="120" w:lineRule="exact"/>
        <w:rPr>
          <w:sz w:val="10"/>
        </w:rPr>
      </w:pPr>
    </w:p>
    <w:p w:rsidR="000D624D" w:rsidRPr="000D624D" w:rsidRDefault="000D624D" w:rsidP="00A65286">
      <w:pPr>
        <w:pStyle w:val="SingleTxt"/>
        <w:jc w:val="left"/>
      </w:pPr>
      <w:r w:rsidRPr="000D624D">
        <w:rPr>
          <w:i/>
          <w:iCs/>
        </w:rPr>
        <w:t>Документ</w:t>
      </w:r>
      <w:r w:rsidRPr="000D624D">
        <w:t>:</w:t>
      </w:r>
      <w:r w:rsidRPr="000D624D">
        <w:tab/>
      </w:r>
      <w:r w:rsidR="00A65286">
        <w:tab/>
      </w:r>
      <w:r w:rsidR="00A65286">
        <w:tab/>
      </w:r>
      <w:r w:rsidR="00A65286">
        <w:tab/>
      </w:r>
      <w:r w:rsidRPr="000D624D">
        <w:t>ECE/TRANS/WP.15/AC.2/2015/21 (Бельгия)</w:t>
      </w:r>
    </w:p>
    <w:p w:rsidR="000D624D" w:rsidRPr="000D624D" w:rsidRDefault="000D624D" w:rsidP="000D624D">
      <w:pPr>
        <w:pStyle w:val="SingleTxt"/>
      </w:pPr>
      <w:r w:rsidRPr="000D624D">
        <w:t>52.</w:t>
      </w:r>
      <w:r w:rsidRPr="000D624D">
        <w:tab/>
        <w:t>Комитет по вопросам безопасности счел, что, прежде чем принимать реш</w:t>
      </w:r>
      <w:r w:rsidRPr="000D624D">
        <w:t>е</w:t>
      </w:r>
      <w:r w:rsidRPr="000D624D">
        <w:t>ние, следовало бы проверить положения, касающиеся пожарной сигнализации и применимые в более общем плане ко всем судам, совместно с другими соотве</w:t>
      </w:r>
      <w:r w:rsidRPr="000D624D">
        <w:t>т</w:t>
      </w:r>
      <w:r w:rsidRPr="000D624D">
        <w:t>ствующими органами, занимающимися техническими требованиями в области внутреннего судоходства. Следовало бы также проверить терминологию (испол</w:t>
      </w:r>
      <w:r w:rsidRPr="000D624D">
        <w:t>ь</w:t>
      </w:r>
      <w:r w:rsidRPr="000D624D">
        <w:t>зование терминов «слышен» и «виден»).</w:t>
      </w:r>
    </w:p>
    <w:p w:rsidR="000D624D" w:rsidRPr="001E4B0C" w:rsidRDefault="000D624D" w:rsidP="001E4B0C">
      <w:pPr>
        <w:pStyle w:val="SingleTxt"/>
        <w:spacing w:after="0" w:line="120" w:lineRule="exact"/>
        <w:rPr>
          <w:sz w:val="10"/>
        </w:rPr>
      </w:pPr>
    </w:p>
    <w:p w:rsidR="000D624D" w:rsidRPr="000D624D" w:rsidRDefault="001E4B0C" w:rsidP="001E4B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10.</w:t>
      </w:r>
      <w:r w:rsidR="000D624D" w:rsidRPr="000D624D">
        <w:tab/>
        <w:t>Устройство для отключения берегового сооружения</w:t>
      </w:r>
    </w:p>
    <w:p w:rsidR="000D624D" w:rsidRPr="001E4B0C" w:rsidRDefault="000D624D" w:rsidP="001E4B0C">
      <w:pPr>
        <w:pStyle w:val="SingleTxt"/>
        <w:spacing w:after="0" w:line="120" w:lineRule="exact"/>
        <w:rPr>
          <w:sz w:val="10"/>
        </w:rPr>
      </w:pPr>
    </w:p>
    <w:p w:rsidR="000D624D" w:rsidRPr="000D624D" w:rsidRDefault="000D624D" w:rsidP="00A65286">
      <w:pPr>
        <w:pStyle w:val="SingleTxt"/>
        <w:jc w:val="left"/>
      </w:pPr>
      <w:r w:rsidRPr="000D624D">
        <w:rPr>
          <w:i/>
          <w:iCs/>
        </w:rPr>
        <w:t>Документ</w:t>
      </w:r>
      <w:r w:rsidRPr="000D624D">
        <w:t>:</w:t>
      </w:r>
      <w:r w:rsidRPr="000D624D">
        <w:tab/>
      </w:r>
      <w:r w:rsidR="00A65286">
        <w:tab/>
      </w:r>
      <w:r w:rsidR="00A65286">
        <w:tab/>
      </w:r>
      <w:r w:rsidR="00A65286">
        <w:tab/>
      </w:r>
      <w:r w:rsidRPr="000D624D">
        <w:t>ECE/TRANS/WP.15/AC.2/2015/22 (Бельгия)</w:t>
      </w:r>
    </w:p>
    <w:p w:rsidR="000D624D" w:rsidRPr="000D624D" w:rsidRDefault="000D624D" w:rsidP="000D624D">
      <w:pPr>
        <w:pStyle w:val="SingleTxt"/>
      </w:pPr>
      <w:r w:rsidRPr="000D624D">
        <w:t>53.</w:t>
      </w:r>
      <w:r w:rsidRPr="000D624D">
        <w:tab/>
        <w:t>Бельгия представит новое предложение с учетом высказанных замечаний.</w:t>
      </w:r>
    </w:p>
    <w:p w:rsidR="000D624D" w:rsidRPr="001E4B0C" w:rsidRDefault="000D624D" w:rsidP="001E4B0C">
      <w:pPr>
        <w:pStyle w:val="SingleTxt"/>
        <w:spacing w:after="0" w:line="120" w:lineRule="exact"/>
        <w:rPr>
          <w:sz w:val="10"/>
        </w:rPr>
      </w:pPr>
    </w:p>
    <w:p w:rsidR="000D624D" w:rsidRPr="000D624D" w:rsidRDefault="001E4B0C" w:rsidP="001E4B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11.</w:t>
      </w:r>
      <w:r w:rsidR="000D624D" w:rsidRPr="000D624D">
        <w:tab/>
        <w:t xml:space="preserve">Остойчивость неповрежденных танкеров типа N при использовании </w:t>
      </w:r>
      <w:proofErr w:type="spellStart"/>
      <w:r w:rsidR="000D624D" w:rsidRPr="000D624D">
        <w:t>междубортовых</w:t>
      </w:r>
      <w:proofErr w:type="spellEnd"/>
      <w:r w:rsidR="000D624D" w:rsidRPr="000D624D">
        <w:t xml:space="preserve"> простран</w:t>
      </w:r>
      <w:proofErr w:type="gramStart"/>
      <w:r w:rsidR="000D624D" w:rsidRPr="000D624D">
        <w:t>ств дл</w:t>
      </w:r>
      <w:proofErr w:type="gramEnd"/>
      <w:r w:rsidR="000D624D" w:rsidRPr="000D624D">
        <w:t>я балласта</w:t>
      </w:r>
    </w:p>
    <w:p w:rsidR="000D624D" w:rsidRPr="001E4B0C" w:rsidRDefault="000D624D" w:rsidP="001E4B0C">
      <w:pPr>
        <w:pStyle w:val="SingleTxt"/>
        <w:spacing w:after="0" w:line="120" w:lineRule="exact"/>
        <w:rPr>
          <w:sz w:val="10"/>
        </w:rPr>
      </w:pPr>
    </w:p>
    <w:p w:rsidR="000D624D" w:rsidRPr="000D624D" w:rsidRDefault="000D624D" w:rsidP="00A65286">
      <w:pPr>
        <w:pStyle w:val="SingleTxt"/>
        <w:ind w:left="4133" w:hanging="2866"/>
        <w:jc w:val="left"/>
      </w:pPr>
      <w:r w:rsidRPr="000D624D">
        <w:rPr>
          <w:i/>
          <w:iCs/>
        </w:rPr>
        <w:t>Документ</w:t>
      </w:r>
      <w:r w:rsidRPr="000D624D">
        <w:t>:</w:t>
      </w:r>
      <w:r w:rsidRPr="000D624D">
        <w:tab/>
      </w:r>
      <w:r w:rsidR="00A65286">
        <w:tab/>
      </w:r>
      <w:r w:rsidR="00A65286">
        <w:tab/>
      </w:r>
      <w:r w:rsidR="00A65286">
        <w:tab/>
      </w:r>
      <w:r w:rsidRPr="000D624D">
        <w:t>ECE/TRANS/WP.1</w:t>
      </w:r>
      <w:r w:rsidR="00A65286">
        <w:t>5/AC.2/2015/23</w:t>
      </w:r>
      <w:r w:rsidR="00A65286">
        <w:br/>
      </w:r>
      <w:r w:rsidR="001E4B0C">
        <w:t>(Рекомендован</w:t>
      </w:r>
      <w:r w:rsidR="00A65286">
        <w:t xml:space="preserve">ные </w:t>
      </w:r>
      <w:r w:rsidRPr="000D624D">
        <w:t>классификационные общества ВОПОГ)</w:t>
      </w:r>
    </w:p>
    <w:p w:rsidR="000D624D" w:rsidRPr="000D624D" w:rsidRDefault="000D624D" w:rsidP="000D624D">
      <w:pPr>
        <w:pStyle w:val="SingleTxt"/>
      </w:pPr>
      <w:r w:rsidRPr="000D624D">
        <w:t>54.</w:t>
      </w:r>
      <w:r w:rsidRPr="000D624D">
        <w:tab/>
        <w:t>Было отмечено, что аргументация, касающаяся танкеров типа N, будет та</w:t>
      </w:r>
      <w:r w:rsidRPr="000D624D">
        <w:t>к</w:t>
      </w:r>
      <w:r w:rsidRPr="000D624D">
        <w:t>же верна и для танкеров типа C и что следует предусмотреть переходные меры. Поэтому на следующей сессии будет представлено новое положение.</w:t>
      </w:r>
    </w:p>
    <w:p w:rsidR="000D624D" w:rsidRPr="001E4B0C" w:rsidRDefault="000D624D" w:rsidP="001E4B0C">
      <w:pPr>
        <w:pStyle w:val="SingleTxt"/>
        <w:spacing w:after="0" w:line="120" w:lineRule="exact"/>
        <w:rPr>
          <w:sz w:val="10"/>
        </w:rPr>
      </w:pPr>
    </w:p>
    <w:p w:rsidR="000D624D" w:rsidRPr="000D624D" w:rsidRDefault="001E4B0C" w:rsidP="001E4B0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12.</w:t>
      </w:r>
      <w:r w:rsidR="000D624D" w:rsidRPr="000D624D">
        <w:tab/>
        <w:t>Промежуточная стадия затопления (9.3.х.13.3)</w:t>
      </w:r>
    </w:p>
    <w:p w:rsidR="000D624D" w:rsidRPr="001E4B0C" w:rsidRDefault="000D624D" w:rsidP="001E4B0C">
      <w:pPr>
        <w:pStyle w:val="SingleTxt"/>
        <w:spacing w:after="0" w:line="120" w:lineRule="exact"/>
        <w:rPr>
          <w:sz w:val="10"/>
        </w:rPr>
      </w:pPr>
    </w:p>
    <w:p w:rsidR="000D624D" w:rsidRPr="000D624D" w:rsidRDefault="000D624D" w:rsidP="00A65286">
      <w:pPr>
        <w:pStyle w:val="SingleTxt"/>
        <w:ind w:left="4133" w:hanging="2866"/>
        <w:jc w:val="left"/>
      </w:pPr>
      <w:r w:rsidRPr="000D624D">
        <w:rPr>
          <w:i/>
          <w:iCs/>
        </w:rPr>
        <w:t>Документ</w:t>
      </w:r>
      <w:r w:rsidRPr="000D624D">
        <w:t>:</w:t>
      </w:r>
      <w:r w:rsidRPr="000D624D">
        <w:tab/>
      </w:r>
      <w:r w:rsidR="00A65286">
        <w:tab/>
      </w:r>
      <w:r w:rsidR="00A65286">
        <w:tab/>
      </w:r>
      <w:r w:rsidR="00A65286">
        <w:tab/>
      </w:r>
      <w:r w:rsidRPr="000D624D">
        <w:t>ECE/TRANS/WP.1</w:t>
      </w:r>
      <w:r w:rsidR="00A65286">
        <w:t>5/AC.2/2015/24</w:t>
      </w:r>
      <w:r w:rsidR="00A65286">
        <w:br/>
      </w:r>
      <w:r w:rsidR="001E4B0C">
        <w:t>(Рекомендован</w:t>
      </w:r>
      <w:r w:rsidR="00A65286">
        <w:t xml:space="preserve">ные </w:t>
      </w:r>
      <w:r w:rsidRPr="000D624D">
        <w:t>классификационные общества ВОПОГ)</w:t>
      </w:r>
    </w:p>
    <w:p w:rsidR="000D624D" w:rsidRPr="000D624D" w:rsidRDefault="000D624D" w:rsidP="000D624D">
      <w:pPr>
        <w:pStyle w:val="SingleTxt"/>
      </w:pPr>
      <w:r w:rsidRPr="000D624D">
        <w:t>55.</w:t>
      </w:r>
      <w:r w:rsidRPr="000D624D">
        <w:tab/>
        <w:t>Комитет по вопросам безопасности отмети</w:t>
      </w:r>
      <w:r w:rsidR="00030AAD">
        <w:t>л, что в ходе пересмотра в 2012 </w:t>
      </w:r>
      <w:r w:rsidRPr="000D624D">
        <w:t>году требований в области остойчивости танкеров, в том числе требований к остойчивости неповрежденного судна, содержащихся в пунктах 9.3.х.13.3, из пунктов 9.3.х.13.3 были исключены, вероятно</w:t>
      </w:r>
      <w:r w:rsidR="00191979">
        <w:t>,</w:t>
      </w:r>
      <w:r w:rsidRPr="000D624D">
        <w:t xml:space="preserve"> по недосмотру, требования, кас</w:t>
      </w:r>
      <w:r w:rsidRPr="000D624D">
        <w:t>а</w:t>
      </w:r>
      <w:r w:rsidRPr="000D624D">
        <w:t>ющиеся подтверждения плавучести судна после повреждения. Поэтому Комитет решил добавить предложенный пункт 9.3.х.13.4 (см. приложение I). По просьбе представителя ЕОС Рекомендованные классификационные общества ВОПОГ подтвердили, что это не скажется на осадке судна.</w:t>
      </w:r>
    </w:p>
    <w:p w:rsidR="000D624D" w:rsidRPr="00030AAD" w:rsidRDefault="000D624D" w:rsidP="00030AAD">
      <w:pPr>
        <w:pStyle w:val="SingleTxt"/>
        <w:spacing w:after="0" w:line="120" w:lineRule="exact"/>
        <w:rPr>
          <w:sz w:val="10"/>
        </w:rPr>
      </w:pPr>
    </w:p>
    <w:p w:rsidR="000D624D" w:rsidRPr="000D624D" w:rsidRDefault="00030AAD" w:rsidP="00030A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13.</w:t>
      </w:r>
      <w:r w:rsidR="000D624D" w:rsidRPr="000D624D">
        <w:tab/>
        <w:t>Компрессорная установка, расположенная на палубе</w:t>
      </w:r>
    </w:p>
    <w:p w:rsidR="000D624D" w:rsidRPr="00030AAD" w:rsidRDefault="000D624D" w:rsidP="00030AAD">
      <w:pPr>
        <w:pStyle w:val="SingleTxt"/>
        <w:spacing w:after="0" w:line="120" w:lineRule="exact"/>
        <w:rPr>
          <w:sz w:val="10"/>
        </w:rPr>
      </w:pPr>
    </w:p>
    <w:p w:rsidR="000D624D" w:rsidRPr="000D624D" w:rsidRDefault="000D624D" w:rsidP="00A65286">
      <w:pPr>
        <w:pStyle w:val="SingleTxt"/>
        <w:ind w:left="4133" w:hanging="2866"/>
        <w:jc w:val="left"/>
      </w:pPr>
      <w:r w:rsidRPr="000D624D">
        <w:rPr>
          <w:i/>
          <w:iCs/>
        </w:rPr>
        <w:t>Документ</w:t>
      </w:r>
      <w:r w:rsidRPr="000D624D">
        <w:t>:</w:t>
      </w:r>
      <w:r w:rsidRPr="000D624D">
        <w:tab/>
      </w:r>
      <w:r w:rsidR="00A65286">
        <w:tab/>
      </w:r>
      <w:r w:rsidR="00A65286">
        <w:tab/>
      </w:r>
      <w:r w:rsidR="00A65286">
        <w:tab/>
      </w:r>
      <w:r w:rsidRPr="000D624D">
        <w:t>ECE/TRANS/WP.1</w:t>
      </w:r>
      <w:r w:rsidR="00A65286">
        <w:t>5/AC.2/2015/25</w:t>
      </w:r>
      <w:r w:rsidR="00A65286">
        <w:br/>
      </w:r>
      <w:r w:rsidR="00030AAD">
        <w:t>(Рекомендован</w:t>
      </w:r>
      <w:r w:rsidR="00A65286">
        <w:t xml:space="preserve">ные </w:t>
      </w:r>
      <w:r w:rsidRPr="000D624D">
        <w:t>классификационные общества ВОПОГ)</w:t>
      </w:r>
    </w:p>
    <w:p w:rsidR="000D624D" w:rsidRPr="000D624D" w:rsidRDefault="000D624D" w:rsidP="000D624D">
      <w:pPr>
        <w:pStyle w:val="SingleTxt"/>
      </w:pPr>
      <w:r w:rsidRPr="000D624D">
        <w:t>56.</w:t>
      </w:r>
      <w:r w:rsidRPr="000D624D">
        <w:tab/>
        <w:t>Это предложение было поддержано в принципе, но Рекомендованным кла</w:t>
      </w:r>
      <w:r w:rsidRPr="000D624D">
        <w:t>с</w:t>
      </w:r>
      <w:r w:rsidRPr="000D624D">
        <w:t>сификационным обществам ВОПОГ было предложено представить новое пре</w:t>
      </w:r>
      <w:r w:rsidRPr="000D624D">
        <w:t>д</w:t>
      </w:r>
      <w:r w:rsidRPr="000D624D">
        <w:t>ложение с учетом высказанных замечаний.</w:t>
      </w:r>
    </w:p>
    <w:p w:rsidR="000D624D" w:rsidRPr="00030AAD" w:rsidRDefault="000D624D" w:rsidP="00030AAD">
      <w:pPr>
        <w:pStyle w:val="SingleTxt"/>
        <w:spacing w:after="0" w:line="120" w:lineRule="exact"/>
        <w:rPr>
          <w:sz w:val="10"/>
        </w:rPr>
      </w:pPr>
    </w:p>
    <w:p w:rsidR="000D624D" w:rsidRPr="000D624D" w:rsidRDefault="00030AAD" w:rsidP="00030A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14.</w:t>
      </w:r>
      <w:r w:rsidR="000D624D" w:rsidRPr="000D624D">
        <w:tab/>
        <w:t xml:space="preserve">Переходные положения, касающиеся модификации танкера, изложенные </w:t>
      </w:r>
      <w:r>
        <w:t>в </w:t>
      </w:r>
      <w:r w:rsidR="000D624D" w:rsidRPr="000D624D">
        <w:t>пункте 1.6.7.5.1 c)</w:t>
      </w:r>
    </w:p>
    <w:p w:rsidR="000D624D" w:rsidRPr="00030AAD" w:rsidRDefault="000D624D" w:rsidP="00030AAD">
      <w:pPr>
        <w:pStyle w:val="SingleTxt"/>
        <w:spacing w:after="0" w:line="120" w:lineRule="exact"/>
        <w:rPr>
          <w:sz w:val="10"/>
        </w:rPr>
      </w:pPr>
    </w:p>
    <w:p w:rsidR="000D624D" w:rsidRPr="000D624D" w:rsidRDefault="000D624D" w:rsidP="00030AAD">
      <w:pPr>
        <w:pStyle w:val="SingleTxt"/>
        <w:ind w:left="4133" w:hanging="2866"/>
        <w:jc w:val="left"/>
      </w:pPr>
      <w:r w:rsidRPr="000D624D">
        <w:rPr>
          <w:i/>
          <w:iCs/>
        </w:rPr>
        <w:t>Документ</w:t>
      </w:r>
      <w:r w:rsidRPr="000D624D">
        <w:t>:</w:t>
      </w:r>
      <w:r w:rsidRPr="000D624D">
        <w:tab/>
      </w:r>
      <w:r w:rsidR="00030AAD">
        <w:tab/>
      </w:r>
      <w:r w:rsidR="00030AAD">
        <w:tab/>
      </w:r>
      <w:r w:rsidR="00030AAD">
        <w:tab/>
      </w:r>
      <w:r w:rsidRPr="000D624D">
        <w:t>ECE/TRANS/WP.1</w:t>
      </w:r>
      <w:r w:rsidR="00030AAD">
        <w:t>5/AC.2/2015/26</w:t>
      </w:r>
      <w:r w:rsidR="00030AAD">
        <w:br/>
        <w:t xml:space="preserve">(Рекомендованные </w:t>
      </w:r>
      <w:r w:rsidRPr="000D624D">
        <w:t>классификационные общества ВОПОГ)</w:t>
      </w:r>
    </w:p>
    <w:p w:rsidR="000D624D" w:rsidRPr="000D624D" w:rsidRDefault="000D624D" w:rsidP="000D624D">
      <w:pPr>
        <w:pStyle w:val="SingleTxt"/>
      </w:pPr>
      <w:r w:rsidRPr="000D624D">
        <w:t>57.</w:t>
      </w:r>
      <w:r w:rsidRPr="000D624D">
        <w:tab/>
        <w:t>Представитель Рекомендованных классификационных обществ ВОПОГ снял с обсуждения свое предложение об исключении пункта 1.6.7.5.1 c), так как положения этого пункта, касающиеся выявления возгорания, призваны компе</w:t>
      </w:r>
      <w:r w:rsidRPr="000D624D">
        <w:t>н</w:t>
      </w:r>
      <w:r w:rsidRPr="000D624D">
        <w:t xml:space="preserve">сировать положение пункта 1.6.7.5.1 b), позволяющее использовать </w:t>
      </w:r>
      <w:proofErr w:type="spellStart"/>
      <w:r w:rsidRPr="000D624D">
        <w:t>неогнесто</w:t>
      </w:r>
      <w:r w:rsidRPr="000D624D">
        <w:t>й</w:t>
      </w:r>
      <w:r w:rsidRPr="000D624D">
        <w:t>кие</w:t>
      </w:r>
      <w:proofErr w:type="spellEnd"/>
      <w:r w:rsidRPr="000D624D">
        <w:t xml:space="preserve"> материалы в жилых помещениях и рулевой рубке.</w:t>
      </w:r>
    </w:p>
    <w:p w:rsidR="000D624D" w:rsidRPr="00030AAD" w:rsidRDefault="000D624D" w:rsidP="00030AAD">
      <w:pPr>
        <w:pStyle w:val="SingleTxt"/>
        <w:spacing w:after="0" w:line="120" w:lineRule="exact"/>
        <w:rPr>
          <w:sz w:val="10"/>
        </w:rPr>
      </w:pPr>
    </w:p>
    <w:p w:rsidR="000D624D" w:rsidRPr="000D624D" w:rsidRDefault="00030AAD" w:rsidP="00030A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15.</w:t>
      </w:r>
      <w:r w:rsidR="000D624D" w:rsidRPr="000D624D">
        <w:tab/>
        <w:t>Техническое судовое свидетельство</w:t>
      </w:r>
    </w:p>
    <w:p w:rsidR="000D624D" w:rsidRPr="00030AAD" w:rsidRDefault="000D624D" w:rsidP="00030AAD">
      <w:pPr>
        <w:pStyle w:val="SingleTxt"/>
        <w:spacing w:after="0" w:line="120" w:lineRule="exact"/>
        <w:rPr>
          <w:sz w:val="10"/>
        </w:rPr>
      </w:pPr>
    </w:p>
    <w:p w:rsidR="000D624D" w:rsidRPr="000D624D" w:rsidRDefault="000D624D" w:rsidP="00030AAD">
      <w:pPr>
        <w:pStyle w:val="SingleTxt"/>
        <w:jc w:val="left"/>
      </w:pPr>
      <w:r w:rsidRPr="000D624D">
        <w:rPr>
          <w:i/>
          <w:iCs/>
        </w:rPr>
        <w:t>Документ</w:t>
      </w:r>
      <w:r w:rsidRPr="000D624D">
        <w:t>:</w:t>
      </w:r>
      <w:r w:rsidRPr="000D624D">
        <w:tab/>
      </w:r>
      <w:r w:rsidR="00030AAD">
        <w:tab/>
      </w:r>
      <w:r w:rsidR="00030AAD">
        <w:tab/>
      </w:r>
      <w:r w:rsidR="00030AAD">
        <w:tab/>
      </w:r>
      <w:r w:rsidRPr="000D624D">
        <w:t>ECE/TRANS/WP.15/AC.2/2015/28 (Бельгия)</w:t>
      </w:r>
    </w:p>
    <w:p w:rsidR="000D624D" w:rsidRPr="000D624D" w:rsidRDefault="000D624D" w:rsidP="000D624D">
      <w:pPr>
        <w:pStyle w:val="SingleTxt"/>
      </w:pPr>
      <w:r w:rsidRPr="000D624D">
        <w:t>58.</w:t>
      </w:r>
      <w:r w:rsidRPr="000D624D">
        <w:tab/>
        <w:t>Комитет по вопросам безопасности согласился с мнением представителя Бельгии о том, что термин «судовое свидете</w:t>
      </w:r>
      <w:r w:rsidR="00030AAD">
        <w:t>льство», используемый в разд</w:t>
      </w:r>
      <w:r w:rsidR="00030AAD">
        <w:t>е</w:t>
      </w:r>
      <w:r w:rsidR="00030AAD">
        <w:t>ле </w:t>
      </w:r>
      <w:r w:rsidR="00634B60">
        <w:t>1.16.5, не</w:t>
      </w:r>
      <w:r w:rsidRPr="000D624D">
        <w:t>обязательно является наиболее подходящим, так как, например, в з</w:t>
      </w:r>
      <w:r w:rsidRPr="000D624D">
        <w:t>а</w:t>
      </w:r>
      <w:r w:rsidRPr="000D624D">
        <w:t>конодательстве Европейского союза используется термин «техническое судовое свидетельство». Вместе с тем было отмечено, что могут существовать и другие термины, учитывая, например, пункт 1.1.4.6.1</w:t>
      </w:r>
      <w:r w:rsidR="00ED2FBE">
        <w:t xml:space="preserve"> </w:t>
      </w:r>
      <w:r w:rsidRPr="000D624D">
        <w:t xml:space="preserve">Представителю Бельгии </w:t>
      </w:r>
      <w:proofErr w:type="gramStart"/>
      <w:r w:rsidRPr="000D624D">
        <w:t>было</w:t>
      </w:r>
      <w:proofErr w:type="gramEnd"/>
      <w:r w:rsidRPr="000D624D">
        <w:t xml:space="preserve"> п</w:t>
      </w:r>
      <w:r w:rsidRPr="000D624D">
        <w:t>о</w:t>
      </w:r>
      <w:r w:rsidRPr="000D624D">
        <w:t>этому предложено представить новое предложение с учетом терминологии, кот</w:t>
      </w:r>
      <w:r w:rsidRPr="000D624D">
        <w:t>о</w:t>
      </w:r>
      <w:r w:rsidRPr="000D624D">
        <w:t>рая, возможно, используется в странах, не входящих в Европейский союз.</w:t>
      </w:r>
    </w:p>
    <w:p w:rsidR="000D624D" w:rsidRPr="00030AAD" w:rsidRDefault="000D624D" w:rsidP="00030AAD">
      <w:pPr>
        <w:pStyle w:val="SingleTxt"/>
        <w:spacing w:after="0" w:line="120" w:lineRule="exact"/>
        <w:rPr>
          <w:sz w:val="10"/>
        </w:rPr>
      </w:pPr>
    </w:p>
    <w:p w:rsidR="000D624D" w:rsidRPr="000D624D" w:rsidRDefault="00030AAD" w:rsidP="00030A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16.</w:t>
      </w:r>
      <w:r w:rsidR="000D624D" w:rsidRPr="000D624D">
        <w:tab/>
        <w:t>Конструкционные материалы</w:t>
      </w:r>
    </w:p>
    <w:p w:rsidR="000D624D" w:rsidRPr="00030AAD" w:rsidRDefault="000D624D" w:rsidP="00030AAD">
      <w:pPr>
        <w:pStyle w:val="SingleTxt"/>
        <w:spacing w:after="0" w:line="120" w:lineRule="exact"/>
        <w:rPr>
          <w:b/>
          <w:bCs/>
          <w:sz w:val="10"/>
        </w:rPr>
      </w:pPr>
    </w:p>
    <w:p w:rsidR="000D624D" w:rsidRPr="000D624D" w:rsidRDefault="000D624D" w:rsidP="00030AAD">
      <w:pPr>
        <w:pStyle w:val="SingleTxt"/>
        <w:ind w:left="4133" w:hanging="2866"/>
        <w:jc w:val="left"/>
      </w:pPr>
      <w:r w:rsidRPr="000D624D">
        <w:rPr>
          <w:i/>
          <w:iCs/>
        </w:rPr>
        <w:t>Документ</w:t>
      </w:r>
      <w:r w:rsidRPr="000D624D">
        <w:t>:</w:t>
      </w:r>
      <w:r w:rsidRPr="000D624D">
        <w:tab/>
      </w:r>
      <w:r w:rsidR="00030AAD">
        <w:tab/>
      </w:r>
      <w:r w:rsidR="00030AAD">
        <w:tab/>
      </w:r>
      <w:r w:rsidR="00030AAD">
        <w:tab/>
      </w:r>
      <w:r w:rsidRPr="000D624D">
        <w:t>ECE/TRANS/WP.15/AC.2/2015/19 и Corr</w:t>
      </w:r>
      <w:r w:rsidR="00030AAD">
        <w:t>.1</w:t>
      </w:r>
      <w:r w:rsidR="00030AAD">
        <w:br/>
      </w:r>
      <w:r w:rsidRPr="000D624D">
        <w:t>(ЕСРПТ, ЕСРС, ЕОС)</w:t>
      </w:r>
    </w:p>
    <w:p w:rsidR="000D624D" w:rsidRPr="000D624D" w:rsidRDefault="000D624D" w:rsidP="000D624D">
      <w:pPr>
        <w:pStyle w:val="SingleTxt"/>
      </w:pPr>
      <w:r w:rsidRPr="000D624D">
        <w:t>59.</w:t>
      </w:r>
      <w:r w:rsidRPr="000D624D">
        <w:tab/>
        <w:t>Ряд делегаций поддержали предложение о включении соответствующих п</w:t>
      </w:r>
      <w:r w:rsidRPr="000D624D">
        <w:t>о</w:t>
      </w:r>
      <w:r w:rsidRPr="000D624D">
        <w:t>ложений с целью учета все более широкого использования современных матер</w:t>
      </w:r>
      <w:r w:rsidRPr="000D624D">
        <w:t>и</w:t>
      </w:r>
      <w:r w:rsidRPr="000D624D">
        <w:t xml:space="preserve">алов на судах и высказались за более удобный для пользователей формат этих </w:t>
      </w:r>
      <w:r w:rsidRPr="000D624D">
        <w:lastRenderedPageBreak/>
        <w:t>положений, которые можно было бы вклю</w:t>
      </w:r>
      <w:r w:rsidR="00D17D42">
        <w:t>чить, например, в виде таблицы.</w:t>
      </w:r>
      <w:r w:rsidR="00D17D42">
        <w:br/>
      </w:r>
      <w:r w:rsidRPr="000D624D">
        <w:t>На следующей сессии будет представлено новое предложение.</w:t>
      </w:r>
    </w:p>
    <w:p w:rsidR="000D624D" w:rsidRPr="00030AAD" w:rsidRDefault="000D624D" w:rsidP="00030AAD">
      <w:pPr>
        <w:pStyle w:val="SingleTxt"/>
        <w:spacing w:after="0" w:line="120" w:lineRule="exact"/>
        <w:rPr>
          <w:sz w:val="10"/>
        </w:rPr>
      </w:pPr>
    </w:p>
    <w:p w:rsidR="000D624D" w:rsidRPr="000D624D" w:rsidRDefault="00030AAD" w:rsidP="00030A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17.</w:t>
      </w:r>
      <w:r w:rsidR="000D624D" w:rsidRPr="000D624D">
        <w:tab/>
        <w:t>Взятие проб</w:t>
      </w:r>
    </w:p>
    <w:p w:rsidR="000D624D" w:rsidRPr="00030AAD" w:rsidRDefault="000D624D" w:rsidP="00030AAD">
      <w:pPr>
        <w:pStyle w:val="SingleTxt"/>
        <w:spacing w:after="0" w:line="120" w:lineRule="exact"/>
        <w:rPr>
          <w:sz w:val="10"/>
        </w:rPr>
      </w:pPr>
    </w:p>
    <w:p w:rsidR="000D624D" w:rsidRPr="000D624D" w:rsidRDefault="000D624D" w:rsidP="00A65286">
      <w:pPr>
        <w:pStyle w:val="SingleTxt"/>
        <w:ind w:left="4133" w:hanging="2866"/>
        <w:jc w:val="left"/>
      </w:pPr>
      <w:r w:rsidRPr="000D624D">
        <w:rPr>
          <w:i/>
          <w:iCs/>
        </w:rPr>
        <w:t>Неофициальные документы</w:t>
      </w:r>
      <w:r w:rsidRPr="000D624D">
        <w:t>:</w:t>
      </w:r>
      <w:r w:rsidRPr="000D624D">
        <w:tab/>
        <w:t>INF.9 (ЕСРПТ, ЕСРС, ЕОС)</w:t>
      </w:r>
      <w:r w:rsidR="00030AAD">
        <w:br/>
      </w:r>
      <w:r w:rsidRPr="000D624D">
        <w:t>INF.13 (ЕСФХП)</w:t>
      </w:r>
    </w:p>
    <w:p w:rsidR="000D624D" w:rsidRPr="000D624D" w:rsidRDefault="000D624D" w:rsidP="00030AAD">
      <w:pPr>
        <w:pStyle w:val="SingleTxt"/>
        <w:keepNext/>
        <w:keepLines/>
      </w:pPr>
      <w:r w:rsidRPr="000D624D">
        <w:t>60.</w:t>
      </w:r>
      <w:r w:rsidRPr="000D624D">
        <w:tab/>
        <w:t>Комитет по вопросам безопасности принял к сведению упомянутые трудн</w:t>
      </w:r>
      <w:r w:rsidRPr="000D624D">
        <w:t>о</w:t>
      </w:r>
      <w:r w:rsidRPr="000D624D">
        <w:t>сти, связанные с отбором проб на танкерах, в частности с обеспечением хорош</w:t>
      </w:r>
      <w:r w:rsidRPr="000D624D">
        <w:t>е</w:t>
      </w:r>
      <w:r w:rsidRPr="000D624D">
        <w:t xml:space="preserve">го качества отобранных проб, так как устройства для взятия проб часто </w:t>
      </w:r>
      <w:proofErr w:type="gramStart"/>
      <w:r w:rsidRPr="000D624D">
        <w:t>бывают</w:t>
      </w:r>
      <w:proofErr w:type="gramEnd"/>
      <w:r w:rsidRPr="000D624D">
        <w:t xml:space="preserve"> загрязнены остатками предыдущего груза. </w:t>
      </w:r>
      <w:proofErr w:type="gramStart"/>
      <w:r w:rsidRPr="000D624D">
        <w:t>Комитет по вопросам безопасности, однако, счел, что речь в данном случае идет, по сути дела, о практической пр</w:t>
      </w:r>
      <w:r w:rsidRPr="000D624D">
        <w:t>о</w:t>
      </w:r>
      <w:r w:rsidRPr="000D624D">
        <w:t>блеме, связанной с противоположными интересами различных сторон (химич</w:t>
      </w:r>
      <w:r w:rsidRPr="000D624D">
        <w:t>е</w:t>
      </w:r>
      <w:r w:rsidRPr="000D624D">
        <w:t>ской или нефтяной промышленности, с одной стороны, и компаний – операторов судов – с другой), и ему не представляется очевидным, что эта проблема может быть решена законодательным путем, так как законодательные положения на этот счет довольно ясны.</w:t>
      </w:r>
      <w:proofErr w:type="gramEnd"/>
    </w:p>
    <w:p w:rsidR="000D624D" w:rsidRPr="000D624D" w:rsidRDefault="000D624D" w:rsidP="000D624D">
      <w:pPr>
        <w:pStyle w:val="SingleTxt"/>
      </w:pPr>
      <w:r w:rsidRPr="000D624D">
        <w:t>61.</w:t>
      </w:r>
      <w:r w:rsidRPr="000D624D">
        <w:tab/>
        <w:t>Представитель ЕСФХП сообщил, что он организует совещание неофиц</w:t>
      </w:r>
      <w:r w:rsidRPr="000D624D">
        <w:t>и</w:t>
      </w:r>
      <w:r w:rsidRPr="000D624D">
        <w:t>альной рабочей группы, на котором различные стороны смогут обсудить данные проблемы. Этой группе было предложено представить в случае необходимости предложения по поправкам к Правилам, прилагаемым к ВОПОГ, если она сочтет, что для решения этих проблем можно было бы включить в Правила более п</w:t>
      </w:r>
      <w:r w:rsidRPr="000D624D">
        <w:t>о</w:t>
      </w:r>
      <w:r w:rsidRPr="000D624D">
        <w:t>дробные положения, устанавливающие необходимую процедуру.</w:t>
      </w:r>
    </w:p>
    <w:p w:rsidR="000D624D" w:rsidRPr="00030AAD" w:rsidRDefault="000D624D" w:rsidP="00030AAD">
      <w:pPr>
        <w:pStyle w:val="SingleTxt"/>
        <w:spacing w:after="0" w:line="120" w:lineRule="exact"/>
        <w:rPr>
          <w:sz w:val="10"/>
        </w:rPr>
      </w:pPr>
    </w:p>
    <w:p w:rsidR="000D624D" w:rsidRPr="000D624D" w:rsidRDefault="00030AAD" w:rsidP="00030A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18.</w:t>
      </w:r>
      <w:r w:rsidR="000D624D" w:rsidRPr="000D624D">
        <w:tab/>
        <w:t>Процедура осмотра, выдача свидетельств о допущении, классификация судов</w:t>
      </w:r>
    </w:p>
    <w:p w:rsidR="000D624D" w:rsidRPr="00030AAD" w:rsidRDefault="000D624D" w:rsidP="00030AAD">
      <w:pPr>
        <w:pStyle w:val="SingleTxt"/>
        <w:spacing w:after="0" w:line="120" w:lineRule="exact"/>
        <w:rPr>
          <w:sz w:val="10"/>
        </w:rPr>
      </w:pPr>
    </w:p>
    <w:p w:rsidR="000D624D" w:rsidRPr="000D624D" w:rsidRDefault="000D624D" w:rsidP="00030AAD">
      <w:pPr>
        <w:pStyle w:val="SingleTxt"/>
        <w:ind w:left="4133" w:hanging="2866"/>
        <w:jc w:val="left"/>
      </w:pPr>
      <w:r w:rsidRPr="000D624D">
        <w:rPr>
          <w:i/>
          <w:iCs/>
        </w:rPr>
        <w:t>Неофициальный документ</w:t>
      </w:r>
      <w:r w:rsidRPr="000D624D">
        <w:t>:</w:t>
      </w:r>
      <w:r w:rsidRPr="000D624D">
        <w:tab/>
        <w:t xml:space="preserve">INF.17 </w:t>
      </w:r>
      <w:r w:rsidR="00030AAD">
        <w:t>(Франция от имени неофициальной</w:t>
      </w:r>
      <w:r w:rsidR="00030AAD">
        <w:br/>
      </w:r>
      <w:r w:rsidRPr="000D624D">
        <w:t>корреспондентской рабочей группы)</w:t>
      </w:r>
    </w:p>
    <w:p w:rsidR="000D624D" w:rsidRPr="000D624D" w:rsidRDefault="000D624D" w:rsidP="000D624D">
      <w:pPr>
        <w:pStyle w:val="SingleTxt"/>
      </w:pPr>
      <w:r w:rsidRPr="000D624D">
        <w:t>62.</w:t>
      </w:r>
      <w:r w:rsidRPr="000D624D">
        <w:tab/>
        <w:t>В этом документе содержались различные предложения о поправках, сфо</w:t>
      </w:r>
      <w:r w:rsidRPr="000D624D">
        <w:t>р</w:t>
      </w:r>
      <w:r w:rsidRPr="000D624D">
        <w:t>мулированные корреспондентской группой, возглавляемой Францией, в соотве</w:t>
      </w:r>
      <w:r w:rsidRPr="000D624D">
        <w:t>т</w:t>
      </w:r>
      <w:r w:rsidRPr="000D624D">
        <w:t>ствии с решениями, принятыми на предыдущей сессии (см. ECE/TRANS/WP.15/</w:t>
      </w:r>
      <w:r w:rsidR="00030AAD">
        <w:br/>
      </w:r>
      <w:r w:rsidRPr="000D624D">
        <w:t>AC.2/52, пункты 44 и 45). Комитет по вопросам безопасности рассмотрел и пр</w:t>
      </w:r>
      <w:r w:rsidRPr="000D624D">
        <w:t>и</w:t>
      </w:r>
      <w:r w:rsidRPr="000D624D">
        <w:t>нял эти предложения пр</w:t>
      </w:r>
      <w:r w:rsidR="00634B60">
        <w:t>и условии, что ряд вопросов буде</w:t>
      </w:r>
      <w:r w:rsidRPr="000D624D">
        <w:t>т дополнительно о</w:t>
      </w:r>
      <w:r w:rsidRPr="000D624D">
        <w:t>б</w:t>
      </w:r>
      <w:r w:rsidRPr="000D624D">
        <w:t>суж</w:t>
      </w:r>
      <w:r w:rsidR="00634B60">
        <w:t>ден</w:t>
      </w:r>
      <w:r w:rsidRPr="000D624D">
        <w:t xml:space="preserve"> корреспондентской группой и на следующей сессии будет представлено официальное предложение. Вопросы, которые требуют дальнейшего обсуждения, кратко излагаются ниже. Остальные принятые поправки будут отражены в оф</w:t>
      </w:r>
      <w:r w:rsidRPr="000D624D">
        <w:t>и</w:t>
      </w:r>
      <w:r w:rsidRPr="000D624D">
        <w:t>циальном предложении.</w:t>
      </w:r>
    </w:p>
    <w:p w:rsidR="000D624D" w:rsidRPr="000D624D" w:rsidRDefault="000D624D" w:rsidP="000D624D">
      <w:pPr>
        <w:pStyle w:val="SingleTxt"/>
      </w:pPr>
      <w:r w:rsidRPr="000D624D">
        <w:t>63.</w:t>
      </w:r>
      <w:r w:rsidRPr="000D624D">
        <w:tab/>
        <w:t xml:space="preserve">В частности, было решено систематически </w:t>
      </w:r>
      <w:proofErr w:type="gramStart"/>
      <w:r w:rsidRPr="000D624D">
        <w:t>использовать</w:t>
      </w:r>
      <w:proofErr w:type="gramEnd"/>
      <w:r w:rsidRPr="000D624D">
        <w:t xml:space="preserve"> термин «призна</w:t>
      </w:r>
      <w:r w:rsidRPr="000D624D">
        <w:t>н</w:t>
      </w:r>
      <w:r w:rsidRPr="000D624D">
        <w:t>ное классификационное общество» вместо термина «классификационное общ</w:t>
      </w:r>
      <w:r w:rsidRPr="000D624D">
        <w:t>е</w:t>
      </w:r>
      <w:r w:rsidRPr="000D624D">
        <w:t>ство» или «рекомендованное классификационное общество». Следует соотве</w:t>
      </w:r>
      <w:r w:rsidRPr="000D624D">
        <w:t>т</w:t>
      </w:r>
      <w:r w:rsidRPr="000D624D">
        <w:t>ствующим образом проверить весь те</w:t>
      </w:r>
      <w:proofErr w:type="gramStart"/>
      <w:r w:rsidRPr="000D624D">
        <w:t>кст Пр</w:t>
      </w:r>
      <w:proofErr w:type="gramEnd"/>
      <w:r w:rsidRPr="000D624D">
        <w:t>авил.</w:t>
      </w:r>
    </w:p>
    <w:p w:rsidR="000D624D" w:rsidRPr="000D624D" w:rsidRDefault="000D624D" w:rsidP="000D624D">
      <w:pPr>
        <w:pStyle w:val="SingleTxt"/>
      </w:pPr>
      <w:r w:rsidRPr="000D624D">
        <w:t>64.</w:t>
      </w:r>
      <w:r w:rsidRPr="000D624D">
        <w:tab/>
        <w:t>Слово «</w:t>
      </w:r>
      <w:proofErr w:type="spellStart"/>
      <w:r w:rsidRPr="000D624D">
        <w:t>ship</w:t>
      </w:r>
      <w:proofErr w:type="spellEnd"/>
      <w:r w:rsidRPr="000D624D">
        <w:t>» в тексте на английском языке было заменено словом «</w:t>
      </w:r>
      <w:proofErr w:type="spellStart"/>
      <w:r w:rsidRPr="000D624D">
        <w:t>vessel</w:t>
      </w:r>
      <w:proofErr w:type="spellEnd"/>
      <w:r w:rsidRPr="000D624D">
        <w:t>». В этой связи возник вопрос о том, следует ли упоминать баржи в разделе 1.2.1 и пункте 1.6.7.2.2.5, учитывая, что термин «судно» автоматически включает в себя баржи; корреспондентской группе было поручено выяснить этот вопрос.</w:t>
      </w:r>
    </w:p>
    <w:p w:rsidR="000D624D" w:rsidRPr="000D624D" w:rsidRDefault="000D624D" w:rsidP="000D624D">
      <w:pPr>
        <w:pStyle w:val="SingleTxt"/>
      </w:pPr>
      <w:r w:rsidRPr="000D624D">
        <w:t>65.</w:t>
      </w:r>
      <w:r w:rsidRPr="000D624D">
        <w:tab/>
        <w:t>Термин «</w:t>
      </w:r>
      <w:proofErr w:type="spellStart"/>
      <w:r w:rsidRPr="000D624D">
        <w:t>classification</w:t>
      </w:r>
      <w:proofErr w:type="spellEnd"/>
      <w:r w:rsidRPr="000D624D">
        <w:t xml:space="preserve"> </w:t>
      </w:r>
      <w:proofErr w:type="spellStart"/>
      <w:r w:rsidRPr="000D624D">
        <w:t>certificate</w:t>
      </w:r>
      <w:proofErr w:type="spellEnd"/>
      <w:r w:rsidRPr="000D624D">
        <w:t>» (классификационное свидетельство) в в</w:t>
      </w:r>
      <w:r w:rsidRPr="000D624D">
        <w:t>а</w:t>
      </w:r>
      <w:r w:rsidRPr="000D624D">
        <w:t>рианте на английском языке был заменен термином «</w:t>
      </w:r>
      <w:proofErr w:type="spellStart"/>
      <w:r w:rsidRPr="000D624D">
        <w:t>certificate</w:t>
      </w:r>
      <w:proofErr w:type="spellEnd"/>
      <w:r w:rsidRPr="000D624D">
        <w:t xml:space="preserve"> </w:t>
      </w:r>
      <w:proofErr w:type="spellStart"/>
      <w:r w:rsidRPr="000D624D">
        <w:t>of</w:t>
      </w:r>
      <w:proofErr w:type="spellEnd"/>
      <w:r w:rsidRPr="000D624D">
        <w:t xml:space="preserve"> </w:t>
      </w:r>
      <w:proofErr w:type="spellStart"/>
      <w:r w:rsidRPr="000D624D">
        <w:t>class</w:t>
      </w:r>
      <w:proofErr w:type="spellEnd"/>
      <w:r w:rsidRPr="000D624D">
        <w:t>», и след</w:t>
      </w:r>
      <w:r w:rsidRPr="000D624D">
        <w:t>у</w:t>
      </w:r>
      <w:r w:rsidRPr="000D624D">
        <w:t>ет проверить весь те</w:t>
      </w:r>
      <w:proofErr w:type="gramStart"/>
      <w:r w:rsidRPr="000D624D">
        <w:t>кст Пр</w:t>
      </w:r>
      <w:proofErr w:type="gramEnd"/>
      <w:r w:rsidRPr="000D624D">
        <w:t>авил, чтобы обеспечить последовательное использ</w:t>
      </w:r>
      <w:r w:rsidRPr="000D624D">
        <w:t>о</w:t>
      </w:r>
      <w:r w:rsidRPr="000D624D">
        <w:t>вание данного термина.</w:t>
      </w:r>
    </w:p>
    <w:p w:rsidR="000D624D" w:rsidRPr="000D624D" w:rsidRDefault="000D624D" w:rsidP="000D624D">
      <w:pPr>
        <w:pStyle w:val="SingleTxt"/>
      </w:pPr>
      <w:r w:rsidRPr="000D624D">
        <w:t>66.</w:t>
      </w:r>
      <w:r w:rsidRPr="000D624D">
        <w:tab/>
        <w:t>В пункте 1.6.7.2.1.4 следует предусмотреть переходные меры для учета с</w:t>
      </w:r>
      <w:r w:rsidRPr="000D624D">
        <w:t>у</w:t>
      </w:r>
      <w:r w:rsidRPr="000D624D">
        <w:t>хогрузных судов.</w:t>
      </w:r>
    </w:p>
    <w:p w:rsidR="000D624D" w:rsidRPr="000D624D" w:rsidRDefault="000D624D" w:rsidP="000D624D">
      <w:pPr>
        <w:pStyle w:val="SingleTxt"/>
      </w:pPr>
      <w:r w:rsidRPr="000D624D">
        <w:lastRenderedPageBreak/>
        <w:t>67.</w:t>
      </w:r>
      <w:r w:rsidRPr="000D624D">
        <w:tab/>
        <w:t>Формулировку подраздела 1.16.13.4 следует пересмотреть, уточнив в конце, что речь идет о компетентном органе, от имени которого осуществляет деятел</w:t>
      </w:r>
      <w:r w:rsidRPr="000D624D">
        <w:t>ь</w:t>
      </w:r>
      <w:r w:rsidRPr="000D624D">
        <w:t>ность классификационное общество.</w:t>
      </w:r>
    </w:p>
    <w:p w:rsidR="000D624D" w:rsidRPr="000D624D" w:rsidRDefault="000D624D" w:rsidP="00634B60">
      <w:pPr>
        <w:pStyle w:val="SingleTxt"/>
      </w:pPr>
      <w:r w:rsidRPr="000D624D">
        <w:t>68.</w:t>
      </w:r>
      <w:r w:rsidRPr="000D624D">
        <w:tab/>
        <w:t>Представитель Германии пожелал пересмотреть предложенную формул</w:t>
      </w:r>
      <w:r w:rsidRPr="000D624D">
        <w:t>и</w:t>
      </w:r>
      <w:r w:rsidRPr="000D624D">
        <w:t>ровку раздела 8.1.8. В этой связи, принимая во внимание сноску на стр. 11 ра</w:t>
      </w:r>
      <w:r w:rsidRPr="000D624D">
        <w:t>с</w:t>
      </w:r>
      <w:r w:rsidRPr="000D624D">
        <w:t>сматриваемого документа, было уточнено, что соответствующий период соста</w:t>
      </w:r>
      <w:r w:rsidRPr="000D624D">
        <w:t>в</w:t>
      </w:r>
      <w:r w:rsidRPr="000D624D">
        <w:t xml:space="preserve">ляет </w:t>
      </w:r>
      <w:r w:rsidR="00634B60">
        <w:t>12</w:t>
      </w:r>
      <w:r w:rsidRPr="000D624D">
        <w:t xml:space="preserve">, а не </w:t>
      </w:r>
      <w:r w:rsidR="00634B60">
        <w:t>6</w:t>
      </w:r>
      <w:r w:rsidRPr="000D624D">
        <w:t xml:space="preserve"> месяцев. Секретариат обратил внимание участников на то, что Комитет по вопросам безопасности уже принял решение исключить разд</w:t>
      </w:r>
      <w:r w:rsidRPr="000D624D">
        <w:t>е</w:t>
      </w:r>
      <w:r w:rsidR="00A011DF">
        <w:t>лы </w:t>
      </w:r>
      <w:r w:rsidRPr="000D624D">
        <w:t>8.1.8 и 8.1.9 в издании ВОПОГ 2017 года (см. ECE/TRANS/WP.15/AC.2/</w:t>
      </w:r>
      <w:r w:rsidR="00A011DF">
        <w:br/>
      </w:r>
      <w:r w:rsidRPr="000D624D">
        <w:t>2015/45 и ECE/TRANS/WP.15/AC.2/52, пункт 46 и приложение III).</w:t>
      </w:r>
    </w:p>
    <w:p w:rsidR="000D624D" w:rsidRPr="000D624D" w:rsidRDefault="000D624D" w:rsidP="000D624D">
      <w:pPr>
        <w:pStyle w:val="SingleTxt"/>
      </w:pPr>
      <w:r w:rsidRPr="000D624D">
        <w:t>69.</w:t>
      </w:r>
      <w:r w:rsidRPr="000D624D">
        <w:tab/>
        <w:t>Представитель Франции от имени неофициальной корреспондентской раб</w:t>
      </w:r>
      <w:r w:rsidRPr="000D624D">
        <w:t>о</w:t>
      </w:r>
      <w:r w:rsidRPr="000D624D">
        <w:t>чей группы подготовит новый документ с учетом решений, принятых на ныне</w:t>
      </w:r>
      <w:r w:rsidRPr="000D624D">
        <w:t>ш</w:t>
      </w:r>
      <w:r w:rsidRPr="000D624D">
        <w:t>ней сессии, и результатов предстоящих обсуждений в корреспондентской группе.</w:t>
      </w:r>
    </w:p>
    <w:p w:rsidR="000D624D" w:rsidRPr="00030AAD" w:rsidRDefault="000D624D" w:rsidP="00030AAD">
      <w:pPr>
        <w:pStyle w:val="SingleTxt"/>
        <w:spacing w:after="0" w:line="120" w:lineRule="exact"/>
        <w:rPr>
          <w:sz w:val="10"/>
        </w:rPr>
      </w:pPr>
    </w:p>
    <w:p w:rsidR="00030AAD" w:rsidRPr="00030AAD" w:rsidRDefault="00030AAD" w:rsidP="00030AAD">
      <w:pPr>
        <w:pStyle w:val="SingleTxt"/>
        <w:spacing w:after="0" w:line="120" w:lineRule="exact"/>
        <w:rPr>
          <w:sz w:val="10"/>
        </w:rPr>
      </w:pPr>
    </w:p>
    <w:p w:rsidR="000D624D" w:rsidRPr="000D624D" w:rsidRDefault="00030AAD" w:rsidP="00030A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VI.</w:t>
      </w:r>
      <w:r w:rsidR="000D624D" w:rsidRPr="000D624D">
        <w:tab/>
        <w:t>Докл</w:t>
      </w:r>
      <w:r w:rsidR="00C53BC9">
        <w:t>ады неофициальных рабочих групп</w:t>
      </w:r>
      <w:r w:rsidR="00C53BC9">
        <w:br/>
      </w:r>
      <w:r w:rsidR="000D624D" w:rsidRPr="000D624D">
        <w:t>(пункт 5 повестки дня)</w:t>
      </w:r>
    </w:p>
    <w:p w:rsidR="000D624D" w:rsidRPr="00030AAD" w:rsidRDefault="000D624D" w:rsidP="00030AAD">
      <w:pPr>
        <w:pStyle w:val="SingleTxt"/>
        <w:spacing w:after="0" w:line="120" w:lineRule="exact"/>
        <w:rPr>
          <w:sz w:val="10"/>
        </w:rPr>
      </w:pPr>
    </w:p>
    <w:p w:rsidR="00030AAD" w:rsidRPr="00030AAD" w:rsidRDefault="00030AAD" w:rsidP="00030AAD">
      <w:pPr>
        <w:pStyle w:val="SingleTxt"/>
        <w:spacing w:after="0" w:line="120" w:lineRule="exact"/>
        <w:rPr>
          <w:sz w:val="10"/>
        </w:rPr>
      </w:pPr>
    </w:p>
    <w:p w:rsidR="000D624D" w:rsidRPr="000D624D" w:rsidRDefault="00030AAD" w:rsidP="00030AA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A.</w:t>
      </w:r>
      <w:r w:rsidR="000D624D" w:rsidRPr="000D624D">
        <w:tab/>
        <w:t>Неофициальная рабочая группа по дегазации грузовых танков</w:t>
      </w:r>
    </w:p>
    <w:p w:rsidR="000D624D" w:rsidRPr="000D624D" w:rsidRDefault="000D624D" w:rsidP="000D624D">
      <w:pPr>
        <w:pStyle w:val="SingleTxt"/>
      </w:pPr>
    </w:p>
    <w:p w:rsidR="000D624D" w:rsidRPr="000D624D" w:rsidRDefault="000D624D" w:rsidP="00A65286">
      <w:pPr>
        <w:pStyle w:val="SingleTxt"/>
        <w:ind w:left="4133" w:hanging="2866"/>
        <w:jc w:val="left"/>
      </w:pPr>
      <w:r w:rsidRPr="000D624D">
        <w:rPr>
          <w:i/>
          <w:iCs/>
        </w:rPr>
        <w:t>Документ</w:t>
      </w:r>
      <w:r w:rsidRPr="000D624D">
        <w:t>:</w:t>
      </w:r>
      <w:r w:rsidRPr="000D624D">
        <w:tab/>
      </w:r>
      <w:r w:rsidR="00030AAD">
        <w:tab/>
      </w:r>
      <w:r w:rsidR="00030AAD">
        <w:tab/>
      </w:r>
      <w:r w:rsidR="00030AAD">
        <w:tab/>
      </w:r>
      <w:r w:rsidRPr="000D624D">
        <w:t>ECE/TRANS/WP.15/AC.2/2015/29 (Нидерланды) (до</w:t>
      </w:r>
      <w:r w:rsidR="00030AAD">
        <w:t xml:space="preserve">клад о работе третьей сессии </w:t>
      </w:r>
      <w:r w:rsidRPr="000D624D">
        <w:t>неофициальной рабочей группы)</w:t>
      </w:r>
    </w:p>
    <w:p w:rsidR="000D624D" w:rsidRPr="000D624D" w:rsidRDefault="000D624D" w:rsidP="000D624D">
      <w:pPr>
        <w:pStyle w:val="SingleTxt"/>
      </w:pPr>
      <w:r w:rsidRPr="000D624D">
        <w:t>70.</w:t>
      </w:r>
      <w:r w:rsidRPr="000D624D">
        <w:tab/>
        <w:t>Председатель предложил участникам высказать замечания относительно подготовленных этой группой предложений при том понимании, что группе сл</w:t>
      </w:r>
      <w:r w:rsidRPr="000D624D">
        <w:t>е</w:t>
      </w:r>
      <w:r w:rsidRPr="000D624D">
        <w:t>дует продолжить работу и представить на следующей сессии новое предложение.</w:t>
      </w:r>
    </w:p>
    <w:p w:rsidR="000D624D" w:rsidRPr="000D624D" w:rsidRDefault="000D624D" w:rsidP="000D624D">
      <w:pPr>
        <w:pStyle w:val="SingleTxt"/>
      </w:pPr>
      <w:r w:rsidRPr="000D624D">
        <w:t>71.</w:t>
      </w:r>
      <w:r w:rsidRPr="000D624D">
        <w:tab/>
        <w:t>Было отмечено, что дегазация должна проводиться в отношении всех газов, содержащихся в грузовых танках, включая удушающие, окисляющие или корр</w:t>
      </w:r>
      <w:r w:rsidRPr="000D624D">
        <w:t>о</w:t>
      </w:r>
      <w:r w:rsidRPr="000D624D">
        <w:t>зионные газы и пары, а не только легковоспламеняющиеся или токсичные газы и пары.</w:t>
      </w:r>
    </w:p>
    <w:p w:rsidR="000D624D" w:rsidRPr="000D624D" w:rsidRDefault="000D624D" w:rsidP="000D624D">
      <w:pPr>
        <w:pStyle w:val="SingleTxt"/>
      </w:pPr>
      <w:r w:rsidRPr="000D624D">
        <w:t>72.</w:t>
      </w:r>
      <w:r w:rsidRPr="000D624D">
        <w:tab/>
        <w:t>Вопрос об удостоверении состояния отсутствия газов лицом, утвержденным компетентным органом, в соответствии с разделом 1.1.2.5 также следовало бы изучить более подробно, в частности для того, чтобы уточнить, о каком комп</w:t>
      </w:r>
      <w:r w:rsidRPr="000D624D">
        <w:t>е</w:t>
      </w:r>
      <w:r w:rsidRPr="000D624D">
        <w:t>тентном органе идет речь в контексте международных перевозок и, если необх</w:t>
      </w:r>
      <w:r w:rsidRPr="000D624D">
        <w:t>о</w:t>
      </w:r>
      <w:r w:rsidRPr="000D624D">
        <w:t>димо, каким может быть срок действия свидетельства.</w:t>
      </w:r>
    </w:p>
    <w:p w:rsidR="000D624D" w:rsidRPr="000D624D" w:rsidRDefault="000D624D" w:rsidP="000D624D">
      <w:pPr>
        <w:pStyle w:val="SingleTxt"/>
      </w:pPr>
      <w:r w:rsidRPr="000D624D">
        <w:t>73.</w:t>
      </w:r>
      <w:r w:rsidRPr="000D624D">
        <w:tab/>
        <w:t>Что касается вопроса о дегазации поро</w:t>
      </w:r>
      <w:r w:rsidR="00030AAD">
        <w:t>жних грузовых танков (подра</w:t>
      </w:r>
      <w:r w:rsidR="00030AAD">
        <w:t>з</w:t>
      </w:r>
      <w:r w:rsidR="00030AAD">
        <w:t>дел </w:t>
      </w:r>
      <w:r w:rsidRPr="000D624D">
        <w:t>7.2.3.7), то следовало бы изучить существующие процедуры, в частности учесть возможную регламентацию, касающуюся предотвращения загрязнения воздуха (возможная фильтрация отходящих газов).</w:t>
      </w:r>
    </w:p>
    <w:p w:rsidR="000D624D" w:rsidRPr="000D624D" w:rsidRDefault="000D624D" w:rsidP="000D624D">
      <w:pPr>
        <w:pStyle w:val="SingleTxt"/>
      </w:pPr>
      <w:r w:rsidRPr="000D624D">
        <w:t>74.</w:t>
      </w:r>
      <w:r w:rsidRPr="000D624D">
        <w:tab/>
        <w:t>И наконец, было отмечено, что некоторые остатки груза рассматриваются как опасные отходы и что необходимо учитывать последние разработки в этой области, например в рамках Конвенции о сборе, сдаче и приеме отходов, образ</w:t>
      </w:r>
      <w:r w:rsidRPr="000D624D">
        <w:t>у</w:t>
      </w:r>
      <w:r w:rsidRPr="000D624D">
        <w:t>ющихся при судоходстве на Рейне и на других внутренних водных путях (КОВВП).</w:t>
      </w:r>
    </w:p>
    <w:p w:rsidR="000D624D" w:rsidRPr="00030AAD" w:rsidRDefault="000D624D" w:rsidP="00030AAD">
      <w:pPr>
        <w:pStyle w:val="SingleTxt"/>
        <w:spacing w:after="0" w:line="120" w:lineRule="exact"/>
        <w:rPr>
          <w:sz w:val="10"/>
        </w:rPr>
      </w:pPr>
    </w:p>
    <w:p w:rsidR="00030AAD" w:rsidRPr="00030AAD" w:rsidRDefault="00030AAD" w:rsidP="00030AAD">
      <w:pPr>
        <w:pStyle w:val="SingleTxt"/>
        <w:spacing w:after="0" w:line="120" w:lineRule="exact"/>
        <w:rPr>
          <w:sz w:val="10"/>
        </w:rPr>
      </w:pPr>
    </w:p>
    <w:p w:rsidR="000D624D" w:rsidRPr="000D624D" w:rsidRDefault="00030AAD" w:rsidP="00A65286">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0D624D" w:rsidRPr="000D624D">
        <w:t>B.</w:t>
      </w:r>
      <w:r w:rsidR="000D624D" w:rsidRPr="000D624D">
        <w:tab/>
        <w:t xml:space="preserve">Неофициальная рабочая группа по защите против взрывов </w:t>
      </w:r>
      <w:r>
        <w:t>на </w:t>
      </w:r>
      <w:r w:rsidR="000D624D" w:rsidRPr="000D624D">
        <w:t>танкерах</w:t>
      </w:r>
    </w:p>
    <w:p w:rsidR="000D624D" w:rsidRPr="00030AAD" w:rsidRDefault="000D624D" w:rsidP="00A65286">
      <w:pPr>
        <w:pStyle w:val="SingleTxt"/>
        <w:keepNext/>
        <w:keepLines/>
        <w:spacing w:after="0" w:line="120" w:lineRule="exact"/>
        <w:rPr>
          <w:sz w:val="10"/>
        </w:rPr>
      </w:pPr>
    </w:p>
    <w:p w:rsidR="00030AAD" w:rsidRPr="00030AAD" w:rsidRDefault="00030AAD" w:rsidP="00A65286">
      <w:pPr>
        <w:pStyle w:val="SingleTxt"/>
        <w:keepNext/>
        <w:keepLines/>
        <w:spacing w:after="0" w:line="120" w:lineRule="exact"/>
        <w:rPr>
          <w:sz w:val="10"/>
        </w:rPr>
      </w:pPr>
    </w:p>
    <w:p w:rsidR="000D624D" w:rsidRPr="000D624D" w:rsidRDefault="000D624D" w:rsidP="00A65286">
      <w:pPr>
        <w:pStyle w:val="SingleTxt"/>
        <w:keepNext/>
        <w:keepLines/>
        <w:ind w:left="4133" w:hanging="2866"/>
        <w:jc w:val="left"/>
      </w:pPr>
      <w:r w:rsidRPr="000D624D">
        <w:rPr>
          <w:i/>
          <w:iCs/>
        </w:rPr>
        <w:t>Неофициальный документ</w:t>
      </w:r>
      <w:r w:rsidRPr="000D624D">
        <w:t>:</w:t>
      </w:r>
      <w:r w:rsidRPr="000D624D">
        <w:tab/>
        <w:t>INF.8 (Ц</w:t>
      </w:r>
      <w:r w:rsidR="00030AAD">
        <w:t>КСР) (доклад группы о работе ее</w:t>
      </w:r>
      <w:r w:rsidR="00030AAD">
        <w:br/>
      </w:r>
      <w:r w:rsidRPr="000D624D">
        <w:t>восьмой сессии)</w:t>
      </w:r>
    </w:p>
    <w:p w:rsidR="000D624D" w:rsidRPr="000D624D" w:rsidRDefault="000D624D" w:rsidP="00A65286">
      <w:pPr>
        <w:pStyle w:val="SingleTxt"/>
        <w:keepNext/>
        <w:keepLines/>
      </w:pPr>
      <w:r w:rsidRPr="000D624D">
        <w:t>75.</w:t>
      </w:r>
      <w:r w:rsidRPr="000D624D">
        <w:tab/>
        <w:t>Комитет по вопросам безопасности провел обзор всех сформулированных этой группой предложений. Группа подготовит пересмотренный вариант данных предложений с целью учета высказанных замечаний и принятых решений. Сл</w:t>
      </w:r>
      <w:r w:rsidRPr="000D624D">
        <w:t>е</w:t>
      </w:r>
      <w:r w:rsidRPr="000D624D">
        <w:t>довало бы также учесть ряд следующих принципиальных решений:</w:t>
      </w:r>
    </w:p>
    <w:p w:rsidR="000D624D" w:rsidRPr="000D624D" w:rsidRDefault="000D624D" w:rsidP="00A96BBC">
      <w:pPr>
        <w:pStyle w:val="Bullet1"/>
      </w:pPr>
      <w:r w:rsidRPr="000D624D">
        <w:t>ссылаться в первую очередь на международные стандарты ISO и IEC, а не на стандарты EN, которые могут, однако, также дополнительно упоминаться в случаях, когда они соответствуют стандартам ISO и IEC;</w:t>
      </w:r>
    </w:p>
    <w:p w:rsidR="000D624D" w:rsidRPr="000D624D" w:rsidRDefault="000D624D" w:rsidP="00A96BBC">
      <w:pPr>
        <w:pStyle w:val="Bullet1"/>
      </w:pPr>
      <w:r w:rsidRPr="000D624D">
        <w:t>уточнить стандарты ISO/IEC, применимые к процедурам оценки соотве</w:t>
      </w:r>
      <w:r w:rsidRPr="000D624D">
        <w:t>т</w:t>
      </w:r>
      <w:r w:rsidRPr="000D624D">
        <w:t>ствия (см., например, документ ECE/TRADE/391);</w:t>
      </w:r>
    </w:p>
    <w:p w:rsidR="000D624D" w:rsidRPr="000D624D" w:rsidRDefault="000D624D" w:rsidP="00A96BBC">
      <w:pPr>
        <w:pStyle w:val="Bullet1"/>
      </w:pPr>
      <w:r w:rsidRPr="000D624D">
        <w:t xml:space="preserve">проверить, какие вещества могут использоваться для калибровки </w:t>
      </w:r>
      <w:proofErr w:type="spellStart"/>
      <w:r w:rsidRPr="000D624D">
        <w:t>газодете</w:t>
      </w:r>
      <w:r w:rsidRPr="000D624D">
        <w:t>к</w:t>
      </w:r>
      <w:r w:rsidRPr="000D624D">
        <w:t>торных</w:t>
      </w:r>
      <w:proofErr w:type="spellEnd"/>
      <w:r w:rsidRPr="000D624D">
        <w:t xml:space="preserve"> систем;</w:t>
      </w:r>
    </w:p>
    <w:p w:rsidR="000D624D" w:rsidRPr="000D624D" w:rsidRDefault="000D624D" w:rsidP="00A96BBC">
      <w:pPr>
        <w:pStyle w:val="Bullet1"/>
      </w:pPr>
      <w:r w:rsidRPr="000D624D">
        <w:t>проконсультироваться с неофициальной рабочей группой по дегазации по вопросам, связанным с отбором проб;</w:t>
      </w:r>
    </w:p>
    <w:p w:rsidR="000D624D" w:rsidRPr="000D624D" w:rsidRDefault="000D624D" w:rsidP="00A96BBC">
      <w:pPr>
        <w:pStyle w:val="Bullet1"/>
      </w:pPr>
      <w:r w:rsidRPr="000D624D">
        <w:t>изложить в отдельном документе предложения, которые не связаны неп</w:t>
      </w:r>
      <w:r w:rsidRPr="000D624D">
        <w:t>о</w:t>
      </w:r>
      <w:r w:rsidRPr="000D624D">
        <w:t>средственно с защитой против взрывов;</w:t>
      </w:r>
    </w:p>
    <w:p w:rsidR="000D624D" w:rsidRPr="000D624D" w:rsidRDefault="000D624D" w:rsidP="00A96BBC">
      <w:pPr>
        <w:pStyle w:val="Bullet1"/>
      </w:pPr>
      <w:r w:rsidRPr="000D624D">
        <w:t>проверить, не дублируют ли предписывающие положения некоторых опр</w:t>
      </w:r>
      <w:r w:rsidRPr="000D624D">
        <w:t>е</w:t>
      </w:r>
      <w:r w:rsidRPr="000D624D">
        <w:t>делений требования, содержащиеся в других главах;</w:t>
      </w:r>
    </w:p>
    <w:p w:rsidR="000D624D" w:rsidRPr="000D624D" w:rsidRDefault="000D624D" w:rsidP="00A96BBC">
      <w:pPr>
        <w:pStyle w:val="Bullet1"/>
      </w:pPr>
      <w:r w:rsidRPr="000D624D">
        <w:t>обосновать ограничения вместимости, предусмотренные в определениях некоторых резервуаров/танков для остатков груза и т.д.</w:t>
      </w:r>
      <w:r w:rsidR="00634B60">
        <w:t>;</w:t>
      </w:r>
    </w:p>
    <w:p w:rsidR="000D624D" w:rsidRPr="000D624D" w:rsidRDefault="000D624D" w:rsidP="00A96BBC">
      <w:pPr>
        <w:pStyle w:val="Bullet1"/>
      </w:pPr>
      <w:r w:rsidRPr="000D624D">
        <w:t>изучить вопрос об обеспечении защиты в ходе установки/демонтажа эл</w:t>
      </w:r>
      <w:r w:rsidRPr="000D624D">
        <w:t>е</w:t>
      </w:r>
      <w:r w:rsidRPr="000D624D">
        <w:t>ментов пламегасителей;</w:t>
      </w:r>
    </w:p>
    <w:p w:rsidR="000D624D" w:rsidRPr="000D624D" w:rsidRDefault="000D624D" w:rsidP="00A96BBC">
      <w:pPr>
        <w:pStyle w:val="Bullet1"/>
      </w:pPr>
      <w:r w:rsidRPr="000D624D">
        <w:t>перенести в случае необходимости положения подраздела 9.1.0.50, каса</w:t>
      </w:r>
      <w:r w:rsidRPr="000D624D">
        <w:t>ю</w:t>
      </w:r>
      <w:r w:rsidRPr="000D624D">
        <w:t>щиеся документов, в часть 8;</w:t>
      </w:r>
    </w:p>
    <w:p w:rsidR="000D624D" w:rsidRPr="000D624D" w:rsidRDefault="000D624D" w:rsidP="00A96BBC">
      <w:pPr>
        <w:pStyle w:val="Bullet1"/>
      </w:pPr>
      <w:r w:rsidRPr="000D624D">
        <w:t>предусмотреть переходные меры.</w:t>
      </w:r>
    </w:p>
    <w:p w:rsidR="000D624D" w:rsidRPr="000D624D" w:rsidRDefault="000D624D" w:rsidP="000D624D">
      <w:pPr>
        <w:pStyle w:val="SingleTxt"/>
      </w:pPr>
      <w:r w:rsidRPr="000D624D">
        <w:t>76.</w:t>
      </w:r>
      <w:r w:rsidRPr="000D624D">
        <w:tab/>
        <w:t>Неофициальной рабочей группе также было предложено рассмотреть с</w:t>
      </w:r>
      <w:r w:rsidRPr="000D624D">
        <w:t>о</w:t>
      </w:r>
      <w:r w:rsidRPr="000D624D">
        <w:t>держащиеся в документе ECE/TRANS/WP.15/AC.2/2015/33 предложения ЕСРС и ЕОС, касающиеся требований, предъявляемых к электрооборудованию.</w:t>
      </w:r>
    </w:p>
    <w:p w:rsidR="000D624D" w:rsidRPr="00A96BBC" w:rsidRDefault="000D624D" w:rsidP="00A96BBC">
      <w:pPr>
        <w:pStyle w:val="SingleTxt"/>
        <w:spacing w:after="0" w:line="120" w:lineRule="exact"/>
        <w:rPr>
          <w:sz w:val="10"/>
        </w:rPr>
      </w:pPr>
    </w:p>
    <w:p w:rsidR="00A96BBC" w:rsidRPr="00A96BBC" w:rsidRDefault="00A96BBC" w:rsidP="00A96BBC">
      <w:pPr>
        <w:pStyle w:val="SingleTxt"/>
        <w:spacing w:after="0" w:line="120" w:lineRule="exact"/>
        <w:rPr>
          <w:sz w:val="10"/>
        </w:rPr>
      </w:pPr>
    </w:p>
    <w:p w:rsidR="000D624D" w:rsidRPr="000D624D" w:rsidRDefault="00A96BBC" w:rsidP="00A96B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С.</w:t>
      </w:r>
      <w:r w:rsidR="000D624D" w:rsidRPr="000D624D">
        <w:tab/>
        <w:t>Неофициальная рабочая группа по средствам для эвакуации</w:t>
      </w:r>
    </w:p>
    <w:p w:rsidR="000D624D" w:rsidRPr="00A96BBC" w:rsidRDefault="000D624D" w:rsidP="00A96BBC">
      <w:pPr>
        <w:pStyle w:val="SingleTxt"/>
        <w:spacing w:after="0" w:line="120" w:lineRule="exact"/>
        <w:rPr>
          <w:sz w:val="10"/>
        </w:rPr>
      </w:pPr>
    </w:p>
    <w:p w:rsidR="00A96BBC" w:rsidRPr="00A96BBC" w:rsidRDefault="00A96BBC" w:rsidP="00A96BBC">
      <w:pPr>
        <w:pStyle w:val="SingleTxt"/>
        <w:spacing w:after="0" w:line="120" w:lineRule="exact"/>
        <w:rPr>
          <w:sz w:val="10"/>
        </w:rPr>
      </w:pPr>
    </w:p>
    <w:p w:rsidR="000D624D" w:rsidRPr="000D624D" w:rsidRDefault="000D624D" w:rsidP="00A65286">
      <w:pPr>
        <w:pStyle w:val="SingleTxt"/>
        <w:jc w:val="left"/>
      </w:pPr>
      <w:r w:rsidRPr="000D624D">
        <w:rPr>
          <w:i/>
          <w:iCs/>
        </w:rPr>
        <w:t>Неофициальный документ</w:t>
      </w:r>
      <w:r w:rsidRPr="000D624D">
        <w:t>:</w:t>
      </w:r>
      <w:r w:rsidRPr="000D624D">
        <w:tab/>
        <w:t>INF.11 (Нидерланды)</w:t>
      </w:r>
    </w:p>
    <w:p w:rsidR="000D624D" w:rsidRPr="000D624D" w:rsidRDefault="000D624D" w:rsidP="000D624D">
      <w:pPr>
        <w:pStyle w:val="SingleTxt"/>
      </w:pPr>
      <w:r w:rsidRPr="000D624D">
        <w:t>77.</w:t>
      </w:r>
      <w:r w:rsidRPr="000D624D">
        <w:tab/>
        <w:t>Комитет по вопросам безопасности принял к сведению доклад неофициал</w:t>
      </w:r>
      <w:r w:rsidRPr="000D624D">
        <w:t>ь</w:t>
      </w:r>
      <w:r w:rsidRPr="000D624D">
        <w:t>ной рабочей группы и отметил, что осталось решить ряд вопросов. Рекоменд</w:t>
      </w:r>
      <w:r w:rsidRPr="000D624D">
        <w:t>о</w:t>
      </w:r>
      <w:r w:rsidRPr="000D624D">
        <w:t>ванным классификационным обществам ВОПОГ следует подготовить предлож</w:t>
      </w:r>
      <w:r w:rsidRPr="000D624D">
        <w:t>е</w:t>
      </w:r>
      <w:r w:rsidRPr="000D624D">
        <w:t>ния, которые будут обсуждены на втором совещании неофициальной группы, а затем официально представлены Комитету на его следующей сессии.</w:t>
      </w:r>
    </w:p>
    <w:p w:rsidR="000D624D" w:rsidRPr="000D624D" w:rsidRDefault="000D624D" w:rsidP="000D624D">
      <w:pPr>
        <w:pStyle w:val="SingleTxt"/>
      </w:pPr>
      <w:r w:rsidRPr="000D624D">
        <w:t>78.</w:t>
      </w:r>
      <w:r w:rsidRPr="000D624D">
        <w:tab/>
        <w:t>В связи с пунктом 7a доклада представитель Австрии подчеркнул, что на борту судна может находиться гораздо больше людей, чем количество членов экипажа, и что поэтому укрытия должны быть спроектированы соответству</w:t>
      </w:r>
      <w:r w:rsidRPr="000D624D">
        <w:t>ю</w:t>
      </w:r>
      <w:r w:rsidRPr="000D624D">
        <w:t>щим образом. Если это не представляется возможным, он предложил ограничить количество людей, которым разрешено находиться на борту судна в данный м</w:t>
      </w:r>
      <w:r w:rsidRPr="000D624D">
        <w:t>о</w:t>
      </w:r>
      <w:r w:rsidRPr="000D624D">
        <w:t>мент, с учетом вместимости укрытия.</w:t>
      </w:r>
    </w:p>
    <w:p w:rsidR="000D624D" w:rsidRPr="000D624D" w:rsidRDefault="000D624D" w:rsidP="000D624D">
      <w:pPr>
        <w:pStyle w:val="SingleTxt"/>
      </w:pPr>
      <w:r w:rsidRPr="000D624D">
        <w:lastRenderedPageBreak/>
        <w:t>79.</w:t>
      </w:r>
      <w:r w:rsidRPr="000D624D">
        <w:tab/>
        <w:t>Комитет по вопросам безопасности предложил неофициальной рабочей группе изучить все поднятые вопросы и при необходимости предложить н</w:t>
      </w:r>
      <w:r w:rsidRPr="000D624D">
        <w:t>е</w:t>
      </w:r>
      <w:r w:rsidRPr="000D624D">
        <w:t xml:space="preserve">сколько альтернативных вариантов, с </w:t>
      </w:r>
      <w:proofErr w:type="gramStart"/>
      <w:r w:rsidRPr="000D624D">
        <w:t>тем</w:t>
      </w:r>
      <w:proofErr w:type="gramEnd"/>
      <w:r w:rsidRPr="000D624D">
        <w:t xml:space="preserve"> чтобы решения можно было принять на следующей сессии. Он высказался за то, чтобы в совещании неофициальной р</w:t>
      </w:r>
      <w:r w:rsidRPr="000D624D">
        <w:t>а</w:t>
      </w:r>
      <w:r w:rsidRPr="000D624D">
        <w:t>бочей группы приняли участие технические эксперты классификационных о</w:t>
      </w:r>
      <w:r w:rsidRPr="000D624D">
        <w:t>б</w:t>
      </w:r>
      <w:r w:rsidRPr="000D624D">
        <w:t>ществ.</w:t>
      </w:r>
    </w:p>
    <w:p w:rsidR="000D624D" w:rsidRPr="00A96BBC" w:rsidRDefault="000D624D" w:rsidP="00A96BBC">
      <w:pPr>
        <w:pStyle w:val="SingleTxt"/>
        <w:spacing w:after="0" w:line="120" w:lineRule="exact"/>
        <w:rPr>
          <w:sz w:val="10"/>
        </w:rPr>
      </w:pPr>
    </w:p>
    <w:p w:rsidR="00A96BBC" w:rsidRPr="00A96BBC" w:rsidRDefault="00A96BBC" w:rsidP="00A96BBC">
      <w:pPr>
        <w:pStyle w:val="SingleTxt"/>
        <w:spacing w:after="0" w:line="120" w:lineRule="exact"/>
        <w:rPr>
          <w:sz w:val="10"/>
        </w:rPr>
      </w:pPr>
    </w:p>
    <w:p w:rsidR="000D624D" w:rsidRPr="000D624D" w:rsidRDefault="00C53BC9" w:rsidP="00C53BC9">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t>D.</w:t>
      </w:r>
      <w:r w:rsidR="000D624D" w:rsidRPr="000D624D">
        <w:tab/>
        <w:t>Неофициальная рабочая группа по веществам</w:t>
      </w:r>
    </w:p>
    <w:p w:rsidR="000D624D" w:rsidRPr="00A96BBC" w:rsidRDefault="000D624D" w:rsidP="00C53BC9">
      <w:pPr>
        <w:pStyle w:val="SingleTxt"/>
        <w:keepNext/>
        <w:keepLines/>
        <w:spacing w:after="0" w:line="120" w:lineRule="exact"/>
        <w:rPr>
          <w:sz w:val="10"/>
        </w:rPr>
      </w:pPr>
    </w:p>
    <w:p w:rsidR="00A96BBC" w:rsidRPr="00A96BBC" w:rsidRDefault="00A96BBC" w:rsidP="00C53BC9">
      <w:pPr>
        <w:pStyle w:val="SingleTxt"/>
        <w:keepNext/>
        <w:keepLines/>
        <w:spacing w:after="0" w:line="120" w:lineRule="exact"/>
        <w:rPr>
          <w:sz w:val="10"/>
        </w:rPr>
      </w:pPr>
    </w:p>
    <w:p w:rsidR="000D624D" w:rsidRPr="000D624D" w:rsidRDefault="000D624D" w:rsidP="00A65286">
      <w:pPr>
        <w:pStyle w:val="SingleTxt"/>
        <w:keepNext/>
        <w:keepLines/>
        <w:jc w:val="left"/>
      </w:pPr>
      <w:r w:rsidRPr="000D624D">
        <w:rPr>
          <w:i/>
          <w:iCs/>
        </w:rPr>
        <w:t>Неофициальный документ</w:t>
      </w:r>
      <w:r w:rsidRPr="000D624D">
        <w:t>:</w:t>
      </w:r>
      <w:r w:rsidRPr="000D624D">
        <w:tab/>
        <w:t>INF.12 (ЦКСР)</w:t>
      </w:r>
    </w:p>
    <w:p w:rsidR="000D624D" w:rsidRPr="000D624D" w:rsidRDefault="000D624D" w:rsidP="00C53BC9">
      <w:pPr>
        <w:pStyle w:val="SingleTxt"/>
        <w:keepNext/>
        <w:keepLines/>
      </w:pPr>
      <w:r w:rsidRPr="000D624D">
        <w:t>80.</w:t>
      </w:r>
      <w:r w:rsidRPr="000D624D">
        <w:tab/>
        <w:t>Поскольку доклад рабочей группы был представлен только на немецком языке, не удалось принять решения относительно предложенных текстов, кот</w:t>
      </w:r>
      <w:r w:rsidRPr="000D624D">
        <w:t>о</w:t>
      </w:r>
      <w:r w:rsidRPr="000D624D">
        <w:t>рые должны быть официально представлены на следующей сессии. Поэтому К</w:t>
      </w:r>
      <w:r w:rsidRPr="000D624D">
        <w:t>о</w:t>
      </w:r>
      <w:r w:rsidRPr="000D624D">
        <w:t>митет по вопросам безопасности лишь принял к сведению результаты работы. Он, однако, поддержал содержащееся в разделе I (пункты 37 и 38) разъяснение, с</w:t>
      </w:r>
      <w:r w:rsidRPr="000D624D">
        <w:t>о</w:t>
      </w:r>
      <w:r w:rsidRPr="000D624D">
        <w:t>гласно которому информация, включенная в т</w:t>
      </w:r>
      <w:r w:rsidR="00A96BBC">
        <w:t>аблицу C в отношении аммиака (№ </w:t>
      </w:r>
      <w:r w:rsidRPr="000D624D">
        <w:t>ООН 1005 и 2672), является правильной.</w:t>
      </w:r>
    </w:p>
    <w:p w:rsidR="000D624D" w:rsidRPr="000D624D" w:rsidRDefault="000D624D" w:rsidP="000D624D">
      <w:pPr>
        <w:pStyle w:val="SingleTxt"/>
      </w:pPr>
      <w:r w:rsidRPr="000D624D">
        <w:t>81.</w:t>
      </w:r>
      <w:r w:rsidRPr="000D624D">
        <w:tab/>
        <w:t xml:space="preserve">Что касается раздела </w:t>
      </w:r>
      <w:r w:rsidRPr="000D624D">
        <w:rPr>
          <w:lang w:val="en-US"/>
        </w:rPr>
        <w:t>K</w:t>
      </w:r>
      <w:r w:rsidRPr="000D624D">
        <w:t>, посвященного классификации отходов, то было о</w:t>
      </w:r>
      <w:r w:rsidRPr="000D624D">
        <w:t>т</w:t>
      </w:r>
      <w:r w:rsidRPr="000D624D">
        <w:t xml:space="preserve">мечено, что суда производят два типа отходов: отходы, связанные с остатками груза и </w:t>
      </w:r>
      <w:proofErr w:type="spellStart"/>
      <w:r w:rsidRPr="000D624D">
        <w:t>мытьевой</w:t>
      </w:r>
      <w:proofErr w:type="spellEnd"/>
      <w:r w:rsidRPr="000D624D">
        <w:t xml:space="preserve"> водой, и отходы, образующиеся в результате функциониров</w:t>
      </w:r>
      <w:r w:rsidRPr="000D624D">
        <w:t>а</w:t>
      </w:r>
      <w:r w:rsidRPr="000D624D">
        <w:t>ния судна (работы двигателей и т.д.). Необходимо учитывать положения КОВВП, а также будущее развитие этой конвенции. Представителю ЕОС было предлож</w:t>
      </w:r>
      <w:r w:rsidRPr="000D624D">
        <w:t>е</w:t>
      </w:r>
      <w:r w:rsidRPr="000D624D">
        <w:t>но передать неофициальной рабочей группе информацию о различных соотве</w:t>
      </w:r>
      <w:r w:rsidRPr="000D624D">
        <w:t>т</w:t>
      </w:r>
      <w:r w:rsidRPr="000D624D">
        <w:t>ствующих продуктах, их статусе как отходов согласно КОВВП, терминологии, составе и т.д.</w:t>
      </w:r>
    </w:p>
    <w:p w:rsidR="000D624D" w:rsidRPr="000D624D" w:rsidRDefault="000D624D" w:rsidP="000D624D">
      <w:pPr>
        <w:pStyle w:val="SingleTxt"/>
      </w:pPr>
      <w:r w:rsidRPr="000D624D">
        <w:t>82.</w:t>
      </w:r>
      <w:r w:rsidRPr="000D624D">
        <w:tab/>
        <w:t xml:space="preserve">Комитет по вопросам безопасности утвердил толкование неофициальной рабочей группы по веществам (раздел </w:t>
      </w:r>
      <w:r w:rsidRPr="000D624D">
        <w:rPr>
          <w:lang w:val="fr-FR"/>
        </w:rPr>
        <w:t>L</w:t>
      </w:r>
      <w:r w:rsidRPr="000D624D">
        <w:t xml:space="preserve">), согласно которому нет необходимости в дополнительных требованиях в отношении вентиляции для контейнеров </w:t>
      </w:r>
      <w:r w:rsidRPr="000D624D">
        <w:rPr>
          <w:lang w:val="fr-FR"/>
        </w:rPr>
        <w:t>BK</w:t>
      </w:r>
      <w:r w:rsidRPr="000D624D">
        <w:t>3.</w:t>
      </w:r>
    </w:p>
    <w:p w:rsidR="000D624D" w:rsidRPr="00A96BBC" w:rsidRDefault="000D624D" w:rsidP="00A96BBC">
      <w:pPr>
        <w:pStyle w:val="SingleTxt"/>
        <w:spacing w:after="0" w:line="120" w:lineRule="exact"/>
        <w:rPr>
          <w:sz w:val="10"/>
        </w:rPr>
      </w:pPr>
    </w:p>
    <w:p w:rsidR="00A96BBC" w:rsidRPr="00A96BBC" w:rsidRDefault="00A96BBC" w:rsidP="00A96BBC">
      <w:pPr>
        <w:pStyle w:val="SingleTxt"/>
        <w:spacing w:after="0" w:line="120" w:lineRule="exact"/>
        <w:rPr>
          <w:sz w:val="10"/>
        </w:rPr>
      </w:pPr>
    </w:p>
    <w:p w:rsidR="000D624D" w:rsidRPr="000D624D" w:rsidRDefault="00A96BBC" w:rsidP="00A96B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VII.</w:t>
      </w:r>
      <w:r>
        <w:tab/>
      </w:r>
      <w:r w:rsidR="000D624D" w:rsidRPr="000D624D">
        <w:t>Прог</w:t>
      </w:r>
      <w:r w:rsidR="00C53BC9">
        <w:t>рамма работы и график совещаний</w:t>
      </w:r>
      <w:r w:rsidR="00C53BC9">
        <w:br/>
      </w:r>
      <w:r w:rsidR="000D624D" w:rsidRPr="000D624D">
        <w:t>(пункт 6 повестки дня)</w:t>
      </w:r>
    </w:p>
    <w:p w:rsidR="000D624D" w:rsidRPr="00A96BBC" w:rsidRDefault="000D624D" w:rsidP="00A96BBC">
      <w:pPr>
        <w:pStyle w:val="SingleTxt"/>
        <w:spacing w:after="0" w:line="120" w:lineRule="exact"/>
        <w:rPr>
          <w:sz w:val="10"/>
        </w:rPr>
      </w:pPr>
    </w:p>
    <w:p w:rsidR="00A96BBC" w:rsidRPr="00A96BBC" w:rsidRDefault="00A96BBC" w:rsidP="00A96BBC">
      <w:pPr>
        <w:pStyle w:val="SingleTxt"/>
        <w:spacing w:after="0" w:line="120" w:lineRule="exact"/>
        <w:rPr>
          <w:sz w:val="10"/>
        </w:rPr>
      </w:pPr>
    </w:p>
    <w:p w:rsidR="000D624D" w:rsidRPr="000D624D" w:rsidRDefault="000D624D" w:rsidP="000D624D">
      <w:pPr>
        <w:pStyle w:val="SingleTxt"/>
      </w:pPr>
      <w:r w:rsidRPr="000D624D">
        <w:t>83.</w:t>
      </w:r>
      <w:r w:rsidRPr="000D624D">
        <w:tab/>
        <w:t>Следующая</w:t>
      </w:r>
      <w:r w:rsidR="00A96BBC">
        <w:t xml:space="preserve"> сессия состоится в Женеве 25–</w:t>
      </w:r>
      <w:r w:rsidRPr="000D624D">
        <w:t>29 января 2016 года, и в ходе нее Комитет по вопросам безопасности должен будет окончательно принять проекты поправок, которые должны вступить в силу 1 января 2017 года, и, в частности, предложения о поправках, сформулированные Совместным совещанием МПОГ/</w:t>
      </w:r>
      <w:r w:rsidR="00A96BBC">
        <w:br/>
      </w:r>
      <w:r w:rsidRPr="000D624D">
        <w:t xml:space="preserve">ДОПОГ/ВОПОГ в целях </w:t>
      </w:r>
      <w:proofErr w:type="spellStart"/>
      <w:r w:rsidRPr="000D624D">
        <w:t>мультимодального</w:t>
      </w:r>
      <w:proofErr w:type="spellEnd"/>
      <w:r w:rsidRPr="000D624D">
        <w:t xml:space="preserve"> согласования. Крайним сроком пре</w:t>
      </w:r>
      <w:r w:rsidRPr="000D624D">
        <w:t>д</w:t>
      </w:r>
      <w:r w:rsidRPr="000D624D">
        <w:t>ставления документов является 30 октября 2015 года.</w:t>
      </w:r>
    </w:p>
    <w:p w:rsidR="000D624D" w:rsidRPr="000D624D" w:rsidRDefault="000D624D" w:rsidP="000D624D">
      <w:pPr>
        <w:pStyle w:val="SingleTxt"/>
      </w:pPr>
      <w:r w:rsidRPr="000D624D">
        <w:t>84.</w:t>
      </w:r>
      <w:r w:rsidRPr="000D624D">
        <w:tab/>
        <w:t>Последующая</w:t>
      </w:r>
      <w:r w:rsidR="00A96BBC">
        <w:t xml:space="preserve"> сессия состоится в Женеве 22–</w:t>
      </w:r>
      <w:r w:rsidRPr="000D624D">
        <w:t>26 августа 2016 года (крайний срок представления документов: 27 мая 2016 года).</w:t>
      </w:r>
    </w:p>
    <w:p w:rsidR="000D624D" w:rsidRPr="00A96BBC" w:rsidRDefault="000D624D" w:rsidP="00A96BBC">
      <w:pPr>
        <w:pStyle w:val="SingleTxt"/>
        <w:spacing w:after="0" w:line="120" w:lineRule="exact"/>
        <w:rPr>
          <w:sz w:val="10"/>
        </w:rPr>
      </w:pPr>
    </w:p>
    <w:p w:rsidR="00A96BBC" w:rsidRPr="00A96BBC" w:rsidRDefault="00A96BBC" w:rsidP="00A96BBC">
      <w:pPr>
        <w:pStyle w:val="SingleTxt"/>
        <w:spacing w:after="0" w:line="120" w:lineRule="exact"/>
        <w:rPr>
          <w:sz w:val="10"/>
        </w:rPr>
      </w:pPr>
    </w:p>
    <w:p w:rsidR="000D624D" w:rsidRPr="000D624D" w:rsidRDefault="00A96BBC" w:rsidP="00A96B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rPr>
          <w:lang w:val="fr-FR"/>
        </w:rPr>
        <w:t>VIII</w:t>
      </w:r>
      <w:r>
        <w:t>.</w:t>
      </w:r>
      <w:r>
        <w:tab/>
      </w:r>
      <w:r w:rsidR="000D624D" w:rsidRPr="000D624D">
        <w:t xml:space="preserve">Прочие вопросы (пункт 7 повестки дня) </w:t>
      </w:r>
    </w:p>
    <w:p w:rsidR="000D624D" w:rsidRPr="00A96BBC" w:rsidRDefault="000D624D" w:rsidP="00A96BBC">
      <w:pPr>
        <w:pStyle w:val="SingleTxt"/>
        <w:spacing w:after="0" w:line="120" w:lineRule="exact"/>
        <w:rPr>
          <w:sz w:val="10"/>
        </w:rPr>
      </w:pPr>
    </w:p>
    <w:p w:rsidR="00A96BBC" w:rsidRPr="00A96BBC" w:rsidRDefault="00A96BBC" w:rsidP="00A96BBC">
      <w:pPr>
        <w:pStyle w:val="SingleTxt"/>
        <w:spacing w:after="0" w:line="120" w:lineRule="exact"/>
        <w:rPr>
          <w:sz w:val="10"/>
        </w:rPr>
      </w:pPr>
    </w:p>
    <w:p w:rsidR="000D624D" w:rsidRPr="000D624D" w:rsidRDefault="00A96BBC" w:rsidP="00A96B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rPr>
          <w:lang w:val="fr-FR"/>
        </w:rPr>
        <w:t>A</w:t>
      </w:r>
      <w:r>
        <w:t>.</w:t>
      </w:r>
      <w:r w:rsidR="000D624D" w:rsidRPr="000D624D">
        <w:tab/>
        <w:t>Системы швартовки с использованием магнитных устройств (</w:t>
      </w:r>
      <w:r w:rsidR="000D624D" w:rsidRPr="000D624D">
        <w:rPr>
          <w:lang w:val="fr-FR"/>
        </w:rPr>
        <w:t>Dock</w:t>
      </w:r>
      <w:r w:rsidR="000D624D" w:rsidRPr="000D624D">
        <w:t xml:space="preserve"> </w:t>
      </w:r>
      <w:r w:rsidR="000D624D" w:rsidRPr="000D624D">
        <w:rPr>
          <w:lang w:val="fr-FR"/>
        </w:rPr>
        <w:t>Lock</w:t>
      </w:r>
      <w:r w:rsidR="000D624D" w:rsidRPr="000D624D">
        <w:t xml:space="preserve"> </w:t>
      </w:r>
      <w:r w:rsidR="000D624D" w:rsidRPr="000D624D">
        <w:rPr>
          <w:lang w:val="fr-FR"/>
        </w:rPr>
        <w:t>System</w:t>
      </w:r>
      <w:r w:rsidR="000D624D" w:rsidRPr="000D624D">
        <w:t>)</w:t>
      </w:r>
    </w:p>
    <w:p w:rsidR="000D624D" w:rsidRPr="00A96BBC" w:rsidRDefault="000D624D" w:rsidP="00A96BBC">
      <w:pPr>
        <w:pStyle w:val="SingleTxt"/>
        <w:spacing w:after="0" w:line="120" w:lineRule="exact"/>
        <w:rPr>
          <w:sz w:val="10"/>
        </w:rPr>
      </w:pPr>
    </w:p>
    <w:p w:rsidR="00A96BBC" w:rsidRPr="00A96BBC" w:rsidRDefault="00A96BBC" w:rsidP="00A96BBC">
      <w:pPr>
        <w:pStyle w:val="SingleTxt"/>
        <w:spacing w:after="0" w:line="120" w:lineRule="exact"/>
        <w:rPr>
          <w:sz w:val="10"/>
        </w:rPr>
      </w:pPr>
    </w:p>
    <w:p w:rsidR="000D624D" w:rsidRPr="000D624D" w:rsidRDefault="000D624D" w:rsidP="00A65286">
      <w:pPr>
        <w:pStyle w:val="SingleTxt"/>
        <w:jc w:val="left"/>
      </w:pPr>
      <w:r w:rsidRPr="000D624D">
        <w:rPr>
          <w:i/>
          <w:iCs/>
        </w:rPr>
        <w:t>Неофициальный документ</w:t>
      </w:r>
      <w:r w:rsidRPr="000D624D">
        <w:t>:</w:t>
      </w:r>
      <w:r w:rsidRPr="000D624D">
        <w:tab/>
      </w:r>
      <w:r w:rsidRPr="000D624D">
        <w:rPr>
          <w:lang w:val="fr-FR"/>
        </w:rPr>
        <w:t>INF</w:t>
      </w:r>
      <w:r w:rsidRPr="000D624D">
        <w:t>.14 (Нидерланды)</w:t>
      </w:r>
    </w:p>
    <w:p w:rsidR="000D624D" w:rsidRDefault="000D624D" w:rsidP="000D624D">
      <w:pPr>
        <w:pStyle w:val="SingleTxt"/>
      </w:pPr>
      <w:r w:rsidRPr="000D624D">
        <w:t>85.</w:t>
      </w:r>
      <w:r w:rsidRPr="000D624D">
        <w:tab/>
        <w:t xml:space="preserve">Комитет по вопросам безопасности счел, что, прежде чем включать в ВОПОГ положения о данных системах, уже представленные на двадцать третьей </w:t>
      </w:r>
      <w:r w:rsidRPr="000D624D">
        <w:lastRenderedPageBreak/>
        <w:t>сессии (</w:t>
      </w:r>
      <w:r w:rsidRPr="000D624D">
        <w:rPr>
          <w:lang w:val="fr-FR"/>
        </w:rPr>
        <w:t>ECE</w:t>
      </w:r>
      <w:r w:rsidRPr="000D624D">
        <w:t>/</w:t>
      </w:r>
      <w:r w:rsidRPr="000D624D">
        <w:rPr>
          <w:lang w:val="fr-FR"/>
        </w:rPr>
        <w:t>TRANS</w:t>
      </w:r>
      <w:r w:rsidRPr="000D624D">
        <w:t>/</w:t>
      </w:r>
      <w:r w:rsidRPr="000D624D">
        <w:rPr>
          <w:lang w:val="fr-FR"/>
        </w:rPr>
        <w:t>WP</w:t>
      </w:r>
      <w:r w:rsidRPr="000D624D">
        <w:t>.15/</w:t>
      </w:r>
      <w:r w:rsidRPr="000D624D">
        <w:rPr>
          <w:lang w:val="fr-FR"/>
        </w:rPr>
        <w:t>AC</w:t>
      </w:r>
      <w:r w:rsidR="00A96BBC">
        <w:t>.2/48, пункты 15–</w:t>
      </w:r>
      <w:r w:rsidRPr="000D624D">
        <w:t>17), необходимо представить эти системы органам, компетентным в области внутреннего судоходства в целом, п</w:t>
      </w:r>
      <w:r w:rsidRPr="000D624D">
        <w:t>о</w:t>
      </w:r>
      <w:r w:rsidRPr="000D624D">
        <w:t>скольку они могут использоваться на всякого рода судах. Затем следует пров</w:t>
      </w:r>
      <w:r w:rsidRPr="000D624D">
        <w:t>е</w:t>
      </w:r>
      <w:r w:rsidRPr="000D624D">
        <w:t>рить, потребует ли их использование на судах, предназначенных для перевозки опасных грузов, внесения изменений в Правила, прилагаемые к ВОПОГ.</w:t>
      </w:r>
    </w:p>
    <w:p w:rsidR="00A96BBC" w:rsidRPr="00A96BBC" w:rsidRDefault="00A96BBC" w:rsidP="00A96BBC">
      <w:pPr>
        <w:pStyle w:val="SingleTxt"/>
        <w:spacing w:after="0" w:line="120" w:lineRule="exact"/>
        <w:rPr>
          <w:sz w:val="10"/>
        </w:rPr>
      </w:pPr>
    </w:p>
    <w:p w:rsidR="00A96BBC" w:rsidRPr="00A96BBC" w:rsidRDefault="00A96BBC" w:rsidP="00A96BBC">
      <w:pPr>
        <w:pStyle w:val="SingleTxt"/>
        <w:spacing w:after="0" w:line="120" w:lineRule="exact"/>
        <w:rPr>
          <w:sz w:val="10"/>
        </w:rPr>
      </w:pPr>
    </w:p>
    <w:p w:rsidR="000D624D" w:rsidRPr="000D624D" w:rsidRDefault="00A96BBC" w:rsidP="00A96B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rPr>
          <w:lang w:val="fr-FR"/>
        </w:rPr>
        <w:t>B</w:t>
      </w:r>
      <w:r w:rsidR="000D624D" w:rsidRPr="000D624D">
        <w:t>.</w:t>
      </w:r>
      <w:r w:rsidR="000D624D" w:rsidRPr="000D624D">
        <w:tab/>
        <w:t>Просьба Европейской ассоциации оптовых поста</w:t>
      </w:r>
      <w:r w:rsidR="00FD7CA7">
        <w:t xml:space="preserve">вщиков нефтепродуктов (ЕАОН) о </w:t>
      </w:r>
      <w:r w:rsidR="000D624D" w:rsidRPr="000D624D">
        <w:t>предоставлении консультативного статуса</w:t>
      </w:r>
    </w:p>
    <w:p w:rsidR="000D624D" w:rsidRPr="00A96BBC" w:rsidRDefault="000D624D" w:rsidP="00A96BBC">
      <w:pPr>
        <w:pStyle w:val="SingleTxt"/>
        <w:spacing w:after="0" w:line="120" w:lineRule="exact"/>
        <w:rPr>
          <w:sz w:val="10"/>
        </w:rPr>
      </w:pPr>
    </w:p>
    <w:p w:rsidR="00A96BBC" w:rsidRPr="00A96BBC" w:rsidRDefault="00A96BBC" w:rsidP="00A96BBC">
      <w:pPr>
        <w:pStyle w:val="SingleTxt"/>
        <w:spacing w:after="0" w:line="120" w:lineRule="exact"/>
        <w:rPr>
          <w:sz w:val="10"/>
        </w:rPr>
      </w:pPr>
    </w:p>
    <w:p w:rsidR="000D624D" w:rsidRPr="000D624D" w:rsidRDefault="000D624D" w:rsidP="00A65286">
      <w:pPr>
        <w:pStyle w:val="SingleTxt"/>
      </w:pPr>
      <w:r w:rsidRPr="000D624D">
        <w:rPr>
          <w:i/>
          <w:iCs/>
        </w:rPr>
        <w:t>Неофициальный документ</w:t>
      </w:r>
      <w:r w:rsidRPr="000D624D">
        <w:t>:</w:t>
      </w:r>
      <w:r w:rsidRPr="000D624D">
        <w:tab/>
      </w:r>
      <w:r w:rsidRPr="000D624D">
        <w:rPr>
          <w:lang w:val="fr-FR"/>
        </w:rPr>
        <w:t>INF</w:t>
      </w:r>
      <w:r w:rsidRPr="000D624D">
        <w:t>.19 (ЕАОН)</w:t>
      </w:r>
    </w:p>
    <w:p w:rsidR="000D624D" w:rsidRPr="000D624D" w:rsidRDefault="000D624D" w:rsidP="000D624D">
      <w:pPr>
        <w:pStyle w:val="SingleTxt"/>
      </w:pPr>
      <w:r w:rsidRPr="000D624D">
        <w:t>86.</w:t>
      </w:r>
      <w:r w:rsidRPr="000D624D">
        <w:tab/>
        <w:t>Комитет по вопросам безопасности отметил, что ЕАОН представляет гру</w:t>
      </w:r>
      <w:r w:rsidRPr="000D624D">
        <w:t>п</w:t>
      </w:r>
      <w:r w:rsidRPr="000D624D">
        <w:t xml:space="preserve">пу нефтяных компаний, которые проявляют интерес к ВОПОГ как отправители больших количеств нефтепродуктов, перевозимых танкерами. Поскольку данная просьба была направлена с запозданием, представителю ЕАОН было предложено передать обычно требуемую документацию, с </w:t>
      </w:r>
      <w:proofErr w:type="gramStart"/>
      <w:r w:rsidRPr="000D624D">
        <w:t>тем</w:t>
      </w:r>
      <w:proofErr w:type="gramEnd"/>
      <w:r w:rsidRPr="000D624D">
        <w:t xml:space="preserve"> чтобы можно было проверить, отвечает ли данная организация обычно предъявляемым критериям для участия в качестве неправительственной организации. После проведения обычных пров</w:t>
      </w:r>
      <w:r w:rsidRPr="000D624D">
        <w:t>е</w:t>
      </w:r>
      <w:r w:rsidRPr="000D624D">
        <w:t>рок просьба будет рассмотрена на следующей сессии.</w:t>
      </w:r>
    </w:p>
    <w:p w:rsidR="000D624D" w:rsidRPr="00A96BBC" w:rsidRDefault="000D624D" w:rsidP="00A96BBC">
      <w:pPr>
        <w:pStyle w:val="SingleTxt"/>
        <w:spacing w:after="0" w:line="120" w:lineRule="exact"/>
        <w:rPr>
          <w:sz w:val="10"/>
        </w:rPr>
      </w:pPr>
    </w:p>
    <w:p w:rsidR="00A96BBC" w:rsidRPr="00A96BBC" w:rsidRDefault="00A96BBC" w:rsidP="00A96BBC">
      <w:pPr>
        <w:pStyle w:val="SingleTxt"/>
        <w:spacing w:after="0" w:line="120" w:lineRule="exact"/>
        <w:rPr>
          <w:sz w:val="10"/>
        </w:rPr>
      </w:pPr>
    </w:p>
    <w:p w:rsidR="000D624D" w:rsidRPr="000D624D" w:rsidRDefault="00A96BBC" w:rsidP="00A96B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rPr>
          <w:lang w:val="fr-FR"/>
        </w:rPr>
        <w:t>C</w:t>
      </w:r>
      <w:r>
        <w:t>.</w:t>
      </w:r>
      <w:r w:rsidR="000D624D" w:rsidRPr="000D624D">
        <w:tab/>
        <w:t>Выражение признательности г-ну Кристоферу Смиту</w:t>
      </w:r>
    </w:p>
    <w:p w:rsidR="000D624D" w:rsidRPr="00A96BBC" w:rsidRDefault="000D624D" w:rsidP="00A96BBC">
      <w:pPr>
        <w:pStyle w:val="SingleTxt"/>
        <w:spacing w:after="0" w:line="120" w:lineRule="exact"/>
        <w:rPr>
          <w:sz w:val="10"/>
        </w:rPr>
      </w:pPr>
    </w:p>
    <w:p w:rsidR="00A96BBC" w:rsidRPr="00A96BBC" w:rsidRDefault="00A96BBC" w:rsidP="00A96BBC">
      <w:pPr>
        <w:pStyle w:val="SingleTxt"/>
        <w:spacing w:after="0" w:line="120" w:lineRule="exact"/>
        <w:rPr>
          <w:sz w:val="10"/>
        </w:rPr>
      </w:pPr>
    </w:p>
    <w:p w:rsidR="000D624D" w:rsidRPr="000D624D" w:rsidRDefault="000D624D" w:rsidP="000D624D">
      <w:pPr>
        <w:pStyle w:val="SingleTxt"/>
      </w:pPr>
      <w:r w:rsidRPr="000D624D">
        <w:t>87.</w:t>
      </w:r>
      <w:r w:rsidRPr="000D624D">
        <w:tab/>
        <w:t>Комитет по вопросам безопасности был проинформирован о том, что н</w:t>
      </w:r>
      <w:r w:rsidRPr="000D624D">
        <w:t>ы</w:t>
      </w:r>
      <w:r w:rsidRPr="000D624D">
        <w:t>нешняя сессия является последней сессией, в работе которой в качестве сотру</w:t>
      </w:r>
      <w:r w:rsidRPr="000D624D">
        <w:t>д</w:t>
      </w:r>
      <w:r w:rsidRPr="000D624D">
        <w:t xml:space="preserve">ника секретариата участвует г-н Смит, поскольку в конце ноября 2015 года он выходит на пенсию. </w:t>
      </w:r>
      <w:proofErr w:type="gramStart"/>
      <w:r w:rsidRPr="000D624D">
        <w:t>Начиная с 1985 года н</w:t>
      </w:r>
      <w:r w:rsidR="00A96BBC">
        <w:t>а протяжении всей своей карьеры</w:t>
      </w:r>
      <w:r w:rsidR="00A96BBC">
        <w:br/>
      </w:r>
      <w:r w:rsidRPr="000D624D">
        <w:t>г-н Смит работал сотрудником ООН</w:t>
      </w:r>
      <w:proofErr w:type="gramEnd"/>
      <w:r w:rsidRPr="000D624D">
        <w:t xml:space="preserve">. </w:t>
      </w:r>
      <w:proofErr w:type="gramStart"/>
      <w:r w:rsidRPr="000D624D">
        <w:t>В 1997 году он начал работать в Отделе транспорта ЕЭК ООН, где он занимался, в частности, вопросами безопасности дорожного движения, а в 2007 году перешел в Секцию по опасным и специал</w:t>
      </w:r>
      <w:r w:rsidRPr="000D624D">
        <w:t>ь</w:t>
      </w:r>
      <w:r w:rsidRPr="000D624D">
        <w:t>ным грузам, где он выполнял функции секретаря Рабочей группы по перевозкам скоропортящихся пищевых продуктов и помощника секретаря, отвечающего за деятельность, связанную с ВОПОГ.</w:t>
      </w:r>
      <w:proofErr w:type="gramEnd"/>
      <w:r w:rsidRPr="000D624D">
        <w:t xml:space="preserve"> Комитет по вопросам безопасности искренне поблагодарил г-на Смита за его весьма ценный вклад в работу Группы и пожелал ему долгих лет счастливой жизни после выхода на пенсию.</w:t>
      </w:r>
    </w:p>
    <w:p w:rsidR="000D624D" w:rsidRPr="00A96BBC" w:rsidRDefault="000D624D" w:rsidP="00A96BBC">
      <w:pPr>
        <w:pStyle w:val="SingleTxt"/>
        <w:spacing w:after="0" w:line="120" w:lineRule="exact"/>
        <w:rPr>
          <w:sz w:val="10"/>
        </w:rPr>
      </w:pPr>
    </w:p>
    <w:p w:rsidR="00A96BBC" w:rsidRPr="00A96BBC" w:rsidRDefault="00A96BBC" w:rsidP="00A96BBC">
      <w:pPr>
        <w:pStyle w:val="SingleTxt"/>
        <w:spacing w:after="0" w:line="120" w:lineRule="exact"/>
        <w:rPr>
          <w:sz w:val="10"/>
        </w:rPr>
      </w:pPr>
    </w:p>
    <w:p w:rsidR="000D624D" w:rsidRPr="000D624D" w:rsidRDefault="00A96BBC" w:rsidP="00A96B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0D624D" w:rsidRPr="000D624D">
        <w:rPr>
          <w:lang w:val="fr-FR"/>
        </w:rPr>
        <w:t>IX</w:t>
      </w:r>
      <w:r w:rsidR="000D624D" w:rsidRPr="000D624D">
        <w:t>.</w:t>
      </w:r>
      <w:r w:rsidR="000D624D" w:rsidRPr="000D624D">
        <w:tab/>
        <w:t>Утверждение доклада (пункт 8 повестки дня)</w:t>
      </w:r>
    </w:p>
    <w:p w:rsidR="000D624D" w:rsidRPr="00A96BBC" w:rsidRDefault="000D624D" w:rsidP="00A96BBC">
      <w:pPr>
        <w:pStyle w:val="SingleTxt"/>
        <w:spacing w:after="0" w:line="120" w:lineRule="exact"/>
        <w:rPr>
          <w:sz w:val="10"/>
        </w:rPr>
      </w:pPr>
    </w:p>
    <w:p w:rsidR="00A96BBC" w:rsidRPr="00A96BBC" w:rsidRDefault="00A96BBC" w:rsidP="00A96BBC">
      <w:pPr>
        <w:pStyle w:val="SingleTxt"/>
        <w:spacing w:after="0" w:line="120" w:lineRule="exact"/>
        <w:rPr>
          <w:sz w:val="10"/>
        </w:rPr>
      </w:pPr>
    </w:p>
    <w:p w:rsidR="000D624D" w:rsidRPr="000D624D" w:rsidRDefault="000D624D" w:rsidP="000D624D">
      <w:pPr>
        <w:pStyle w:val="SingleTxt"/>
      </w:pPr>
      <w:r w:rsidRPr="000D624D">
        <w:t>88.</w:t>
      </w:r>
      <w:r w:rsidRPr="000D624D">
        <w:tab/>
        <w:t>Комитет по вопросам безопасности утвердил доклад о работе своей дв</w:t>
      </w:r>
      <w:r w:rsidRPr="000D624D">
        <w:t>а</w:t>
      </w:r>
      <w:r w:rsidRPr="000D624D">
        <w:t>дцать седьмой сессии и приложения к нему на основе проекта, подготовленного секретариатом.</w:t>
      </w:r>
    </w:p>
    <w:p w:rsidR="000D624D" w:rsidRPr="000D624D" w:rsidRDefault="00973445" w:rsidP="0097344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D624D" w:rsidRPr="000D624D">
        <w:lastRenderedPageBreak/>
        <w:t xml:space="preserve">Приложение </w:t>
      </w:r>
      <w:r w:rsidR="000D624D" w:rsidRPr="000D624D">
        <w:rPr>
          <w:lang w:val="fr-FR"/>
        </w:rPr>
        <w:t>I</w:t>
      </w:r>
    </w:p>
    <w:p w:rsidR="000D624D" w:rsidRPr="00973445" w:rsidRDefault="000D624D" w:rsidP="00973445">
      <w:pPr>
        <w:pStyle w:val="SingleTxt"/>
        <w:spacing w:after="0" w:line="120" w:lineRule="exact"/>
        <w:rPr>
          <w:b/>
          <w:bCs/>
          <w:sz w:val="10"/>
        </w:rPr>
      </w:pPr>
    </w:p>
    <w:p w:rsidR="00973445" w:rsidRPr="00973445" w:rsidRDefault="00973445" w:rsidP="00973445">
      <w:pPr>
        <w:pStyle w:val="SingleTxt"/>
        <w:spacing w:after="0" w:line="120" w:lineRule="exact"/>
        <w:rPr>
          <w:b/>
          <w:bCs/>
          <w:sz w:val="10"/>
        </w:rPr>
      </w:pPr>
    </w:p>
    <w:p w:rsidR="000D624D" w:rsidRPr="000D624D" w:rsidRDefault="00973445" w:rsidP="008453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80" w:lineRule="exact"/>
        <w:ind w:left="1267" w:right="1267" w:hanging="1267"/>
      </w:pPr>
      <w:r>
        <w:tab/>
      </w:r>
      <w:r>
        <w:tab/>
      </w:r>
      <w:r w:rsidR="000D624D" w:rsidRPr="000D624D">
        <w:t>Проекты поправок к Правилам, прилагаемым к ВОПОГ, для вступле</w:t>
      </w:r>
      <w:r>
        <w:t xml:space="preserve">ния в силу 1 </w:t>
      </w:r>
      <w:r w:rsidR="000D624D" w:rsidRPr="000D624D">
        <w:t>января 2017 года</w:t>
      </w:r>
    </w:p>
    <w:p w:rsidR="000D624D" w:rsidRPr="00973445" w:rsidRDefault="000D624D" w:rsidP="00973445">
      <w:pPr>
        <w:pStyle w:val="SingleTxt"/>
        <w:spacing w:after="0" w:line="120" w:lineRule="exact"/>
        <w:rPr>
          <w:sz w:val="10"/>
        </w:rPr>
      </w:pPr>
    </w:p>
    <w:p w:rsidR="00973445" w:rsidRPr="00973445" w:rsidRDefault="00973445" w:rsidP="00973445">
      <w:pPr>
        <w:pStyle w:val="SingleTxt"/>
        <w:spacing w:after="0" w:line="120" w:lineRule="exact"/>
        <w:rPr>
          <w:sz w:val="10"/>
        </w:rPr>
      </w:pPr>
    </w:p>
    <w:p w:rsidR="000D624D" w:rsidRPr="000D624D" w:rsidRDefault="000D624D" w:rsidP="00845316">
      <w:pPr>
        <w:pStyle w:val="SingleTxt"/>
        <w:tabs>
          <w:tab w:val="clear" w:pos="2218"/>
          <w:tab w:val="left" w:pos="2340"/>
        </w:tabs>
        <w:spacing w:line="230" w:lineRule="exact"/>
      </w:pPr>
      <w:r w:rsidRPr="000D624D">
        <w:t xml:space="preserve">1.4.3.3 </w:t>
      </w:r>
      <w:r w:rsidRPr="000D624D">
        <w:rPr>
          <w:lang w:val="fr-FR"/>
        </w:rPr>
        <w:t>u</w:t>
      </w:r>
      <w:r w:rsidR="00973445">
        <w:t>)</w:t>
      </w:r>
      <w:r w:rsidRPr="000D624D">
        <w:tab/>
        <w:t>Изменить следующим образом:</w:t>
      </w:r>
    </w:p>
    <w:p w:rsidR="000D624D" w:rsidRPr="000D624D" w:rsidRDefault="000D624D" w:rsidP="00845316">
      <w:pPr>
        <w:pStyle w:val="SingleTxt"/>
        <w:tabs>
          <w:tab w:val="clear" w:pos="1742"/>
          <w:tab w:val="left" w:pos="1845"/>
        </w:tabs>
        <w:spacing w:line="230" w:lineRule="exact"/>
      </w:pPr>
      <w:r w:rsidRPr="000D624D">
        <w:t>«</w:t>
      </w:r>
      <w:r w:rsidRPr="000D624D">
        <w:rPr>
          <w:lang w:val="fr-FR"/>
        </w:rPr>
        <w:t>u</w:t>
      </w:r>
      <w:r w:rsidR="00973445">
        <w:t>)</w:t>
      </w:r>
      <w:r w:rsidRPr="000D624D">
        <w:tab/>
        <w:t>он должен удостовериться в том, что на всем протяжении погрузки обе</w:t>
      </w:r>
      <w:r w:rsidRPr="000D624D">
        <w:t>с</w:t>
      </w:r>
      <w:r w:rsidRPr="000D624D">
        <w:t>печено постоянное надлежащее наблюдение за этой операцией».</w:t>
      </w:r>
    </w:p>
    <w:p w:rsidR="000D624D" w:rsidRPr="000D624D" w:rsidRDefault="000D624D" w:rsidP="00845316">
      <w:pPr>
        <w:pStyle w:val="SingleTxt"/>
        <w:spacing w:line="230" w:lineRule="exact"/>
        <w:rPr>
          <w:i/>
          <w:iCs/>
        </w:rPr>
      </w:pPr>
      <w:proofErr w:type="gramStart"/>
      <w:r w:rsidRPr="000D624D">
        <w:rPr>
          <w:i/>
          <w:iCs/>
        </w:rPr>
        <w:t>(Справочный документ:</w:t>
      </w:r>
      <w:proofErr w:type="gramEnd"/>
      <w:r w:rsidRPr="000D624D">
        <w:rPr>
          <w:i/>
          <w:iCs/>
        </w:rPr>
        <w:t xml:space="preserve"> </w:t>
      </w:r>
      <w:r w:rsidRPr="000D624D">
        <w:rPr>
          <w:i/>
          <w:iCs/>
          <w:lang w:val="fr-FR"/>
        </w:rPr>
        <w:t>ECE</w:t>
      </w:r>
      <w:r w:rsidRPr="000D624D">
        <w:rPr>
          <w:i/>
          <w:iCs/>
        </w:rPr>
        <w:t>/</w:t>
      </w:r>
      <w:r w:rsidRPr="000D624D">
        <w:rPr>
          <w:i/>
          <w:iCs/>
          <w:lang w:val="fr-FR"/>
        </w:rPr>
        <w:t>TRANS</w:t>
      </w:r>
      <w:r w:rsidRPr="000D624D">
        <w:rPr>
          <w:i/>
          <w:iCs/>
        </w:rPr>
        <w:t>/</w:t>
      </w:r>
      <w:r w:rsidRPr="000D624D">
        <w:rPr>
          <w:i/>
          <w:iCs/>
          <w:lang w:val="fr-FR"/>
        </w:rPr>
        <w:t>WP</w:t>
      </w:r>
      <w:r w:rsidRPr="000D624D">
        <w:rPr>
          <w:i/>
          <w:iCs/>
        </w:rPr>
        <w:t>.15/</w:t>
      </w:r>
      <w:r w:rsidRPr="000D624D">
        <w:rPr>
          <w:i/>
          <w:iCs/>
          <w:lang w:val="fr-FR"/>
        </w:rPr>
        <w:t>AC</w:t>
      </w:r>
      <w:r w:rsidRPr="000D624D">
        <w:rPr>
          <w:i/>
          <w:iCs/>
        </w:rPr>
        <w:t>.2/2015/32)</w:t>
      </w:r>
    </w:p>
    <w:p w:rsidR="000D624D" w:rsidRPr="000D624D" w:rsidRDefault="000D624D" w:rsidP="00845316">
      <w:pPr>
        <w:pStyle w:val="SingleTxt"/>
        <w:tabs>
          <w:tab w:val="clear" w:pos="2693"/>
          <w:tab w:val="left" w:pos="2844"/>
        </w:tabs>
        <w:spacing w:line="230" w:lineRule="exact"/>
      </w:pPr>
      <w:r w:rsidRPr="000D624D">
        <w:t xml:space="preserve">9.1.0.40.2.7 </w:t>
      </w:r>
      <w:r w:rsidRPr="000D624D">
        <w:rPr>
          <w:lang w:val="fr-FR"/>
        </w:rPr>
        <w:t>a</w:t>
      </w:r>
      <w:r w:rsidR="00973445">
        <w:t>)</w:t>
      </w:r>
      <w:r w:rsidR="00973445">
        <w:tab/>
      </w:r>
      <w:r w:rsidRPr="000D624D">
        <w:t>В конце включить следующее: «или, если таких требований не предусмотрено, требованиям признанного классификационного общества».</w:t>
      </w:r>
    </w:p>
    <w:p w:rsidR="000D624D" w:rsidRPr="000D624D" w:rsidRDefault="000D624D" w:rsidP="00845316">
      <w:pPr>
        <w:pStyle w:val="SingleTxt"/>
        <w:tabs>
          <w:tab w:val="clear" w:pos="2693"/>
          <w:tab w:val="left" w:pos="2844"/>
        </w:tabs>
        <w:spacing w:line="230" w:lineRule="exact"/>
      </w:pPr>
      <w:r w:rsidRPr="000D624D">
        <w:t xml:space="preserve">9.3.1.40.2.7 </w:t>
      </w:r>
      <w:r w:rsidRPr="000D624D">
        <w:rPr>
          <w:lang w:val="fr-FR"/>
        </w:rPr>
        <w:t>a</w:t>
      </w:r>
      <w:r w:rsidR="00973445">
        <w:t>)</w:t>
      </w:r>
      <w:r w:rsidR="00973445">
        <w:tab/>
      </w:r>
      <w:r w:rsidRPr="000D624D">
        <w:t>В конце включить следующее: «или, если таких требований не предусмотрено, требованиям признанного классификационного общества».</w:t>
      </w:r>
    </w:p>
    <w:p w:rsidR="000D624D" w:rsidRPr="000D624D" w:rsidRDefault="000D624D" w:rsidP="00845316">
      <w:pPr>
        <w:pStyle w:val="SingleTxt"/>
        <w:tabs>
          <w:tab w:val="clear" w:pos="2693"/>
          <w:tab w:val="left" w:pos="2844"/>
        </w:tabs>
        <w:spacing w:line="230" w:lineRule="exact"/>
      </w:pPr>
      <w:r w:rsidRPr="000D624D">
        <w:t xml:space="preserve">9.3.2.40.2.7 </w:t>
      </w:r>
      <w:r w:rsidRPr="000D624D">
        <w:rPr>
          <w:lang w:val="fr-FR"/>
        </w:rPr>
        <w:t>a</w:t>
      </w:r>
      <w:r w:rsidR="00973445">
        <w:t>)</w:t>
      </w:r>
      <w:r w:rsidR="00973445">
        <w:tab/>
      </w:r>
      <w:r w:rsidRPr="000D624D">
        <w:t>В конце включить следующее: «или, если таких требований не предусмотрено, требованиям признанного классификационного общества».</w:t>
      </w:r>
    </w:p>
    <w:p w:rsidR="000D624D" w:rsidRPr="000D624D" w:rsidRDefault="000D624D" w:rsidP="00845316">
      <w:pPr>
        <w:pStyle w:val="SingleTxt"/>
        <w:tabs>
          <w:tab w:val="clear" w:pos="2693"/>
          <w:tab w:val="left" w:pos="2844"/>
        </w:tabs>
        <w:spacing w:line="230" w:lineRule="exact"/>
      </w:pPr>
      <w:r w:rsidRPr="000D624D">
        <w:t xml:space="preserve">9.3.3.40.2.7 </w:t>
      </w:r>
      <w:r w:rsidRPr="000D624D">
        <w:rPr>
          <w:lang w:val="fr-FR"/>
        </w:rPr>
        <w:t>a</w:t>
      </w:r>
      <w:r w:rsidR="00973445">
        <w:t>)</w:t>
      </w:r>
      <w:r w:rsidR="00973445">
        <w:tab/>
      </w:r>
      <w:r w:rsidRPr="000D624D">
        <w:t>В конце включить следующее: «или, если таких требований не предусмотрено, требованиям признанного классификационного общества».</w:t>
      </w:r>
    </w:p>
    <w:p w:rsidR="000D624D" w:rsidRPr="000D624D" w:rsidRDefault="000D624D" w:rsidP="00845316">
      <w:pPr>
        <w:pStyle w:val="SingleTxt"/>
        <w:spacing w:line="230" w:lineRule="exact"/>
      </w:pPr>
      <w:proofErr w:type="gramStart"/>
      <w:r w:rsidRPr="000D624D">
        <w:rPr>
          <w:i/>
          <w:iCs/>
        </w:rPr>
        <w:t>(Справочный документ:</w:t>
      </w:r>
      <w:proofErr w:type="gramEnd"/>
      <w:r w:rsidRPr="000D624D">
        <w:rPr>
          <w:i/>
          <w:iCs/>
        </w:rPr>
        <w:t xml:space="preserve"> </w:t>
      </w:r>
      <w:r w:rsidRPr="000D624D">
        <w:rPr>
          <w:i/>
          <w:iCs/>
          <w:lang w:val="fr-FR"/>
        </w:rPr>
        <w:t>ECE</w:t>
      </w:r>
      <w:r w:rsidRPr="000D624D">
        <w:rPr>
          <w:i/>
          <w:iCs/>
        </w:rPr>
        <w:t>/</w:t>
      </w:r>
      <w:r w:rsidRPr="000D624D">
        <w:rPr>
          <w:i/>
          <w:iCs/>
          <w:lang w:val="fr-FR"/>
        </w:rPr>
        <w:t>TRANS</w:t>
      </w:r>
      <w:r w:rsidRPr="000D624D">
        <w:rPr>
          <w:i/>
          <w:iCs/>
        </w:rPr>
        <w:t>/</w:t>
      </w:r>
      <w:r w:rsidRPr="000D624D">
        <w:rPr>
          <w:i/>
          <w:iCs/>
          <w:lang w:val="fr-FR"/>
        </w:rPr>
        <w:t>WP</w:t>
      </w:r>
      <w:r w:rsidRPr="000D624D">
        <w:rPr>
          <w:i/>
          <w:iCs/>
        </w:rPr>
        <w:t>.15/</w:t>
      </w:r>
      <w:r w:rsidRPr="000D624D">
        <w:rPr>
          <w:i/>
          <w:iCs/>
          <w:lang w:val="fr-FR"/>
        </w:rPr>
        <w:t>AC</w:t>
      </w:r>
      <w:r w:rsidRPr="000D624D">
        <w:rPr>
          <w:i/>
          <w:iCs/>
        </w:rPr>
        <w:t>.2/2015/8)</w:t>
      </w:r>
    </w:p>
    <w:p w:rsidR="000D624D" w:rsidRPr="000D624D" w:rsidRDefault="00973445" w:rsidP="00845316">
      <w:pPr>
        <w:pStyle w:val="SingleTxt"/>
        <w:tabs>
          <w:tab w:val="clear" w:pos="2218"/>
          <w:tab w:val="left" w:pos="2421"/>
        </w:tabs>
        <w:spacing w:line="230" w:lineRule="exact"/>
      </w:pPr>
      <w:r>
        <w:t>7.2.4.77</w:t>
      </w:r>
      <w:proofErr w:type="gramStart"/>
      <w:r>
        <w:tab/>
      </w:r>
      <w:r w:rsidR="000D624D" w:rsidRPr="000D624D">
        <w:t>И</w:t>
      </w:r>
      <w:proofErr w:type="gramEnd"/>
      <w:r w:rsidR="000D624D" w:rsidRPr="000D624D">
        <w:t>зменить заголовок в колонке 4 таблицы следующим образом:</w:t>
      </w:r>
    </w:p>
    <w:p w:rsidR="000D624D" w:rsidRPr="000D624D" w:rsidRDefault="000D624D" w:rsidP="00845316">
      <w:pPr>
        <w:pStyle w:val="SingleTxt"/>
        <w:spacing w:line="230" w:lineRule="exact"/>
      </w:pPr>
      <w:r w:rsidRPr="000D624D">
        <w:t xml:space="preserve">«3, группа упаковки </w:t>
      </w:r>
      <w:r w:rsidRPr="000D624D">
        <w:rPr>
          <w:lang w:val="fr-FR"/>
        </w:rPr>
        <w:t>III</w:t>
      </w:r>
      <w:r w:rsidRPr="000D624D">
        <w:t xml:space="preserve"> (№ ООН 1202: вторая и третья позиции в таблице С), 4.1».</w:t>
      </w:r>
    </w:p>
    <w:p w:rsidR="000D624D" w:rsidRPr="000D624D" w:rsidRDefault="000D624D" w:rsidP="00845316">
      <w:pPr>
        <w:pStyle w:val="SingleTxt"/>
        <w:spacing w:line="230" w:lineRule="exact"/>
      </w:pPr>
      <w:proofErr w:type="gramStart"/>
      <w:r w:rsidRPr="000D624D">
        <w:rPr>
          <w:i/>
          <w:iCs/>
        </w:rPr>
        <w:t>(Справочный документ:</w:t>
      </w:r>
      <w:proofErr w:type="gramEnd"/>
      <w:r w:rsidRPr="000D624D">
        <w:t xml:space="preserve"> </w:t>
      </w:r>
      <w:r w:rsidRPr="000D624D">
        <w:rPr>
          <w:i/>
          <w:iCs/>
          <w:lang w:val="fr-FR"/>
        </w:rPr>
        <w:t>ECE</w:t>
      </w:r>
      <w:r w:rsidRPr="000D624D">
        <w:rPr>
          <w:i/>
          <w:iCs/>
        </w:rPr>
        <w:t>/</w:t>
      </w:r>
      <w:r w:rsidRPr="000D624D">
        <w:rPr>
          <w:i/>
          <w:iCs/>
          <w:lang w:val="fr-FR"/>
        </w:rPr>
        <w:t>TRANS</w:t>
      </w:r>
      <w:r w:rsidRPr="000D624D">
        <w:rPr>
          <w:i/>
          <w:iCs/>
        </w:rPr>
        <w:t>/</w:t>
      </w:r>
      <w:r w:rsidRPr="000D624D">
        <w:rPr>
          <w:i/>
          <w:iCs/>
          <w:lang w:val="fr-FR"/>
        </w:rPr>
        <w:t>WP</w:t>
      </w:r>
      <w:r w:rsidRPr="000D624D">
        <w:rPr>
          <w:i/>
          <w:iCs/>
        </w:rPr>
        <w:t>.15/</w:t>
      </w:r>
      <w:r w:rsidRPr="000D624D">
        <w:rPr>
          <w:i/>
          <w:iCs/>
          <w:lang w:val="fr-FR"/>
        </w:rPr>
        <w:t>AC</w:t>
      </w:r>
      <w:r w:rsidRPr="000D624D">
        <w:rPr>
          <w:i/>
          <w:iCs/>
        </w:rPr>
        <w:t>.2/2015/10)</w:t>
      </w:r>
    </w:p>
    <w:p w:rsidR="000D624D" w:rsidRPr="000D624D" w:rsidRDefault="00973445" w:rsidP="00845316">
      <w:pPr>
        <w:pStyle w:val="SingleTxt"/>
        <w:tabs>
          <w:tab w:val="clear" w:pos="2218"/>
          <w:tab w:val="left" w:pos="2412"/>
        </w:tabs>
        <w:spacing w:line="230" w:lineRule="exact"/>
      </w:pPr>
      <w:r>
        <w:t>8.2.2.8</w:t>
      </w:r>
      <w:proofErr w:type="gramStart"/>
      <w:r>
        <w:tab/>
      </w:r>
      <w:r w:rsidR="000D624D" w:rsidRPr="000D624D">
        <w:t>П</w:t>
      </w:r>
      <w:proofErr w:type="gramEnd"/>
      <w:r w:rsidR="000D624D" w:rsidRPr="000D624D">
        <w:t>рисвоить тексту, следующему после заголовка, номер 8.2.2.8.1.</w:t>
      </w:r>
    </w:p>
    <w:p w:rsidR="000D624D" w:rsidRPr="000D624D" w:rsidRDefault="000D624D" w:rsidP="00845316">
      <w:pPr>
        <w:pStyle w:val="SingleTxt"/>
        <w:spacing w:line="230" w:lineRule="exact"/>
      </w:pPr>
      <w:r w:rsidRPr="000D624D">
        <w:t>Добавить новый пункт 8.2.2.8.2 следующего содержания:</w:t>
      </w:r>
    </w:p>
    <w:p w:rsidR="000D624D" w:rsidRPr="000D624D" w:rsidRDefault="00973445" w:rsidP="00845316">
      <w:pPr>
        <w:pStyle w:val="SingleTxt"/>
        <w:tabs>
          <w:tab w:val="clear" w:pos="2218"/>
          <w:tab w:val="left" w:pos="2421"/>
        </w:tabs>
        <w:spacing w:line="230" w:lineRule="exact"/>
      </w:pPr>
      <w:r>
        <w:t>«8.2.2.8.2</w:t>
      </w:r>
      <w:r>
        <w:tab/>
      </w:r>
      <w:r w:rsidR="000D624D" w:rsidRPr="000D624D">
        <w:t>Договаривающиеся стороны передают секретариату ЕЭК ООН пр</w:t>
      </w:r>
      <w:r w:rsidR="000D624D" w:rsidRPr="000D624D">
        <w:t>и</w:t>
      </w:r>
      <w:r w:rsidR="000D624D" w:rsidRPr="000D624D">
        <w:t>мер национального образца каждого свидетельства, предназначенного для выд</w:t>
      </w:r>
      <w:r w:rsidR="000D624D" w:rsidRPr="000D624D">
        <w:t>а</w:t>
      </w:r>
      <w:r w:rsidR="000D624D" w:rsidRPr="000D624D">
        <w:t>чи в соответствии с настоящим разделом, наряду с примерами образцов свид</w:t>
      </w:r>
      <w:r w:rsidR="000D624D" w:rsidRPr="000D624D">
        <w:t>е</w:t>
      </w:r>
      <w:r w:rsidR="000D624D" w:rsidRPr="000D624D">
        <w:t>тельств, которые по-прежнему действительны. Любая Договаривающаяся стор</w:t>
      </w:r>
      <w:r w:rsidR="000D624D" w:rsidRPr="000D624D">
        <w:t>о</w:t>
      </w:r>
      <w:r w:rsidR="000D624D" w:rsidRPr="000D624D">
        <w:t>на может, помимо этого, передавать пояснительные замечания. Секретариат ЕЭК ООН предоставляет полученную информацию всем Договаривающимся стор</w:t>
      </w:r>
      <w:r w:rsidR="000D624D" w:rsidRPr="000D624D">
        <w:t>о</w:t>
      </w:r>
      <w:r w:rsidR="000D624D" w:rsidRPr="000D624D">
        <w:t>нам».</w:t>
      </w:r>
    </w:p>
    <w:p w:rsidR="000D624D" w:rsidRPr="000D624D" w:rsidRDefault="000D624D" w:rsidP="00845316">
      <w:pPr>
        <w:pStyle w:val="SingleTxt"/>
        <w:spacing w:line="230" w:lineRule="exact"/>
        <w:rPr>
          <w:i/>
          <w:iCs/>
        </w:rPr>
      </w:pPr>
      <w:proofErr w:type="gramStart"/>
      <w:r w:rsidRPr="000D624D">
        <w:rPr>
          <w:i/>
          <w:iCs/>
        </w:rPr>
        <w:t>(Справочный документ:</w:t>
      </w:r>
      <w:proofErr w:type="gramEnd"/>
      <w:r w:rsidRPr="000D624D">
        <w:rPr>
          <w:i/>
          <w:iCs/>
        </w:rPr>
        <w:t xml:space="preserve"> </w:t>
      </w:r>
      <w:r w:rsidRPr="000D624D">
        <w:rPr>
          <w:i/>
          <w:iCs/>
          <w:lang w:val="fr-FR"/>
        </w:rPr>
        <w:t>ECE</w:t>
      </w:r>
      <w:r w:rsidRPr="000D624D">
        <w:rPr>
          <w:i/>
          <w:iCs/>
        </w:rPr>
        <w:t>/</w:t>
      </w:r>
      <w:r w:rsidRPr="000D624D">
        <w:rPr>
          <w:i/>
          <w:iCs/>
          <w:lang w:val="fr-FR"/>
        </w:rPr>
        <w:t>TRANS</w:t>
      </w:r>
      <w:r w:rsidRPr="000D624D">
        <w:rPr>
          <w:i/>
          <w:iCs/>
        </w:rPr>
        <w:t>/</w:t>
      </w:r>
      <w:r w:rsidRPr="000D624D">
        <w:rPr>
          <w:i/>
          <w:iCs/>
          <w:lang w:val="fr-FR"/>
        </w:rPr>
        <w:t>WP</w:t>
      </w:r>
      <w:r w:rsidRPr="000D624D">
        <w:rPr>
          <w:i/>
          <w:iCs/>
        </w:rPr>
        <w:t>.15/</w:t>
      </w:r>
      <w:r w:rsidRPr="000D624D">
        <w:rPr>
          <w:i/>
          <w:iCs/>
          <w:lang w:val="fr-FR"/>
        </w:rPr>
        <w:t>AC</w:t>
      </w:r>
      <w:r w:rsidRPr="000D624D">
        <w:rPr>
          <w:i/>
          <w:iCs/>
        </w:rPr>
        <w:t>.2/2015/14)</w:t>
      </w:r>
    </w:p>
    <w:p w:rsidR="000D624D" w:rsidRPr="000D624D" w:rsidRDefault="00973445" w:rsidP="00845316">
      <w:pPr>
        <w:pStyle w:val="SingleTxt"/>
        <w:tabs>
          <w:tab w:val="clear" w:pos="2693"/>
          <w:tab w:val="left" w:pos="2916"/>
        </w:tabs>
        <w:spacing w:line="230" w:lineRule="exact"/>
      </w:pPr>
      <w:r>
        <w:t>8.6.1.3 и 8.6.1.4</w:t>
      </w:r>
      <w:proofErr w:type="gramStart"/>
      <w:r w:rsidR="000D624D" w:rsidRPr="000D624D">
        <w:tab/>
        <w:t>Н</w:t>
      </w:r>
      <w:proofErr w:type="gramEnd"/>
      <w:r w:rsidR="000D624D" w:rsidRPr="000D624D">
        <w:t>а странице 3 включить строку «установка для закачивания инертного газа» после «система охлаждения груза».</w:t>
      </w:r>
    </w:p>
    <w:p w:rsidR="000D624D" w:rsidRPr="000D624D" w:rsidRDefault="000D624D" w:rsidP="00845316">
      <w:pPr>
        <w:pStyle w:val="SingleTxt"/>
        <w:spacing w:line="230" w:lineRule="exact"/>
        <w:rPr>
          <w:i/>
          <w:iCs/>
        </w:rPr>
      </w:pPr>
      <w:proofErr w:type="gramStart"/>
      <w:r w:rsidRPr="000D624D">
        <w:rPr>
          <w:i/>
          <w:iCs/>
        </w:rPr>
        <w:t>(Справочный документ:</w:t>
      </w:r>
      <w:proofErr w:type="gramEnd"/>
      <w:r w:rsidRPr="000D624D">
        <w:rPr>
          <w:i/>
          <w:iCs/>
        </w:rPr>
        <w:t xml:space="preserve"> </w:t>
      </w:r>
      <w:r w:rsidRPr="000D624D">
        <w:rPr>
          <w:i/>
          <w:iCs/>
          <w:lang w:val="fr-FR"/>
        </w:rPr>
        <w:t>ECE</w:t>
      </w:r>
      <w:r w:rsidRPr="000D624D">
        <w:rPr>
          <w:i/>
          <w:iCs/>
        </w:rPr>
        <w:t>/</w:t>
      </w:r>
      <w:r w:rsidRPr="000D624D">
        <w:rPr>
          <w:i/>
          <w:iCs/>
          <w:lang w:val="fr-FR"/>
        </w:rPr>
        <w:t>TRANS</w:t>
      </w:r>
      <w:r w:rsidRPr="000D624D">
        <w:rPr>
          <w:i/>
          <w:iCs/>
        </w:rPr>
        <w:t>/</w:t>
      </w:r>
      <w:r w:rsidRPr="000D624D">
        <w:rPr>
          <w:i/>
          <w:iCs/>
          <w:lang w:val="fr-FR"/>
        </w:rPr>
        <w:t>WP</w:t>
      </w:r>
      <w:r w:rsidRPr="000D624D">
        <w:rPr>
          <w:i/>
          <w:iCs/>
        </w:rPr>
        <w:t>.15/</w:t>
      </w:r>
      <w:r w:rsidRPr="000D624D">
        <w:rPr>
          <w:i/>
          <w:iCs/>
          <w:lang w:val="fr-FR"/>
        </w:rPr>
        <w:t>AC</w:t>
      </w:r>
      <w:r w:rsidRPr="000D624D">
        <w:rPr>
          <w:i/>
          <w:iCs/>
        </w:rPr>
        <w:t>.2/2015/16)</w:t>
      </w:r>
    </w:p>
    <w:p w:rsidR="000D624D" w:rsidRPr="000D624D" w:rsidRDefault="000D624D" w:rsidP="00845316">
      <w:pPr>
        <w:pStyle w:val="SingleTxt"/>
        <w:tabs>
          <w:tab w:val="clear" w:pos="2218"/>
          <w:tab w:val="left" w:pos="2412"/>
        </w:tabs>
        <w:spacing w:line="230" w:lineRule="exact"/>
      </w:pPr>
      <w:r w:rsidRPr="000D624D">
        <w:t>9.3.</w:t>
      </w:r>
      <w:r w:rsidRPr="000D624D">
        <w:rPr>
          <w:lang w:val="fr-FR"/>
        </w:rPr>
        <w:t>x</w:t>
      </w:r>
      <w:r w:rsidRPr="000D624D">
        <w:t>.13</w:t>
      </w:r>
      <w:proofErr w:type="gramStart"/>
      <w:r w:rsidRPr="000D624D">
        <w:tab/>
        <w:t>Д</w:t>
      </w:r>
      <w:proofErr w:type="gramEnd"/>
      <w:r w:rsidRPr="000D624D">
        <w:t>обавить новый пункт следующего содержания:</w:t>
      </w:r>
    </w:p>
    <w:p w:rsidR="000D624D" w:rsidRPr="000D624D" w:rsidRDefault="000D624D" w:rsidP="00845316">
      <w:pPr>
        <w:pStyle w:val="SingleTxt"/>
        <w:tabs>
          <w:tab w:val="clear" w:pos="2693"/>
          <w:tab w:val="left" w:pos="2421"/>
        </w:tabs>
        <w:spacing w:line="230" w:lineRule="exact"/>
      </w:pPr>
      <w:r w:rsidRPr="000D624D">
        <w:t>«9.3.</w:t>
      </w:r>
      <w:r w:rsidRPr="000D624D">
        <w:rPr>
          <w:lang w:val="fr-FR"/>
        </w:rPr>
        <w:t>x</w:t>
      </w:r>
      <w:r w:rsidRPr="000D624D">
        <w:t>.13.4</w:t>
      </w:r>
      <w:r w:rsidRPr="000D624D">
        <w:tab/>
        <w:t>Должна быть подтверждена плавучесть судна в поврежденном с</w:t>
      </w:r>
      <w:r w:rsidRPr="000D624D">
        <w:t>о</w:t>
      </w:r>
      <w:r w:rsidRPr="000D624D">
        <w:t>стоянии</w:t>
      </w:r>
      <w:r w:rsidR="00ED2FBE">
        <w:t xml:space="preserve"> </w:t>
      </w:r>
      <w:r w:rsidRPr="000D624D">
        <w:t>в наиболее неблагоприятных грузовых условиях. С этой целью должна быть подтверждена достаточная остойчивость путем ее расчета на критических промежуточных стадиях затопления и на конечной стадии затопления».</w:t>
      </w:r>
    </w:p>
    <w:p w:rsidR="000D624D" w:rsidRPr="000D624D" w:rsidRDefault="000D624D" w:rsidP="00845316">
      <w:pPr>
        <w:pStyle w:val="SingleTxt"/>
        <w:tabs>
          <w:tab w:val="clear" w:pos="2218"/>
          <w:tab w:val="left" w:pos="2421"/>
        </w:tabs>
        <w:spacing w:line="220" w:lineRule="exact"/>
      </w:pPr>
      <w:r w:rsidRPr="000D624D">
        <w:t>9.3.</w:t>
      </w:r>
      <w:r w:rsidRPr="000D624D">
        <w:rPr>
          <w:lang w:val="fr-FR"/>
        </w:rPr>
        <w:t>x</w:t>
      </w:r>
      <w:r w:rsidRPr="000D624D">
        <w:t>.15.2</w:t>
      </w:r>
      <w:proofErr w:type="gramStart"/>
      <w:r w:rsidRPr="000D624D">
        <w:tab/>
        <w:t>Д</w:t>
      </w:r>
      <w:proofErr w:type="gramEnd"/>
      <w:r w:rsidRPr="000D624D">
        <w:t>обавить новый первый абзац следующего содержания:</w:t>
      </w:r>
    </w:p>
    <w:p w:rsidR="000D624D" w:rsidRPr="000D624D" w:rsidRDefault="000D624D" w:rsidP="00845316">
      <w:pPr>
        <w:pStyle w:val="SingleTxt"/>
        <w:spacing w:line="220" w:lineRule="exact"/>
      </w:pPr>
      <w:r w:rsidRPr="000D624D">
        <w:t>«Для промежуточной стадии затопления должны соблюдаться следующие крит</w:t>
      </w:r>
      <w:r w:rsidRPr="000D624D">
        <w:t>е</w:t>
      </w:r>
      <w:r w:rsidRPr="000D624D">
        <w:t>рии:</w:t>
      </w:r>
    </w:p>
    <w:p w:rsidR="000D624D" w:rsidRPr="000D624D" w:rsidRDefault="000D624D" w:rsidP="00634B60">
      <w:pPr>
        <w:pStyle w:val="SingleTxt"/>
        <w:spacing w:line="220" w:lineRule="exact"/>
      </w:pPr>
      <w:r w:rsidRPr="000D624D">
        <w:tab/>
      </w:r>
      <w:r w:rsidRPr="000D624D">
        <w:rPr>
          <w:lang w:val="fr-FR"/>
        </w:rPr>
        <w:t>GZ</w:t>
      </w:r>
      <w:r w:rsidRPr="000D624D">
        <w:t xml:space="preserve"> </w:t>
      </w:r>
      <w:r w:rsidR="00634B60" w:rsidRPr="002D7C6A">
        <w:t>≥</w:t>
      </w:r>
      <w:r w:rsidRPr="000D624D">
        <w:t xml:space="preserve"> 0,03 м</w:t>
      </w:r>
    </w:p>
    <w:p w:rsidR="000D624D" w:rsidRPr="000D624D" w:rsidRDefault="000D624D" w:rsidP="00845316">
      <w:pPr>
        <w:pStyle w:val="SingleTxt"/>
        <w:spacing w:line="220" w:lineRule="exact"/>
      </w:pPr>
      <w:r w:rsidRPr="000D624D">
        <w:tab/>
        <w:t xml:space="preserve">Диапазон положительных значений </w:t>
      </w:r>
      <w:r w:rsidRPr="000D624D">
        <w:rPr>
          <w:lang w:val="fr-FR"/>
        </w:rPr>
        <w:t>GZ</w:t>
      </w:r>
      <w:r w:rsidRPr="000D624D">
        <w:t>: 5°».</w:t>
      </w:r>
    </w:p>
    <w:p w:rsidR="000D624D" w:rsidRPr="000D624D" w:rsidRDefault="000D624D" w:rsidP="00845316">
      <w:pPr>
        <w:pStyle w:val="SingleTxt"/>
        <w:spacing w:line="220" w:lineRule="exact"/>
        <w:rPr>
          <w:i/>
          <w:iCs/>
        </w:rPr>
      </w:pPr>
      <w:proofErr w:type="gramStart"/>
      <w:r w:rsidRPr="000D624D">
        <w:rPr>
          <w:i/>
          <w:iCs/>
        </w:rPr>
        <w:t>(Справочный документ:</w:t>
      </w:r>
      <w:proofErr w:type="gramEnd"/>
      <w:r w:rsidRPr="000D624D">
        <w:rPr>
          <w:i/>
          <w:iCs/>
        </w:rPr>
        <w:t xml:space="preserve"> </w:t>
      </w:r>
      <w:r w:rsidRPr="000D624D">
        <w:rPr>
          <w:i/>
          <w:iCs/>
          <w:lang w:val="fr-FR"/>
        </w:rPr>
        <w:t>ECE</w:t>
      </w:r>
      <w:r w:rsidRPr="000D624D">
        <w:rPr>
          <w:i/>
          <w:iCs/>
        </w:rPr>
        <w:t>/</w:t>
      </w:r>
      <w:r w:rsidRPr="000D624D">
        <w:rPr>
          <w:i/>
          <w:iCs/>
          <w:lang w:val="fr-FR"/>
        </w:rPr>
        <w:t>TRANS</w:t>
      </w:r>
      <w:r w:rsidRPr="000D624D">
        <w:rPr>
          <w:i/>
          <w:iCs/>
        </w:rPr>
        <w:t>/</w:t>
      </w:r>
      <w:r w:rsidRPr="000D624D">
        <w:rPr>
          <w:i/>
          <w:iCs/>
          <w:lang w:val="fr-FR"/>
        </w:rPr>
        <w:t>WP</w:t>
      </w:r>
      <w:r w:rsidRPr="000D624D">
        <w:rPr>
          <w:i/>
          <w:iCs/>
        </w:rPr>
        <w:t>.15/</w:t>
      </w:r>
      <w:r w:rsidRPr="000D624D">
        <w:rPr>
          <w:i/>
          <w:iCs/>
          <w:lang w:val="fr-FR"/>
        </w:rPr>
        <w:t>AC</w:t>
      </w:r>
      <w:r w:rsidRPr="000D624D">
        <w:rPr>
          <w:i/>
          <w:iCs/>
        </w:rPr>
        <w:t>.2/2015/24)</w:t>
      </w:r>
    </w:p>
    <w:p w:rsidR="000D624D" w:rsidRPr="00845316" w:rsidRDefault="00845316" w:rsidP="008453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D624D" w:rsidRPr="000D624D">
        <w:lastRenderedPageBreak/>
        <w:t xml:space="preserve">Приложение </w:t>
      </w:r>
      <w:r w:rsidR="000D624D" w:rsidRPr="000D624D">
        <w:rPr>
          <w:lang w:val="fr-FR"/>
        </w:rPr>
        <w:t>II</w:t>
      </w:r>
    </w:p>
    <w:p w:rsidR="000D624D" w:rsidRPr="00845316" w:rsidRDefault="000D624D" w:rsidP="00845316">
      <w:pPr>
        <w:pStyle w:val="SingleTxt"/>
        <w:spacing w:after="0" w:line="120" w:lineRule="exact"/>
        <w:rPr>
          <w:b/>
          <w:bCs/>
          <w:sz w:val="10"/>
        </w:rPr>
      </w:pPr>
    </w:p>
    <w:p w:rsidR="00845316" w:rsidRPr="00845316" w:rsidRDefault="00845316" w:rsidP="00845316">
      <w:pPr>
        <w:pStyle w:val="SingleTxt"/>
        <w:spacing w:after="0" w:line="120" w:lineRule="exact"/>
        <w:rPr>
          <w:b/>
          <w:bCs/>
          <w:sz w:val="10"/>
        </w:rPr>
      </w:pPr>
    </w:p>
    <w:p w:rsidR="000D624D" w:rsidRPr="000D624D" w:rsidRDefault="000D624D" w:rsidP="008453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D624D">
        <w:tab/>
      </w:r>
      <w:r w:rsidRPr="000D624D">
        <w:tab/>
        <w:t>Исправления к Правилам, прилагаемым к ВОПОГ, – только вер</w:t>
      </w:r>
      <w:r w:rsidR="00845316">
        <w:t xml:space="preserve">сия на немецком </w:t>
      </w:r>
      <w:r w:rsidRPr="000D624D">
        <w:t>языке</w:t>
      </w:r>
    </w:p>
    <w:p w:rsidR="000D624D" w:rsidRPr="00845316" w:rsidRDefault="000D624D" w:rsidP="00845316">
      <w:pPr>
        <w:pStyle w:val="SingleTxt"/>
        <w:spacing w:after="0" w:line="120" w:lineRule="exact"/>
        <w:rPr>
          <w:sz w:val="10"/>
        </w:rPr>
      </w:pPr>
    </w:p>
    <w:p w:rsidR="00845316" w:rsidRPr="00845316" w:rsidRDefault="00845316" w:rsidP="00845316">
      <w:pPr>
        <w:pStyle w:val="SingleTxt"/>
        <w:spacing w:after="0" w:line="120" w:lineRule="exact"/>
        <w:rPr>
          <w:sz w:val="10"/>
        </w:rPr>
      </w:pPr>
    </w:p>
    <w:p w:rsidR="000D624D" w:rsidRPr="000D624D" w:rsidRDefault="000D624D" w:rsidP="00845316">
      <w:pPr>
        <w:pStyle w:val="SingleTxt"/>
        <w:tabs>
          <w:tab w:val="clear" w:pos="8453"/>
          <w:tab w:val="left" w:pos="8298"/>
        </w:tabs>
      </w:pPr>
      <w:r w:rsidRPr="000D624D">
        <w:t>Пункт 9.3.2.22.4 a), третий подпункт, и пункт</w:t>
      </w:r>
      <w:r w:rsidR="00845316">
        <w:t xml:space="preserve"> 9.3.3.22.4 b), третий подпункт</w:t>
      </w:r>
      <w:proofErr w:type="gramStart"/>
      <w:r w:rsidR="00845316">
        <w:tab/>
      </w:r>
      <w:r w:rsidR="00845316">
        <w:br/>
      </w:r>
      <w:r w:rsidRPr="00634B60">
        <w:rPr>
          <w:i/>
          <w:iCs/>
        </w:rPr>
        <w:t>В</w:t>
      </w:r>
      <w:proofErr w:type="gramEnd"/>
      <w:r w:rsidRPr="00634B60">
        <w:rPr>
          <w:i/>
          <w:iCs/>
        </w:rPr>
        <w:t>место</w:t>
      </w:r>
      <w:r w:rsidRPr="000D624D">
        <w:t xml:space="preserve"> «</w:t>
      </w:r>
      <w:proofErr w:type="spellStart"/>
      <w:r w:rsidRPr="000D624D">
        <w:t>Flammensperre</w:t>
      </w:r>
      <w:proofErr w:type="spellEnd"/>
      <w:r w:rsidRPr="000D624D">
        <w:t xml:space="preserve">» </w:t>
      </w:r>
      <w:r w:rsidRPr="00634B60">
        <w:rPr>
          <w:i/>
          <w:iCs/>
        </w:rPr>
        <w:t>читать</w:t>
      </w:r>
      <w:r w:rsidRPr="000D624D">
        <w:t xml:space="preserve"> «</w:t>
      </w:r>
      <w:proofErr w:type="spellStart"/>
      <w:r w:rsidRPr="000D624D">
        <w:t>Flammendurchschlagsicherung</w:t>
      </w:r>
      <w:proofErr w:type="spellEnd"/>
      <w:r w:rsidRPr="000D624D">
        <w:t>».</w:t>
      </w:r>
    </w:p>
    <w:p w:rsidR="000D624D" w:rsidRPr="000D624D" w:rsidRDefault="000D624D" w:rsidP="000D624D">
      <w:pPr>
        <w:pStyle w:val="SingleTxt"/>
        <w:rPr>
          <w:i/>
          <w:iCs/>
        </w:rPr>
      </w:pPr>
      <w:proofErr w:type="gramStart"/>
      <w:r w:rsidRPr="000D624D">
        <w:rPr>
          <w:i/>
          <w:iCs/>
        </w:rPr>
        <w:t>(Справочный документ:</w:t>
      </w:r>
      <w:proofErr w:type="gramEnd"/>
      <w:r w:rsidRPr="000D624D">
        <w:rPr>
          <w:i/>
          <w:iCs/>
        </w:rPr>
        <w:t xml:space="preserve"> </w:t>
      </w:r>
      <w:proofErr w:type="gramStart"/>
      <w:r w:rsidRPr="000D624D">
        <w:rPr>
          <w:i/>
          <w:iCs/>
        </w:rPr>
        <w:t>ECE/TRANS/WP.15/AC.2/2015/15)</w:t>
      </w:r>
      <w:proofErr w:type="gramEnd"/>
    </w:p>
    <w:p w:rsidR="000D624D" w:rsidRPr="000D624D" w:rsidRDefault="00845316" w:rsidP="00845316">
      <w:pPr>
        <w:pStyle w:val="SingleTxt"/>
        <w:tabs>
          <w:tab w:val="clear" w:pos="1742"/>
          <w:tab w:val="left" w:pos="1881"/>
        </w:tabs>
      </w:pPr>
      <w:r>
        <w:t>1.2.1</w:t>
      </w:r>
      <w:proofErr w:type="gramStart"/>
      <w:r>
        <w:tab/>
      </w:r>
      <w:r w:rsidR="000D624D" w:rsidRPr="000D624D">
        <w:t>И</w:t>
      </w:r>
      <w:proofErr w:type="gramEnd"/>
      <w:r w:rsidR="000D624D" w:rsidRPr="000D624D">
        <w:t>зменить определение сжиженного природного газа (СПГ) следующим образом:</w:t>
      </w:r>
    </w:p>
    <w:p w:rsidR="000D624D" w:rsidRPr="000D624D" w:rsidRDefault="00845316" w:rsidP="000D624D">
      <w:pPr>
        <w:pStyle w:val="SingleTxt"/>
      </w:pPr>
      <w:r>
        <w:t>«</w:t>
      </w:r>
      <w:proofErr w:type="spellStart"/>
      <w:r>
        <w:t>Flüssigerdgas</w:t>
      </w:r>
      <w:proofErr w:type="spellEnd"/>
      <w:r>
        <w:t xml:space="preserve"> (LNG)</w:t>
      </w:r>
      <w:r w:rsidR="000D624D" w:rsidRPr="000D624D">
        <w:t xml:space="preserve">**: </w:t>
      </w:r>
      <w:proofErr w:type="spellStart"/>
      <w:r w:rsidR="000D624D" w:rsidRPr="000D624D">
        <w:t>Erdgas</w:t>
      </w:r>
      <w:proofErr w:type="spellEnd"/>
      <w:r w:rsidR="000D624D" w:rsidRPr="000D624D">
        <w:t xml:space="preserve"> (</w:t>
      </w:r>
      <w:proofErr w:type="spellStart"/>
      <w:r w:rsidR="000D624D" w:rsidRPr="000D624D">
        <w:t>überwiegend</w:t>
      </w:r>
      <w:proofErr w:type="spellEnd"/>
      <w:r w:rsidR="000D624D" w:rsidRPr="000D624D">
        <w:t xml:space="preserve"> </w:t>
      </w:r>
      <w:proofErr w:type="spellStart"/>
      <w:r w:rsidR="000D624D" w:rsidRPr="000D624D">
        <w:t>Methan</w:t>
      </w:r>
      <w:proofErr w:type="spellEnd"/>
      <w:r w:rsidR="000D624D" w:rsidRPr="000D624D">
        <w:t xml:space="preserve">, CH4), </w:t>
      </w:r>
      <w:proofErr w:type="spellStart"/>
      <w:r w:rsidR="000D624D" w:rsidRPr="000D624D">
        <w:t>das</w:t>
      </w:r>
      <w:proofErr w:type="spellEnd"/>
      <w:r w:rsidR="000D624D" w:rsidRPr="000D624D">
        <w:t xml:space="preserve"> </w:t>
      </w:r>
      <w:proofErr w:type="spellStart"/>
      <w:r w:rsidR="000D624D" w:rsidRPr="000D624D">
        <w:t>unter</w:t>
      </w:r>
      <w:proofErr w:type="spellEnd"/>
      <w:r w:rsidR="000D624D" w:rsidRPr="000D624D">
        <w:t xml:space="preserve"> </w:t>
      </w:r>
      <w:proofErr w:type="spellStart"/>
      <w:r w:rsidR="000D624D" w:rsidRPr="000D624D">
        <w:t>Abkühlung</w:t>
      </w:r>
      <w:proofErr w:type="spellEnd"/>
      <w:r w:rsidR="000D624D" w:rsidRPr="000D624D">
        <w:t xml:space="preserve"> </w:t>
      </w:r>
      <w:proofErr w:type="spellStart"/>
      <w:r w:rsidR="000D624D" w:rsidRPr="000D624D">
        <w:t>verflüssigt</w:t>
      </w:r>
      <w:proofErr w:type="spellEnd"/>
      <w:r w:rsidR="000D624D" w:rsidRPr="000D624D">
        <w:t xml:space="preserve"> </w:t>
      </w:r>
      <w:proofErr w:type="spellStart"/>
      <w:r w:rsidR="000D624D" w:rsidRPr="000D624D">
        <w:t>wurde</w:t>
      </w:r>
      <w:proofErr w:type="spellEnd"/>
      <w:r w:rsidR="000D624D" w:rsidRPr="000D624D">
        <w:t>.</w:t>
      </w:r>
    </w:p>
    <w:p w:rsidR="000D624D" w:rsidRPr="000D624D" w:rsidRDefault="00845316" w:rsidP="000D624D">
      <w:pPr>
        <w:pStyle w:val="SingleTxt"/>
        <w:rPr>
          <w:lang w:val="en-US"/>
        </w:rPr>
      </w:pPr>
      <w:r>
        <w:rPr>
          <w:lang w:val="en-US"/>
        </w:rPr>
        <w:t xml:space="preserve">** Die </w:t>
      </w:r>
      <w:proofErr w:type="spellStart"/>
      <w:r>
        <w:rPr>
          <w:lang w:val="en-US"/>
        </w:rPr>
        <w:t>Buchstaben</w:t>
      </w:r>
      <w:proofErr w:type="spellEnd"/>
      <w:r>
        <w:rPr>
          <w:lang w:val="en-US"/>
        </w:rPr>
        <w:t xml:space="preserve"> </w:t>
      </w:r>
      <w:r w:rsidR="00A011DF" w:rsidRPr="00A011DF">
        <w:rPr>
          <w:lang w:val="en-US"/>
        </w:rPr>
        <w:t>"</w:t>
      </w:r>
      <w:r>
        <w:rPr>
          <w:lang w:val="en-US"/>
        </w:rPr>
        <w:t>LNG</w:t>
      </w:r>
      <w:r w:rsidR="00A011DF" w:rsidRPr="00A011DF">
        <w:rPr>
          <w:lang w:val="en-US"/>
        </w:rPr>
        <w:t>"</w:t>
      </w:r>
      <w:r w:rsidR="000D624D" w:rsidRPr="000D624D">
        <w:rPr>
          <w:lang w:val="en-US"/>
        </w:rPr>
        <w:t xml:space="preserve"> </w:t>
      </w:r>
      <w:proofErr w:type="spellStart"/>
      <w:r w:rsidR="000D624D" w:rsidRPr="000D624D">
        <w:rPr>
          <w:lang w:val="en-US"/>
        </w:rPr>
        <w:t>sind</w:t>
      </w:r>
      <w:proofErr w:type="spellEnd"/>
      <w:r w:rsidR="000D624D" w:rsidRPr="000D624D">
        <w:rPr>
          <w:lang w:val="en-US"/>
        </w:rPr>
        <w:t xml:space="preserve"> die </w:t>
      </w:r>
      <w:proofErr w:type="spellStart"/>
      <w:r w:rsidR="000D624D" w:rsidRPr="000D624D">
        <w:rPr>
          <w:lang w:val="en-US"/>
        </w:rPr>
        <w:t>Abkü</w:t>
      </w:r>
      <w:r>
        <w:rPr>
          <w:lang w:val="en-US"/>
        </w:rPr>
        <w:t>rzung</w:t>
      </w:r>
      <w:proofErr w:type="spellEnd"/>
      <w:r>
        <w:rPr>
          <w:lang w:val="en-US"/>
        </w:rPr>
        <w:t xml:space="preserve"> des </w:t>
      </w:r>
      <w:proofErr w:type="spellStart"/>
      <w:r>
        <w:rPr>
          <w:lang w:val="en-US"/>
        </w:rPr>
        <w:t>englischen</w:t>
      </w:r>
      <w:proofErr w:type="spellEnd"/>
      <w:r>
        <w:rPr>
          <w:lang w:val="en-US"/>
        </w:rPr>
        <w:t xml:space="preserve"> </w:t>
      </w:r>
      <w:proofErr w:type="spellStart"/>
      <w:r>
        <w:rPr>
          <w:lang w:val="en-US"/>
        </w:rPr>
        <w:t>Ausdrucks</w:t>
      </w:r>
      <w:proofErr w:type="spellEnd"/>
      <w:r>
        <w:rPr>
          <w:lang w:val="en-US"/>
        </w:rPr>
        <w:t xml:space="preserve"> </w:t>
      </w:r>
      <w:r w:rsidR="00A011DF" w:rsidRPr="00A011DF">
        <w:rPr>
          <w:lang w:val="en-US"/>
        </w:rPr>
        <w:t>"</w:t>
      </w:r>
      <w:proofErr w:type="spellStart"/>
      <w:r>
        <w:rPr>
          <w:lang w:val="en-US"/>
        </w:rPr>
        <w:t>Liquified</w:t>
      </w:r>
      <w:proofErr w:type="spellEnd"/>
      <w:r>
        <w:rPr>
          <w:lang w:val="en-US"/>
        </w:rPr>
        <w:t xml:space="preserve"> Natural Gas</w:t>
      </w:r>
      <w:r w:rsidR="00A011DF" w:rsidRPr="00A011DF">
        <w:rPr>
          <w:lang w:val="en-US"/>
        </w:rPr>
        <w:t>"</w:t>
      </w:r>
      <w:r w:rsidR="000D624D" w:rsidRPr="000D624D">
        <w:rPr>
          <w:lang w:val="en-US"/>
        </w:rPr>
        <w:t>».</w:t>
      </w:r>
    </w:p>
    <w:p w:rsidR="000D624D" w:rsidRDefault="000D624D" w:rsidP="000D624D">
      <w:pPr>
        <w:pStyle w:val="SingleTxt"/>
        <w:rPr>
          <w:i/>
          <w:iCs/>
        </w:rPr>
      </w:pPr>
      <w:proofErr w:type="gramStart"/>
      <w:r w:rsidRPr="000D624D">
        <w:rPr>
          <w:i/>
          <w:iCs/>
        </w:rPr>
        <w:t>(Справочный документ:</w:t>
      </w:r>
      <w:proofErr w:type="gramEnd"/>
      <w:r w:rsidRPr="000D624D">
        <w:rPr>
          <w:i/>
          <w:iCs/>
        </w:rPr>
        <w:t xml:space="preserve"> </w:t>
      </w:r>
      <w:proofErr w:type="gramStart"/>
      <w:r w:rsidRPr="000D624D">
        <w:rPr>
          <w:i/>
          <w:iCs/>
        </w:rPr>
        <w:t>ECE/TRANS/WP.15/AC.2/2015/17)</w:t>
      </w:r>
      <w:proofErr w:type="gramEnd"/>
    </w:p>
    <w:p w:rsidR="00DC0C54" w:rsidRPr="00DC0C54" w:rsidRDefault="00DC0C54" w:rsidP="00DC0C54">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DC0C54" w:rsidRPr="00DC0C54" w:rsidSect="00ED479C">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79" w:rsidRDefault="00191979" w:rsidP="008A1A7A">
      <w:pPr>
        <w:spacing w:line="240" w:lineRule="auto"/>
      </w:pPr>
      <w:r>
        <w:separator/>
      </w:r>
    </w:p>
  </w:endnote>
  <w:endnote w:type="continuationSeparator" w:id="0">
    <w:p w:rsidR="00191979" w:rsidRDefault="00191979"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191979" w:rsidTr="00ED479C">
      <w:trPr>
        <w:jc w:val="center"/>
      </w:trPr>
      <w:tc>
        <w:tcPr>
          <w:tcW w:w="5126" w:type="dxa"/>
          <w:shd w:val="clear" w:color="auto" w:fill="auto"/>
          <w:vAlign w:val="bottom"/>
        </w:tcPr>
        <w:p w:rsidR="00191979" w:rsidRPr="00ED479C" w:rsidRDefault="00191979" w:rsidP="00ED479C">
          <w:pPr>
            <w:pStyle w:val="Footer"/>
            <w:rPr>
              <w:color w:val="000000"/>
            </w:rPr>
          </w:pPr>
          <w:r>
            <w:fldChar w:fldCharType="begin"/>
          </w:r>
          <w:r>
            <w:instrText xml:space="preserve"> PAGE  \* Arabic  \* MERGEFORMAT </w:instrText>
          </w:r>
          <w:r>
            <w:fldChar w:fldCharType="separate"/>
          </w:r>
          <w:r w:rsidR="00FA0FBF">
            <w:rPr>
              <w:noProof/>
            </w:rPr>
            <w:t>20</w:t>
          </w:r>
          <w:r>
            <w:fldChar w:fldCharType="end"/>
          </w:r>
          <w:r>
            <w:t>/</w:t>
          </w:r>
          <w:r w:rsidR="00FA0FBF">
            <w:fldChar w:fldCharType="begin"/>
          </w:r>
          <w:r w:rsidR="00FA0FBF">
            <w:instrText xml:space="preserve"> NUMPAGES  \* Arabic  \* MERGEFORMAT </w:instrText>
          </w:r>
          <w:r w:rsidR="00FA0FBF">
            <w:fldChar w:fldCharType="separate"/>
          </w:r>
          <w:r w:rsidR="00FA0FBF">
            <w:rPr>
              <w:noProof/>
            </w:rPr>
            <w:t>20</w:t>
          </w:r>
          <w:r w:rsidR="00FA0FBF">
            <w:rPr>
              <w:noProof/>
            </w:rPr>
            <w:fldChar w:fldCharType="end"/>
          </w:r>
        </w:p>
      </w:tc>
      <w:tc>
        <w:tcPr>
          <w:tcW w:w="5127" w:type="dxa"/>
          <w:shd w:val="clear" w:color="auto" w:fill="auto"/>
          <w:vAlign w:val="bottom"/>
        </w:tcPr>
        <w:p w:rsidR="00191979" w:rsidRPr="00ED479C" w:rsidRDefault="00191979" w:rsidP="00ED479C">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E5513">
            <w:rPr>
              <w:b w:val="0"/>
              <w:color w:val="000000"/>
              <w:sz w:val="14"/>
            </w:rPr>
            <w:t>GE.15-17913</w:t>
          </w:r>
          <w:r>
            <w:rPr>
              <w:b w:val="0"/>
              <w:color w:val="000000"/>
              <w:sz w:val="14"/>
            </w:rPr>
            <w:fldChar w:fldCharType="end"/>
          </w:r>
        </w:p>
      </w:tc>
    </w:tr>
  </w:tbl>
  <w:p w:rsidR="00191979" w:rsidRPr="00ED479C" w:rsidRDefault="00191979" w:rsidP="00ED4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191979" w:rsidTr="00ED479C">
      <w:trPr>
        <w:jc w:val="center"/>
      </w:trPr>
      <w:tc>
        <w:tcPr>
          <w:tcW w:w="5126" w:type="dxa"/>
          <w:shd w:val="clear" w:color="auto" w:fill="auto"/>
          <w:vAlign w:val="bottom"/>
        </w:tcPr>
        <w:p w:rsidR="00191979" w:rsidRPr="00ED479C" w:rsidRDefault="00191979" w:rsidP="00ED479C">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E5513">
            <w:rPr>
              <w:b w:val="0"/>
              <w:color w:val="000000"/>
              <w:sz w:val="14"/>
            </w:rPr>
            <w:t>GE.15-17913</w:t>
          </w:r>
          <w:r>
            <w:rPr>
              <w:b w:val="0"/>
              <w:color w:val="000000"/>
              <w:sz w:val="14"/>
            </w:rPr>
            <w:fldChar w:fldCharType="end"/>
          </w:r>
        </w:p>
      </w:tc>
      <w:tc>
        <w:tcPr>
          <w:tcW w:w="5127" w:type="dxa"/>
          <w:shd w:val="clear" w:color="auto" w:fill="auto"/>
          <w:vAlign w:val="bottom"/>
        </w:tcPr>
        <w:p w:rsidR="00191979" w:rsidRPr="00ED479C" w:rsidRDefault="00191979" w:rsidP="00ED479C">
          <w:pPr>
            <w:pStyle w:val="Footer"/>
            <w:jc w:val="right"/>
          </w:pPr>
          <w:r>
            <w:fldChar w:fldCharType="begin"/>
          </w:r>
          <w:r>
            <w:instrText xml:space="preserve"> PAGE  \* Arabic  \* MERGEFORMAT </w:instrText>
          </w:r>
          <w:r>
            <w:fldChar w:fldCharType="separate"/>
          </w:r>
          <w:r w:rsidR="00FA0FBF">
            <w:rPr>
              <w:noProof/>
            </w:rPr>
            <w:t>21</w:t>
          </w:r>
          <w:r>
            <w:fldChar w:fldCharType="end"/>
          </w:r>
          <w:r>
            <w:t>/</w:t>
          </w:r>
          <w:r w:rsidR="00FA0FBF">
            <w:fldChar w:fldCharType="begin"/>
          </w:r>
          <w:r w:rsidR="00FA0FBF">
            <w:instrText xml:space="preserve"> NUMPAGES  \* Arabic  \* MERGEFORMAT </w:instrText>
          </w:r>
          <w:r w:rsidR="00FA0FBF">
            <w:fldChar w:fldCharType="separate"/>
          </w:r>
          <w:r w:rsidR="00FA0FBF">
            <w:rPr>
              <w:noProof/>
            </w:rPr>
            <w:t>21</w:t>
          </w:r>
          <w:r w:rsidR="00FA0FBF">
            <w:rPr>
              <w:noProof/>
            </w:rPr>
            <w:fldChar w:fldCharType="end"/>
          </w:r>
        </w:p>
      </w:tc>
    </w:tr>
  </w:tbl>
  <w:p w:rsidR="00191979" w:rsidRPr="00ED479C" w:rsidRDefault="00191979" w:rsidP="00ED47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191979" w:rsidTr="00ED479C">
      <w:tc>
        <w:tcPr>
          <w:tcW w:w="3873" w:type="dxa"/>
        </w:tcPr>
        <w:p w:rsidR="00191979" w:rsidRDefault="00191979" w:rsidP="00ED479C">
          <w:pPr>
            <w:pStyle w:val="ReleaseDate"/>
            <w:rPr>
              <w:color w:val="010000"/>
            </w:rPr>
          </w:pPr>
          <w:r>
            <w:rPr>
              <w:noProof/>
              <w:lang w:val="en-GB" w:eastAsia="en-GB"/>
            </w:rPr>
            <w:drawing>
              <wp:anchor distT="0" distB="0" distL="114300" distR="114300" simplePos="0" relativeHeight="251658240" behindDoc="0" locked="0" layoutInCell="1" allowOverlap="1" wp14:anchorId="1D3F98D1" wp14:editId="2BD6589A">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15/AC.2/5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5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GE.15-17913 (R)</w:t>
          </w:r>
          <w:r>
            <w:rPr>
              <w:color w:val="010000"/>
            </w:rPr>
            <w:t xml:space="preserve">    </w:t>
          </w:r>
          <w:r>
            <w:rPr>
              <w:color w:val="010000"/>
              <w:lang w:val="en-US"/>
            </w:rPr>
            <w:t>18</w:t>
          </w:r>
          <w:r w:rsidR="00A011DF">
            <w:rPr>
              <w:color w:val="010000"/>
            </w:rPr>
            <w:t>1115    23</w:t>
          </w:r>
          <w:r>
            <w:rPr>
              <w:color w:val="010000"/>
            </w:rPr>
            <w:t>1115</w:t>
          </w:r>
        </w:p>
        <w:p w:rsidR="00191979" w:rsidRPr="00ED479C" w:rsidRDefault="00191979" w:rsidP="00ED479C">
          <w:pPr>
            <w:spacing w:before="80" w:line="210" w:lineRule="exact"/>
            <w:rPr>
              <w:rFonts w:ascii="Barcode 3 of 9 by request" w:hAnsi="Barcode 3 of 9 by request"/>
              <w:w w:val="100"/>
              <w:sz w:val="24"/>
            </w:rPr>
          </w:pPr>
          <w:r>
            <w:rPr>
              <w:rFonts w:ascii="Barcode 3 of 9 by request" w:hAnsi="Barcode 3 of 9 by request"/>
              <w:w w:val="100"/>
              <w:sz w:val="24"/>
            </w:rPr>
            <w:t>*1517913*</w:t>
          </w:r>
        </w:p>
      </w:tc>
      <w:tc>
        <w:tcPr>
          <w:tcW w:w="5127" w:type="dxa"/>
        </w:tcPr>
        <w:p w:rsidR="00191979" w:rsidRDefault="00191979" w:rsidP="00ED479C">
          <w:pPr>
            <w:pStyle w:val="Footer"/>
            <w:spacing w:line="240" w:lineRule="atLeast"/>
            <w:jc w:val="right"/>
            <w:rPr>
              <w:b w:val="0"/>
              <w:sz w:val="20"/>
            </w:rPr>
          </w:pPr>
          <w:r>
            <w:rPr>
              <w:b w:val="0"/>
              <w:noProof/>
              <w:sz w:val="20"/>
              <w:lang w:val="en-GB" w:eastAsia="en-GB"/>
            </w:rPr>
            <w:drawing>
              <wp:inline distT="0" distB="0" distL="0" distR="0" wp14:anchorId="5911DB25" wp14:editId="1D10F40F">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191979" w:rsidRPr="00ED479C" w:rsidRDefault="00191979" w:rsidP="00ED479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79" w:rsidRPr="000D624D" w:rsidRDefault="00191979" w:rsidP="000D624D">
      <w:pPr>
        <w:pStyle w:val="Footer"/>
        <w:spacing w:after="80"/>
        <w:ind w:left="792"/>
        <w:rPr>
          <w:sz w:val="16"/>
        </w:rPr>
      </w:pPr>
      <w:r w:rsidRPr="000D624D">
        <w:rPr>
          <w:sz w:val="16"/>
        </w:rPr>
        <w:t>__________________</w:t>
      </w:r>
    </w:p>
  </w:footnote>
  <w:footnote w:type="continuationSeparator" w:id="0">
    <w:p w:rsidR="00191979" w:rsidRPr="000D624D" w:rsidRDefault="00191979" w:rsidP="000D624D">
      <w:pPr>
        <w:pStyle w:val="Footer"/>
        <w:spacing w:after="80"/>
        <w:ind w:left="792"/>
        <w:rPr>
          <w:sz w:val="16"/>
        </w:rPr>
      </w:pPr>
      <w:r w:rsidRPr="000D624D">
        <w:rPr>
          <w:sz w:val="16"/>
        </w:rPr>
        <w:t>__________________</w:t>
      </w:r>
    </w:p>
  </w:footnote>
  <w:footnote w:id="1">
    <w:p w:rsidR="00191979" w:rsidRPr="000D624D" w:rsidRDefault="00191979" w:rsidP="000D624D">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rsidRPr="000D624D">
        <w:tab/>
      </w:r>
      <w:proofErr w:type="gramStart"/>
      <w:r w:rsidRPr="000D624D">
        <w:t>Распространен</w:t>
      </w:r>
      <w:proofErr w:type="gramEnd"/>
      <w:r w:rsidRPr="000D624D">
        <w:t xml:space="preserve"> на немецком языке Центральной комиссией судоходства по Рейну под условным обозначением </w:t>
      </w:r>
      <w:r w:rsidRPr="000D624D">
        <w:rPr>
          <w:lang w:val="en-US"/>
        </w:rPr>
        <w:t>CCNR</w:t>
      </w:r>
      <w:r w:rsidRPr="000D624D">
        <w:t>/</w:t>
      </w:r>
      <w:r w:rsidRPr="000D624D">
        <w:rPr>
          <w:lang w:val="en-US"/>
        </w:rPr>
        <w:t>ZKR</w:t>
      </w:r>
      <w:r w:rsidRPr="000D624D">
        <w:t>/</w:t>
      </w:r>
      <w:r w:rsidRPr="000D624D">
        <w:rPr>
          <w:lang w:val="en-US"/>
        </w:rPr>
        <w:t>ADN</w:t>
      </w:r>
      <w:r w:rsidRPr="000D624D">
        <w:t>/</w:t>
      </w:r>
      <w:r w:rsidRPr="000D624D">
        <w:rPr>
          <w:lang w:val="en-US"/>
        </w:rPr>
        <w:t>WP</w:t>
      </w:r>
      <w:r w:rsidRPr="000D624D">
        <w:t>.15/</w:t>
      </w:r>
      <w:r w:rsidRPr="000D624D">
        <w:rPr>
          <w:lang w:val="en-US"/>
        </w:rPr>
        <w:t>AC</w:t>
      </w:r>
      <w:r w:rsidRPr="000D624D">
        <w:t>.2/56.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91979" w:rsidTr="00ED479C">
      <w:trPr>
        <w:trHeight w:hRule="exact" w:val="864"/>
        <w:jc w:val="center"/>
      </w:trPr>
      <w:tc>
        <w:tcPr>
          <w:tcW w:w="4882" w:type="dxa"/>
          <w:shd w:val="clear" w:color="auto" w:fill="auto"/>
          <w:vAlign w:val="bottom"/>
        </w:tcPr>
        <w:p w:rsidR="00191979" w:rsidRPr="00ED479C" w:rsidRDefault="00191979" w:rsidP="00ED479C">
          <w:pPr>
            <w:pStyle w:val="Header"/>
            <w:spacing w:after="80"/>
            <w:rPr>
              <w:b/>
            </w:rPr>
          </w:pPr>
          <w:r>
            <w:rPr>
              <w:b/>
            </w:rPr>
            <w:fldChar w:fldCharType="begin"/>
          </w:r>
          <w:r>
            <w:rPr>
              <w:b/>
            </w:rPr>
            <w:instrText xml:space="preserve"> DOCVARIABLE "sss1" \* MERGEFORMAT </w:instrText>
          </w:r>
          <w:r>
            <w:rPr>
              <w:b/>
            </w:rPr>
            <w:fldChar w:fldCharType="separate"/>
          </w:r>
          <w:r w:rsidR="007E5513">
            <w:rPr>
              <w:b/>
            </w:rPr>
            <w:t>ECE/TRANS/WP.15/AC.2/56</w:t>
          </w:r>
          <w:r>
            <w:rPr>
              <w:b/>
            </w:rPr>
            <w:fldChar w:fldCharType="end"/>
          </w:r>
        </w:p>
      </w:tc>
      <w:tc>
        <w:tcPr>
          <w:tcW w:w="5127" w:type="dxa"/>
          <w:shd w:val="clear" w:color="auto" w:fill="auto"/>
          <w:vAlign w:val="bottom"/>
        </w:tcPr>
        <w:p w:rsidR="00191979" w:rsidRDefault="00191979" w:rsidP="00ED479C">
          <w:pPr>
            <w:pStyle w:val="Header"/>
          </w:pPr>
        </w:p>
      </w:tc>
    </w:tr>
  </w:tbl>
  <w:p w:rsidR="00191979" w:rsidRPr="00ED479C" w:rsidRDefault="00191979" w:rsidP="00ED4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91979" w:rsidTr="00ED479C">
      <w:trPr>
        <w:trHeight w:hRule="exact" w:val="864"/>
        <w:jc w:val="center"/>
      </w:trPr>
      <w:tc>
        <w:tcPr>
          <w:tcW w:w="4882" w:type="dxa"/>
          <w:shd w:val="clear" w:color="auto" w:fill="auto"/>
          <w:vAlign w:val="bottom"/>
        </w:tcPr>
        <w:p w:rsidR="00191979" w:rsidRDefault="00191979" w:rsidP="00ED479C">
          <w:pPr>
            <w:pStyle w:val="Header"/>
          </w:pPr>
        </w:p>
      </w:tc>
      <w:tc>
        <w:tcPr>
          <w:tcW w:w="5127" w:type="dxa"/>
          <w:shd w:val="clear" w:color="auto" w:fill="auto"/>
          <w:vAlign w:val="bottom"/>
        </w:tcPr>
        <w:p w:rsidR="00191979" w:rsidRPr="00ED479C" w:rsidRDefault="00191979" w:rsidP="00ED479C">
          <w:pPr>
            <w:pStyle w:val="Header"/>
            <w:spacing w:after="80"/>
            <w:jc w:val="right"/>
            <w:rPr>
              <w:b/>
            </w:rPr>
          </w:pPr>
          <w:r>
            <w:rPr>
              <w:b/>
            </w:rPr>
            <w:fldChar w:fldCharType="begin"/>
          </w:r>
          <w:r>
            <w:rPr>
              <w:b/>
            </w:rPr>
            <w:instrText xml:space="preserve"> DOCVARIABLE "sss1" \* MERGEFORMAT </w:instrText>
          </w:r>
          <w:r>
            <w:rPr>
              <w:b/>
            </w:rPr>
            <w:fldChar w:fldCharType="separate"/>
          </w:r>
          <w:r w:rsidR="007E5513">
            <w:rPr>
              <w:b/>
            </w:rPr>
            <w:t>ECE/TRANS/WP.15/AC.2/56</w:t>
          </w:r>
          <w:r>
            <w:rPr>
              <w:b/>
            </w:rPr>
            <w:fldChar w:fldCharType="end"/>
          </w:r>
        </w:p>
      </w:tc>
    </w:tr>
  </w:tbl>
  <w:p w:rsidR="00191979" w:rsidRPr="00ED479C" w:rsidRDefault="00191979" w:rsidP="00ED47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191979" w:rsidTr="00ED479C">
      <w:trPr>
        <w:trHeight w:hRule="exact" w:val="864"/>
      </w:trPr>
      <w:tc>
        <w:tcPr>
          <w:tcW w:w="4421" w:type="dxa"/>
          <w:gridSpan w:val="2"/>
          <w:tcBorders>
            <w:bottom w:val="single" w:sz="4" w:space="0" w:color="auto"/>
          </w:tcBorders>
          <w:shd w:val="clear" w:color="auto" w:fill="auto"/>
          <w:vAlign w:val="bottom"/>
        </w:tcPr>
        <w:p w:rsidR="00191979" w:rsidRPr="00ED479C" w:rsidRDefault="00191979" w:rsidP="00ED479C">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191979" w:rsidRDefault="00191979" w:rsidP="00ED479C">
          <w:pPr>
            <w:pStyle w:val="Header"/>
            <w:spacing w:after="120"/>
          </w:pPr>
        </w:p>
      </w:tc>
      <w:tc>
        <w:tcPr>
          <w:tcW w:w="5357" w:type="dxa"/>
          <w:gridSpan w:val="3"/>
          <w:tcBorders>
            <w:bottom w:val="single" w:sz="4" w:space="0" w:color="auto"/>
          </w:tcBorders>
          <w:shd w:val="clear" w:color="auto" w:fill="auto"/>
          <w:vAlign w:val="bottom"/>
        </w:tcPr>
        <w:p w:rsidR="00191979" w:rsidRPr="00ED479C" w:rsidRDefault="00191979" w:rsidP="00ED479C">
          <w:pPr>
            <w:pStyle w:val="Header"/>
            <w:spacing w:after="20"/>
            <w:jc w:val="right"/>
            <w:rPr>
              <w:sz w:val="20"/>
            </w:rPr>
          </w:pPr>
          <w:r>
            <w:rPr>
              <w:sz w:val="40"/>
            </w:rPr>
            <w:t>ECE</w:t>
          </w:r>
          <w:r>
            <w:rPr>
              <w:sz w:val="20"/>
            </w:rPr>
            <w:t>/TRANS/WP.15/AC.2/56</w:t>
          </w:r>
        </w:p>
      </w:tc>
    </w:tr>
    <w:tr w:rsidR="00191979" w:rsidRPr="00A011DF" w:rsidTr="00ED479C">
      <w:trPr>
        <w:trHeight w:hRule="exact" w:val="2880"/>
      </w:trPr>
      <w:tc>
        <w:tcPr>
          <w:tcW w:w="1267" w:type="dxa"/>
          <w:tcBorders>
            <w:top w:val="single" w:sz="4" w:space="0" w:color="auto"/>
            <w:bottom w:val="single" w:sz="12" w:space="0" w:color="auto"/>
          </w:tcBorders>
          <w:shd w:val="clear" w:color="auto" w:fill="auto"/>
        </w:tcPr>
        <w:p w:rsidR="00191979" w:rsidRPr="00ED479C" w:rsidRDefault="00191979" w:rsidP="00ED479C">
          <w:pPr>
            <w:pStyle w:val="Header"/>
            <w:spacing w:before="120"/>
            <w:jc w:val="center"/>
          </w:pPr>
          <w:r>
            <w:t xml:space="preserve"> </w:t>
          </w:r>
          <w:r>
            <w:rPr>
              <w:noProof/>
              <w:lang w:val="en-GB" w:eastAsia="en-GB"/>
            </w:rPr>
            <w:drawing>
              <wp:inline distT="0" distB="0" distL="0" distR="0" wp14:anchorId="106A21AF" wp14:editId="529AF1E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91979" w:rsidRPr="00ED479C" w:rsidRDefault="00191979" w:rsidP="00ED479C">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191979" w:rsidRPr="00ED479C" w:rsidRDefault="00191979" w:rsidP="00ED479C">
          <w:pPr>
            <w:pStyle w:val="Header"/>
            <w:spacing w:before="109"/>
          </w:pPr>
        </w:p>
      </w:tc>
      <w:tc>
        <w:tcPr>
          <w:tcW w:w="3280" w:type="dxa"/>
          <w:tcBorders>
            <w:top w:val="single" w:sz="4" w:space="0" w:color="auto"/>
            <w:bottom w:val="single" w:sz="12" w:space="0" w:color="auto"/>
          </w:tcBorders>
          <w:shd w:val="clear" w:color="auto" w:fill="auto"/>
        </w:tcPr>
        <w:p w:rsidR="00191979" w:rsidRPr="00344612" w:rsidRDefault="00191979" w:rsidP="00ED479C">
          <w:pPr>
            <w:pStyle w:val="Distribution"/>
            <w:rPr>
              <w:color w:val="000000"/>
              <w:lang w:val="en-US"/>
            </w:rPr>
          </w:pPr>
          <w:r w:rsidRPr="00344612">
            <w:rPr>
              <w:color w:val="000000"/>
              <w:lang w:val="en-US"/>
            </w:rPr>
            <w:t>Distr.: General</w:t>
          </w:r>
        </w:p>
        <w:p w:rsidR="00191979" w:rsidRPr="00344612" w:rsidRDefault="00191979" w:rsidP="00ED479C">
          <w:pPr>
            <w:pStyle w:val="Publication"/>
            <w:rPr>
              <w:color w:val="000000"/>
              <w:lang w:val="en-US"/>
            </w:rPr>
          </w:pPr>
          <w:r w:rsidRPr="00344612">
            <w:rPr>
              <w:color w:val="000000"/>
              <w:lang w:val="en-US"/>
            </w:rPr>
            <w:t>15 October 2015</w:t>
          </w:r>
        </w:p>
        <w:p w:rsidR="00191979" w:rsidRPr="00344612" w:rsidRDefault="00191979" w:rsidP="00ED479C">
          <w:pPr>
            <w:rPr>
              <w:color w:val="000000"/>
              <w:lang w:val="en-US"/>
            </w:rPr>
          </w:pPr>
          <w:r w:rsidRPr="00344612">
            <w:rPr>
              <w:color w:val="000000"/>
              <w:lang w:val="en-US"/>
            </w:rPr>
            <w:t>Russian</w:t>
          </w:r>
        </w:p>
        <w:p w:rsidR="00191979" w:rsidRPr="00344612" w:rsidRDefault="00191979" w:rsidP="00ED479C">
          <w:pPr>
            <w:pStyle w:val="Original"/>
            <w:rPr>
              <w:color w:val="000000"/>
              <w:lang w:val="en-US"/>
            </w:rPr>
          </w:pPr>
          <w:r w:rsidRPr="00344612">
            <w:rPr>
              <w:color w:val="000000"/>
              <w:lang w:val="en-US"/>
            </w:rPr>
            <w:t>Original: English</w:t>
          </w:r>
          <w:r>
            <w:rPr>
              <w:color w:val="000000"/>
              <w:lang w:val="en-US"/>
            </w:rPr>
            <w:t xml:space="preserve"> and French</w:t>
          </w:r>
        </w:p>
        <w:p w:rsidR="00191979" w:rsidRPr="00344612" w:rsidRDefault="00191979" w:rsidP="00ED479C">
          <w:pPr>
            <w:rPr>
              <w:lang w:val="en-US"/>
            </w:rPr>
          </w:pPr>
        </w:p>
      </w:tc>
    </w:tr>
  </w:tbl>
  <w:p w:rsidR="00191979" w:rsidRPr="00344612" w:rsidRDefault="00191979" w:rsidP="00ED479C">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39540A4C"/>
    <w:multiLevelType w:val="multilevel"/>
    <w:tmpl w:val="E9CE46C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F622C"/>
    <w:multiLevelType w:val="multilevel"/>
    <w:tmpl w:val="E9CE46C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2">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322F89"/>
    <w:multiLevelType w:val="multilevel"/>
    <w:tmpl w:val="E9CE46C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0"/>
  </w:num>
  <w:num w:numId="8">
    <w:abstractNumId w:val="5"/>
  </w:num>
  <w:num w:numId="9">
    <w:abstractNumId w:val="15"/>
  </w:num>
  <w:num w:numId="10">
    <w:abstractNumId w:val="11"/>
  </w:num>
  <w:num w:numId="11">
    <w:abstractNumId w:val="13"/>
  </w:num>
  <w:num w:numId="12">
    <w:abstractNumId w:val="14"/>
  </w:num>
  <w:num w:numId="13">
    <w:abstractNumId w:val="10"/>
  </w:num>
  <w:num w:numId="14">
    <w:abstractNumId w:val="1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7913*"/>
    <w:docVar w:name="CreationDt" w:val="11/20/2015 11:07 AM"/>
    <w:docVar w:name="DocCategory" w:val="Doc"/>
    <w:docVar w:name="DocType" w:val="Final"/>
    <w:docVar w:name="DutyStation" w:val="Geneva"/>
    <w:docVar w:name="FooterJN" w:val="GE.15-17913"/>
    <w:docVar w:name="jobn" w:val="GE.15-17913 (R)"/>
    <w:docVar w:name="jobnDT" w:val="GE.15-17913 (R)   201115"/>
    <w:docVar w:name="jobnDTDT" w:val="GE.15-17913 (R)   201115   201115"/>
    <w:docVar w:name="JobNo" w:val="GE.1517913R"/>
    <w:docVar w:name="JobNo2" w:val="1523708R"/>
    <w:docVar w:name="LocalDrive" w:val="0"/>
    <w:docVar w:name="OandT" w:val="U.A."/>
    <w:docVar w:name="PaperSize" w:val="A4"/>
    <w:docVar w:name="sss1" w:val="ECE/TRANS/WP.15/AC.2/56"/>
    <w:docVar w:name="sss2" w:val="-"/>
    <w:docVar w:name="Symbol1" w:val="ECE/TRANS/WP.15/AC.2/56"/>
    <w:docVar w:name="Symbol2" w:val="-"/>
  </w:docVars>
  <w:rsids>
    <w:rsidRoot w:val="00D467B0"/>
    <w:rsid w:val="00004615"/>
    <w:rsid w:val="00004756"/>
    <w:rsid w:val="00010735"/>
    <w:rsid w:val="00013E03"/>
    <w:rsid w:val="00015201"/>
    <w:rsid w:val="0001588C"/>
    <w:rsid w:val="000162FB"/>
    <w:rsid w:val="00024A67"/>
    <w:rsid w:val="00025CF3"/>
    <w:rsid w:val="0002669B"/>
    <w:rsid w:val="00030AAD"/>
    <w:rsid w:val="00033C1F"/>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1237"/>
    <w:rsid w:val="000D300C"/>
    <w:rsid w:val="000D624D"/>
    <w:rsid w:val="000D64CF"/>
    <w:rsid w:val="000E0F08"/>
    <w:rsid w:val="000E30BA"/>
    <w:rsid w:val="000E35C6"/>
    <w:rsid w:val="000E3712"/>
    <w:rsid w:val="000E4411"/>
    <w:rsid w:val="000F1ACD"/>
    <w:rsid w:val="000F5D07"/>
    <w:rsid w:val="00105B0E"/>
    <w:rsid w:val="00113678"/>
    <w:rsid w:val="001235FD"/>
    <w:rsid w:val="0014308F"/>
    <w:rsid w:val="001444A3"/>
    <w:rsid w:val="00153645"/>
    <w:rsid w:val="00153E04"/>
    <w:rsid w:val="00153E8C"/>
    <w:rsid w:val="001565FD"/>
    <w:rsid w:val="00160648"/>
    <w:rsid w:val="00161F29"/>
    <w:rsid w:val="00162200"/>
    <w:rsid w:val="00162E88"/>
    <w:rsid w:val="00171F41"/>
    <w:rsid w:val="001726A4"/>
    <w:rsid w:val="001744B4"/>
    <w:rsid w:val="00175AC4"/>
    <w:rsid w:val="00177361"/>
    <w:rsid w:val="001802BD"/>
    <w:rsid w:val="001862BD"/>
    <w:rsid w:val="00191979"/>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4B0C"/>
    <w:rsid w:val="001E61AD"/>
    <w:rsid w:val="001E639C"/>
    <w:rsid w:val="001F1B08"/>
    <w:rsid w:val="001F4353"/>
    <w:rsid w:val="001F639D"/>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065"/>
    <w:rsid w:val="002B1213"/>
    <w:rsid w:val="002B6501"/>
    <w:rsid w:val="002B6E2A"/>
    <w:rsid w:val="002C0A4B"/>
    <w:rsid w:val="002C3DE6"/>
    <w:rsid w:val="002C66D0"/>
    <w:rsid w:val="002D396F"/>
    <w:rsid w:val="002D4606"/>
    <w:rsid w:val="002D4A88"/>
    <w:rsid w:val="002D666D"/>
    <w:rsid w:val="002D7C6A"/>
    <w:rsid w:val="002E1F79"/>
    <w:rsid w:val="002F3CF9"/>
    <w:rsid w:val="002F5C45"/>
    <w:rsid w:val="002F6149"/>
    <w:rsid w:val="002F7D25"/>
    <w:rsid w:val="00310EA4"/>
    <w:rsid w:val="00310ED4"/>
    <w:rsid w:val="00325C10"/>
    <w:rsid w:val="00326F5F"/>
    <w:rsid w:val="00332D90"/>
    <w:rsid w:val="00333B06"/>
    <w:rsid w:val="00337D91"/>
    <w:rsid w:val="00343513"/>
    <w:rsid w:val="00344612"/>
    <w:rsid w:val="00346BFB"/>
    <w:rsid w:val="00350756"/>
    <w:rsid w:val="003542EE"/>
    <w:rsid w:val="00360D26"/>
    <w:rsid w:val="00362FFE"/>
    <w:rsid w:val="003658B0"/>
    <w:rsid w:val="0038044D"/>
    <w:rsid w:val="00382F9D"/>
    <w:rsid w:val="00384AEE"/>
    <w:rsid w:val="0038527A"/>
    <w:rsid w:val="00386A98"/>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60"/>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418"/>
    <w:rsid w:val="006F3683"/>
    <w:rsid w:val="00700738"/>
    <w:rsid w:val="007042EA"/>
    <w:rsid w:val="007043B9"/>
    <w:rsid w:val="00705549"/>
    <w:rsid w:val="0071210D"/>
    <w:rsid w:val="00716BC5"/>
    <w:rsid w:val="007170E5"/>
    <w:rsid w:val="00723115"/>
    <w:rsid w:val="00724550"/>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B098D"/>
    <w:rsid w:val="007B0C2B"/>
    <w:rsid w:val="007B1DE5"/>
    <w:rsid w:val="007B5785"/>
    <w:rsid w:val="007B5CF3"/>
    <w:rsid w:val="007B67AE"/>
    <w:rsid w:val="007B6EBF"/>
    <w:rsid w:val="007C4E4D"/>
    <w:rsid w:val="007C62D1"/>
    <w:rsid w:val="007C706F"/>
    <w:rsid w:val="007C7320"/>
    <w:rsid w:val="007D01FF"/>
    <w:rsid w:val="007E0E39"/>
    <w:rsid w:val="007E2B60"/>
    <w:rsid w:val="007E5513"/>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45316"/>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3BDB"/>
    <w:rsid w:val="0097006F"/>
    <w:rsid w:val="00973445"/>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5F"/>
    <w:rsid w:val="009C6A25"/>
    <w:rsid w:val="009D28B9"/>
    <w:rsid w:val="009D6E3D"/>
    <w:rsid w:val="009E5E58"/>
    <w:rsid w:val="009F0808"/>
    <w:rsid w:val="00A011DF"/>
    <w:rsid w:val="00A0688A"/>
    <w:rsid w:val="00A070E6"/>
    <w:rsid w:val="00A1426A"/>
    <w:rsid w:val="00A14F1D"/>
    <w:rsid w:val="00A152DC"/>
    <w:rsid w:val="00A1703F"/>
    <w:rsid w:val="00A2180A"/>
    <w:rsid w:val="00A22293"/>
    <w:rsid w:val="00A26973"/>
    <w:rsid w:val="00A3401C"/>
    <w:rsid w:val="00A344D5"/>
    <w:rsid w:val="00A37E33"/>
    <w:rsid w:val="00A452CF"/>
    <w:rsid w:val="00A46574"/>
    <w:rsid w:val="00A471A3"/>
    <w:rsid w:val="00A47B1B"/>
    <w:rsid w:val="00A63339"/>
    <w:rsid w:val="00A65286"/>
    <w:rsid w:val="00A90F41"/>
    <w:rsid w:val="00A910E7"/>
    <w:rsid w:val="00A93B3B"/>
    <w:rsid w:val="00A951DD"/>
    <w:rsid w:val="00A9600A"/>
    <w:rsid w:val="00A96BBC"/>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63B9"/>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1DDE"/>
    <w:rsid w:val="00BC20A0"/>
    <w:rsid w:val="00BC27F5"/>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3BC9"/>
    <w:rsid w:val="00C56B0F"/>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17D42"/>
    <w:rsid w:val="00D20AA4"/>
    <w:rsid w:val="00D25A7B"/>
    <w:rsid w:val="00D32157"/>
    <w:rsid w:val="00D35B2E"/>
    <w:rsid w:val="00D40F84"/>
    <w:rsid w:val="00D428A2"/>
    <w:rsid w:val="00D434AF"/>
    <w:rsid w:val="00D44FA6"/>
    <w:rsid w:val="00D467B0"/>
    <w:rsid w:val="00D554C9"/>
    <w:rsid w:val="00D60D62"/>
    <w:rsid w:val="00D61BB7"/>
    <w:rsid w:val="00D62DA9"/>
    <w:rsid w:val="00D70D97"/>
    <w:rsid w:val="00D7165D"/>
    <w:rsid w:val="00D738F3"/>
    <w:rsid w:val="00D75705"/>
    <w:rsid w:val="00D961D6"/>
    <w:rsid w:val="00D97B17"/>
    <w:rsid w:val="00DA1A4A"/>
    <w:rsid w:val="00DA4AFE"/>
    <w:rsid w:val="00DA4BD0"/>
    <w:rsid w:val="00DA7B41"/>
    <w:rsid w:val="00DB058E"/>
    <w:rsid w:val="00DB326E"/>
    <w:rsid w:val="00DC0C54"/>
    <w:rsid w:val="00DC1E7E"/>
    <w:rsid w:val="00DC31D2"/>
    <w:rsid w:val="00DC7A5F"/>
    <w:rsid w:val="00DD6A66"/>
    <w:rsid w:val="00DE0D15"/>
    <w:rsid w:val="00DE722C"/>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2FBE"/>
    <w:rsid w:val="00ED3E61"/>
    <w:rsid w:val="00ED479C"/>
    <w:rsid w:val="00EE3586"/>
    <w:rsid w:val="00EE63A7"/>
    <w:rsid w:val="00EE7479"/>
    <w:rsid w:val="00EE7954"/>
    <w:rsid w:val="00EF1FBD"/>
    <w:rsid w:val="00EF29BE"/>
    <w:rsid w:val="00EF2FBA"/>
    <w:rsid w:val="00EF7FD0"/>
    <w:rsid w:val="00F07943"/>
    <w:rsid w:val="00F07D5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0781"/>
    <w:rsid w:val="00F51C87"/>
    <w:rsid w:val="00F5214D"/>
    <w:rsid w:val="00F55457"/>
    <w:rsid w:val="00F6077B"/>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0FBF"/>
    <w:rsid w:val="00FA1B93"/>
    <w:rsid w:val="00FA5551"/>
    <w:rsid w:val="00FA6D66"/>
    <w:rsid w:val="00FA7C7A"/>
    <w:rsid w:val="00FC1C00"/>
    <w:rsid w:val="00FD213B"/>
    <w:rsid w:val="00FD3CE8"/>
    <w:rsid w:val="00FD5B91"/>
    <w:rsid w:val="00FD7004"/>
    <w:rsid w:val="00FD7513"/>
    <w:rsid w:val="00FD77C5"/>
    <w:rsid w:val="00FD7CA7"/>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0" w:unhideWhenUsed="0"/>
    <w:lsdException w:name="footer" w:semiHidden="0" w:unhideWhenUsed="0"/>
    <w:lsdException w:name="caption" w:uiPriority="35" w:qFormat="1"/>
    <w:lsdException w:name="footnote reference" w:uiPriority="0"/>
    <w:lsdException w:name="annotation reference" w:uiPriority="1"/>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R"/>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R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styleId="Footer">
    <w:name w:val="footer"/>
    <w:aliases w:val="3_GR"/>
    <w:basedOn w:val="Normal"/>
    <w:link w:val="FooterChar"/>
    <w:uiPriority w:val="99"/>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R Char"/>
    <w:basedOn w:val="DefaultParagraphFont"/>
    <w:link w:val="Footer"/>
    <w:uiPriority w:val="99"/>
    <w:rsid w:val="00BE531D"/>
    <w:rPr>
      <w:rFonts w:ascii="Times New Roman" w:hAnsi="Times New Roman"/>
      <w:b/>
      <w:sz w:val="17"/>
      <w:lang w:val="ru-RU"/>
    </w:rPr>
  </w:style>
  <w:style w:type="paragraph" w:styleId="Header">
    <w:name w:val="header"/>
    <w:aliases w:val="6_GR"/>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R Char"/>
    <w:basedOn w:val="DefaultParagraphFont"/>
    <w:link w:val="Header"/>
    <w:rsid w:val="00BE531D"/>
    <w:rPr>
      <w:rFonts w:ascii="Times New Roman" w:hAnsi="Times New Roman"/>
      <w:sz w:val="17"/>
      <w:lang w:val="ru-RU"/>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R"/>
    <w:basedOn w:val="DefaultParagraphFon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R"/>
    <w:basedOn w:val="Normal"/>
    <w:link w:val="EndnoteTextChar"/>
    <w:rsid w:val="0027350A"/>
    <w:pPr>
      <w:suppressAutoHyphens/>
      <w:spacing w:line="210" w:lineRule="exact"/>
      <w:contextualSpacing/>
    </w:pPr>
    <w:rPr>
      <w:spacing w:val="5"/>
      <w:w w:val="104"/>
      <w:sz w:val="17"/>
      <w:szCs w:val="20"/>
    </w:rPr>
  </w:style>
  <w:style w:type="character" w:customStyle="1" w:styleId="EndnoteTextChar">
    <w:name w:val="Endnote Text Char"/>
    <w:aliases w:val="2_GR Char"/>
    <w:basedOn w:val="DefaultParagraphFont"/>
    <w:link w:val="EndnoteText"/>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R"/>
    <w:basedOn w:val="DefaultParagraphFont"/>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ED479C"/>
    <w:rPr>
      <w:sz w:val="16"/>
      <w:szCs w:val="16"/>
    </w:rPr>
  </w:style>
  <w:style w:type="paragraph" w:styleId="CommentText">
    <w:name w:val="annotation text"/>
    <w:basedOn w:val="Normal"/>
    <w:link w:val="CommentTextChar"/>
    <w:uiPriority w:val="99"/>
    <w:semiHidden/>
    <w:unhideWhenUsed/>
    <w:rsid w:val="00ED479C"/>
    <w:pPr>
      <w:spacing w:line="240" w:lineRule="auto"/>
    </w:pPr>
    <w:rPr>
      <w:szCs w:val="20"/>
    </w:rPr>
  </w:style>
  <w:style w:type="character" w:customStyle="1" w:styleId="CommentTextChar">
    <w:name w:val="Comment Text Char"/>
    <w:basedOn w:val="DefaultParagraphFont"/>
    <w:link w:val="CommentText"/>
    <w:uiPriority w:val="99"/>
    <w:semiHidden/>
    <w:rsid w:val="00ED479C"/>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ED479C"/>
    <w:rPr>
      <w:b/>
      <w:bCs/>
    </w:rPr>
  </w:style>
  <w:style w:type="character" w:customStyle="1" w:styleId="CommentSubjectChar">
    <w:name w:val="Comment Subject Char"/>
    <w:basedOn w:val="CommentTextChar"/>
    <w:link w:val="CommentSubject"/>
    <w:uiPriority w:val="99"/>
    <w:semiHidden/>
    <w:rsid w:val="00ED479C"/>
    <w:rPr>
      <w:rFonts w:ascii="Times New Roman" w:hAnsi="Times New Roman" w:cs="Times New Roman"/>
      <w:b/>
      <w:bCs/>
      <w:spacing w:val="4"/>
      <w:w w:val="103"/>
      <w:kern w:val="14"/>
      <w:sz w:val="20"/>
      <w:szCs w:val="20"/>
      <w:lang w:val="ru-RU"/>
    </w:rPr>
  </w:style>
  <w:style w:type="paragraph" w:customStyle="1" w:styleId="HMGR">
    <w:name w:val="_ H __M_GR"/>
    <w:basedOn w:val="Normal"/>
    <w:next w:val="Normal"/>
    <w:rsid w:val="000D624D"/>
    <w:pPr>
      <w:keepNext/>
      <w:keepLines/>
      <w:tabs>
        <w:tab w:val="right" w:pos="851"/>
      </w:tabs>
      <w:suppressAutoHyphens/>
      <w:spacing w:before="240" w:after="240" w:line="360" w:lineRule="exact"/>
      <w:ind w:left="1134" w:right="1134" w:hanging="1134"/>
    </w:pPr>
    <w:rPr>
      <w:rFonts w:eastAsia="Times New Roman"/>
      <w:b/>
      <w:sz w:val="34"/>
      <w:szCs w:val="20"/>
      <w:lang w:eastAsia="ru-RU"/>
    </w:rPr>
  </w:style>
  <w:style w:type="paragraph" w:customStyle="1" w:styleId="HChGR">
    <w:name w:val="_ H _Ch_GR"/>
    <w:basedOn w:val="Normal"/>
    <w:next w:val="Normal"/>
    <w:rsid w:val="000D624D"/>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H1GR">
    <w:name w:val="_ H_1_GR"/>
    <w:basedOn w:val="Normal"/>
    <w:next w:val="Normal"/>
    <w:qFormat/>
    <w:rsid w:val="000D624D"/>
    <w:pPr>
      <w:keepNext/>
      <w:keepLines/>
      <w:tabs>
        <w:tab w:val="right" w:pos="851"/>
      </w:tabs>
      <w:suppressAutoHyphens/>
      <w:spacing w:before="360" w:after="240" w:line="270" w:lineRule="exact"/>
      <w:ind w:left="1134" w:right="1134" w:hanging="1134"/>
    </w:pPr>
    <w:rPr>
      <w:rFonts w:eastAsia="Times New Roman"/>
      <w:b/>
      <w:sz w:val="24"/>
      <w:szCs w:val="20"/>
      <w:lang w:eastAsia="ru-RU"/>
    </w:rPr>
  </w:style>
  <w:style w:type="paragraph" w:customStyle="1" w:styleId="H23GR">
    <w:name w:val="_ H_2/3_GR"/>
    <w:basedOn w:val="Normal"/>
    <w:next w:val="Normal"/>
    <w:rsid w:val="000D624D"/>
    <w:pPr>
      <w:keepNext/>
      <w:keepLines/>
      <w:tabs>
        <w:tab w:val="right" w:pos="851"/>
      </w:tabs>
      <w:suppressAutoHyphens/>
      <w:spacing w:before="240" w:after="120"/>
      <w:ind w:left="1134" w:right="1134" w:hanging="1134"/>
    </w:pPr>
    <w:rPr>
      <w:rFonts w:eastAsia="Times New Roman"/>
      <w:b/>
      <w:szCs w:val="20"/>
      <w:lang w:eastAsia="ru-RU"/>
    </w:rPr>
  </w:style>
  <w:style w:type="paragraph" w:customStyle="1" w:styleId="H4GR">
    <w:name w:val="_ H_4_GR"/>
    <w:basedOn w:val="Normal"/>
    <w:next w:val="Normal"/>
    <w:rsid w:val="000D624D"/>
    <w:pPr>
      <w:keepNext/>
      <w:keepLines/>
      <w:tabs>
        <w:tab w:val="right" w:pos="851"/>
      </w:tabs>
      <w:suppressAutoHyphens/>
      <w:spacing w:before="240" w:after="120"/>
      <w:ind w:left="1134" w:right="1134" w:hanging="1134"/>
      <w:outlineLvl w:val="3"/>
    </w:pPr>
    <w:rPr>
      <w:rFonts w:eastAsia="Times New Roman"/>
      <w:i/>
      <w:spacing w:val="3"/>
      <w:szCs w:val="20"/>
      <w:lang w:eastAsia="ru-RU"/>
    </w:rPr>
  </w:style>
  <w:style w:type="paragraph" w:customStyle="1" w:styleId="H56GR">
    <w:name w:val="_ H_5/6_GR"/>
    <w:basedOn w:val="Normal"/>
    <w:next w:val="Normal"/>
    <w:rsid w:val="000D624D"/>
    <w:pPr>
      <w:keepNext/>
      <w:keepLines/>
      <w:tabs>
        <w:tab w:val="right" w:pos="851"/>
      </w:tabs>
      <w:suppressAutoHyphens/>
      <w:spacing w:before="240" w:after="120"/>
      <w:ind w:left="1134" w:right="1134" w:hanging="1134"/>
    </w:pPr>
    <w:rPr>
      <w:rFonts w:eastAsia="Times New Roman"/>
      <w:szCs w:val="20"/>
      <w:lang w:eastAsia="ru-RU"/>
    </w:rPr>
  </w:style>
  <w:style w:type="paragraph" w:customStyle="1" w:styleId="SingleTxtGR">
    <w:name w:val="_ Single Txt_GR"/>
    <w:basedOn w:val="Normal"/>
    <w:rsid w:val="000D624D"/>
    <w:pPr>
      <w:tabs>
        <w:tab w:val="left" w:pos="1701"/>
        <w:tab w:val="left" w:pos="2268"/>
        <w:tab w:val="left" w:pos="2835"/>
        <w:tab w:val="left" w:pos="3402"/>
        <w:tab w:val="left" w:pos="3969"/>
      </w:tabs>
      <w:spacing w:after="120" w:line="240" w:lineRule="atLeast"/>
      <w:ind w:left="1134" w:right="1134"/>
      <w:jc w:val="both"/>
    </w:pPr>
    <w:rPr>
      <w:rFonts w:eastAsia="Times New Roman"/>
      <w:szCs w:val="20"/>
    </w:rPr>
  </w:style>
  <w:style w:type="paragraph" w:customStyle="1" w:styleId="SLGR">
    <w:name w:val="__S_L_GR"/>
    <w:basedOn w:val="Normal"/>
    <w:next w:val="Normal"/>
    <w:rsid w:val="000D624D"/>
    <w:pPr>
      <w:keepNext/>
      <w:keepLines/>
      <w:suppressAutoHyphens/>
      <w:spacing w:before="240" w:after="240" w:line="580" w:lineRule="exact"/>
      <w:ind w:left="1134" w:right="1134"/>
    </w:pPr>
    <w:rPr>
      <w:rFonts w:eastAsia="Times New Roman"/>
      <w:b/>
      <w:sz w:val="56"/>
      <w:szCs w:val="20"/>
      <w:lang w:eastAsia="ru-RU"/>
    </w:rPr>
  </w:style>
  <w:style w:type="paragraph" w:customStyle="1" w:styleId="SMGR">
    <w:name w:val="__S_M_GR"/>
    <w:basedOn w:val="Normal"/>
    <w:next w:val="Normal"/>
    <w:rsid w:val="000D624D"/>
    <w:pPr>
      <w:keepNext/>
      <w:keepLines/>
      <w:suppressAutoHyphens/>
      <w:spacing w:before="240" w:after="240" w:line="420" w:lineRule="exact"/>
      <w:ind w:left="1134" w:right="1134"/>
    </w:pPr>
    <w:rPr>
      <w:rFonts w:eastAsia="Times New Roman"/>
      <w:b/>
      <w:sz w:val="40"/>
      <w:szCs w:val="20"/>
      <w:lang w:eastAsia="ru-RU"/>
    </w:rPr>
  </w:style>
  <w:style w:type="paragraph" w:customStyle="1" w:styleId="SSGR">
    <w:name w:val="__S_S_GR"/>
    <w:basedOn w:val="Normal"/>
    <w:next w:val="Normal"/>
    <w:rsid w:val="000D624D"/>
    <w:pPr>
      <w:keepNext/>
      <w:keepLines/>
      <w:suppressAutoHyphens/>
      <w:spacing w:before="240" w:after="240" w:line="300" w:lineRule="exact"/>
      <w:ind w:left="1134" w:right="1134"/>
    </w:pPr>
    <w:rPr>
      <w:rFonts w:eastAsia="Times New Roman"/>
      <w:b/>
      <w:sz w:val="28"/>
      <w:szCs w:val="20"/>
      <w:lang w:eastAsia="ru-RU"/>
    </w:rPr>
  </w:style>
  <w:style w:type="paragraph" w:customStyle="1" w:styleId="XLargeGR">
    <w:name w:val="__XLarge_GR"/>
    <w:basedOn w:val="Normal"/>
    <w:next w:val="Normal"/>
    <w:rsid w:val="000D624D"/>
    <w:pPr>
      <w:keepNext/>
      <w:keepLines/>
      <w:suppressAutoHyphens/>
      <w:spacing w:before="240" w:after="240" w:line="420" w:lineRule="exact"/>
      <w:ind w:left="1134" w:right="1134"/>
    </w:pPr>
    <w:rPr>
      <w:rFonts w:eastAsia="Times New Roman"/>
      <w:b/>
      <w:sz w:val="40"/>
      <w:szCs w:val="20"/>
      <w:lang w:eastAsia="ru-RU"/>
    </w:rPr>
  </w:style>
  <w:style w:type="paragraph" w:customStyle="1" w:styleId="Bullet1GR">
    <w:name w:val="_Bullet 1_GR"/>
    <w:basedOn w:val="Normal"/>
    <w:rsid w:val="000D624D"/>
    <w:pPr>
      <w:numPr>
        <w:numId w:val="12"/>
      </w:numPr>
      <w:spacing w:after="120" w:line="240" w:lineRule="atLeast"/>
      <w:ind w:right="1134"/>
      <w:jc w:val="both"/>
    </w:pPr>
    <w:rPr>
      <w:rFonts w:eastAsia="Times New Roman"/>
      <w:szCs w:val="20"/>
      <w:lang w:eastAsia="ru-RU"/>
    </w:rPr>
  </w:style>
  <w:style w:type="paragraph" w:customStyle="1" w:styleId="Bullet2GR">
    <w:name w:val="_Bullet 2_GR"/>
    <w:basedOn w:val="Normal"/>
    <w:rsid w:val="000D624D"/>
    <w:pPr>
      <w:numPr>
        <w:numId w:val="13"/>
      </w:numPr>
      <w:spacing w:after="120" w:line="240" w:lineRule="atLeast"/>
      <w:ind w:right="1134"/>
      <w:jc w:val="both"/>
    </w:pPr>
    <w:rPr>
      <w:rFonts w:eastAsia="Times New Roman"/>
      <w:szCs w:val="20"/>
      <w:lang w:eastAsia="ru-RU"/>
    </w:rPr>
  </w:style>
  <w:style w:type="paragraph" w:customStyle="1" w:styleId="ParaNoGR">
    <w:name w:val="_ParaNo._GR"/>
    <w:basedOn w:val="Normal"/>
    <w:next w:val="Normal"/>
    <w:rsid w:val="000D624D"/>
    <w:pPr>
      <w:numPr>
        <w:numId w:val="14"/>
      </w:numPr>
      <w:tabs>
        <w:tab w:val="left" w:pos="567"/>
      </w:tabs>
      <w:spacing w:after="120" w:line="240" w:lineRule="atLeast"/>
      <w:ind w:right="1134"/>
      <w:jc w:val="both"/>
      <w:outlineLvl w:val="0"/>
    </w:pPr>
    <w:rPr>
      <w:rFonts w:eastAsia="Times New Roman"/>
      <w:szCs w:val="20"/>
      <w:lang w:eastAsia="ru-RU"/>
    </w:rPr>
  </w:style>
  <w:style w:type="character" w:styleId="PageNumber">
    <w:name w:val="page number"/>
    <w:aliases w:val="7_GR"/>
    <w:basedOn w:val="DefaultParagraphFont"/>
    <w:rsid w:val="000D624D"/>
    <w:rPr>
      <w:rFonts w:ascii="Times New Roman" w:hAnsi="Times New Roman"/>
      <w:b/>
      <w:sz w:val="18"/>
    </w:rPr>
  </w:style>
  <w:style w:type="paragraph" w:styleId="BalloonText">
    <w:name w:val="Balloon Text"/>
    <w:basedOn w:val="Normal"/>
    <w:link w:val="BalloonTextChar"/>
    <w:uiPriority w:val="99"/>
    <w:semiHidden/>
    <w:unhideWhenUsed/>
    <w:rsid w:val="00FA0F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FBF"/>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0" w:unhideWhenUsed="0"/>
    <w:lsdException w:name="footer" w:semiHidden="0" w:unhideWhenUsed="0"/>
    <w:lsdException w:name="caption" w:uiPriority="35" w:qFormat="1"/>
    <w:lsdException w:name="footnote reference" w:uiPriority="0"/>
    <w:lsdException w:name="annotation reference" w:uiPriority="1"/>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R"/>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R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styleId="Footer">
    <w:name w:val="footer"/>
    <w:aliases w:val="3_GR"/>
    <w:basedOn w:val="Normal"/>
    <w:link w:val="FooterChar"/>
    <w:uiPriority w:val="99"/>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R Char"/>
    <w:basedOn w:val="DefaultParagraphFont"/>
    <w:link w:val="Footer"/>
    <w:uiPriority w:val="99"/>
    <w:rsid w:val="00BE531D"/>
    <w:rPr>
      <w:rFonts w:ascii="Times New Roman" w:hAnsi="Times New Roman"/>
      <w:b/>
      <w:sz w:val="17"/>
      <w:lang w:val="ru-RU"/>
    </w:rPr>
  </w:style>
  <w:style w:type="paragraph" w:styleId="Header">
    <w:name w:val="header"/>
    <w:aliases w:val="6_GR"/>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R Char"/>
    <w:basedOn w:val="DefaultParagraphFont"/>
    <w:link w:val="Header"/>
    <w:rsid w:val="00BE531D"/>
    <w:rPr>
      <w:rFonts w:ascii="Times New Roman" w:hAnsi="Times New Roman"/>
      <w:sz w:val="17"/>
      <w:lang w:val="ru-RU"/>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R"/>
    <w:basedOn w:val="DefaultParagraphFont"/>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R"/>
    <w:basedOn w:val="Normal"/>
    <w:link w:val="EndnoteTextChar"/>
    <w:rsid w:val="0027350A"/>
    <w:pPr>
      <w:suppressAutoHyphens/>
      <w:spacing w:line="210" w:lineRule="exact"/>
      <w:contextualSpacing/>
    </w:pPr>
    <w:rPr>
      <w:spacing w:val="5"/>
      <w:w w:val="104"/>
      <w:sz w:val="17"/>
      <w:szCs w:val="20"/>
    </w:rPr>
  </w:style>
  <w:style w:type="character" w:customStyle="1" w:styleId="EndnoteTextChar">
    <w:name w:val="Endnote Text Char"/>
    <w:aliases w:val="2_GR Char"/>
    <w:basedOn w:val="DefaultParagraphFont"/>
    <w:link w:val="EndnoteText"/>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R"/>
    <w:basedOn w:val="DefaultParagraphFont"/>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ED479C"/>
    <w:rPr>
      <w:sz w:val="16"/>
      <w:szCs w:val="16"/>
    </w:rPr>
  </w:style>
  <w:style w:type="paragraph" w:styleId="CommentText">
    <w:name w:val="annotation text"/>
    <w:basedOn w:val="Normal"/>
    <w:link w:val="CommentTextChar"/>
    <w:uiPriority w:val="99"/>
    <w:semiHidden/>
    <w:unhideWhenUsed/>
    <w:rsid w:val="00ED479C"/>
    <w:pPr>
      <w:spacing w:line="240" w:lineRule="auto"/>
    </w:pPr>
    <w:rPr>
      <w:szCs w:val="20"/>
    </w:rPr>
  </w:style>
  <w:style w:type="character" w:customStyle="1" w:styleId="CommentTextChar">
    <w:name w:val="Comment Text Char"/>
    <w:basedOn w:val="DefaultParagraphFont"/>
    <w:link w:val="CommentText"/>
    <w:uiPriority w:val="99"/>
    <w:semiHidden/>
    <w:rsid w:val="00ED479C"/>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ED479C"/>
    <w:rPr>
      <w:b/>
      <w:bCs/>
    </w:rPr>
  </w:style>
  <w:style w:type="character" w:customStyle="1" w:styleId="CommentSubjectChar">
    <w:name w:val="Comment Subject Char"/>
    <w:basedOn w:val="CommentTextChar"/>
    <w:link w:val="CommentSubject"/>
    <w:uiPriority w:val="99"/>
    <w:semiHidden/>
    <w:rsid w:val="00ED479C"/>
    <w:rPr>
      <w:rFonts w:ascii="Times New Roman" w:hAnsi="Times New Roman" w:cs="Times New Roman"/>
      <w:b/>
      <w:bCs/>
      <w:spacing w:val="4"/>
      <w:w w:val="103"/>
      <w:kern w:val="14"/>
      <w:sz w:val="20"/>
      <w:szCs w:val="20"/>
      <w:lang w:val="ru-RU"/>
    </w:rPr>
  </w:style>
  <w:style w:type="paragraph" w:customStyle="1" w:styleId="HMGR">
    <w:name w:val="_ H __M_GR"/>
    <w:basedOn w:val="Normal"/>
    <w:next w:val="Normal"/>
    <w:rsid w:val="000D624D"/>
    <w:pPr>
      <w:keepNext/>
      <w:keepLines/>
      <w:tabs>
        <w:tab w:val="right" w:pos="851"/>
      </w:tabs>
      <w:suppressAutoHyphens/>
      <w:spacing w:before="240" w:after="240" w:line="360" w:lineRule="exact"/>
      <w:ind w:left="1134" w:right="1134" w:hanging="1134"/>
    </w:pPr>
    <w:rPr>
      <w:rFonts w:eastAsia="Times New Roman"/>
      <w:b/>
      <w:sz w:val="34"/>
      <w:szCs w:val="20"/>
      <w:lang w:eastAsia="ru-RU"/>
    </w:rPr>
  </w:style>
  <w:style w:type="paragraph" w:customStyle="1" w:styleId="HChGR">
    <w:name w:val="_ H _Ch_GR"/>
    <w:basedOn w:val="Normal"/>
    <w:next w:val="Normal"/>
    <w:rsid w:val="000D624D"/>
    <w:pPr>
      <w:keepNext/>
      <w:keepLines/>
      <w:tabs>
        <w:tab w:val="right" w:pos="851"/>
      </w:tabs>
      <w:suppressAutoHyphens/>
      <w:spacing w:before="360" w:after="240" w:line="300" w:lineRule="exact"/>
      <w:ind w:left="1134" w:right="1134" w:hanging="1134"/>
    </w:pPr>
    <w:rPr>
      <w:rFonts w:eastAsia="Times New Roman"/>
      <w:b/>
      <w:sz w:val="28"/>
      <w:szCs w:val="20"/>
      <w:lang w:eastAsia="ru-RU"/>
    </w:rPr>
  </w:style>
  <w:style w:type="paragraph" w:customStyle="1" w:styleId="H1GR">
    <w:name w:val="_ H_1_GR"/>
    <w:basedOn w:val="Normal"/>
    <w:next w:val="Normal"/>
    <w:qFormat/>
    <w:rsid w:val="000D624D"/>
    <w:pPr>
      <w:keepNext/>
      <w:keepLines/>
      <w:tabs>
        <w:tab w:val="right" w:pos="851"/>
      </w:tabs>
      <w:suppressAutoHyphens/>
      <w:spacing w:before="360" w:after="240" w:line="270" w:lineRule="exact"/>
      <w:ind w:left="1134" w:right="1134" w:hanging="1134"/>
    </w:pPr>
    <w:rPr>
      <w:rFonts w:eastAsia="Times New Roman"/>
      <w:b/>
      <w:sz w:val="24"/>
      <w:szCs w:val="20"/>
      <w:lang w:eastAsia="ru-RU"/>
    </w:rPr>
  </w:style>
  <w:style w:type="paragraph" w:customStyle="1" w:styleId="H23GR">
    <w:name w:val="_ H_2/3_GR"/>
    <w:basedOn w:val="Normal"/>
    <w:next w:val="Normal"/>
    <w:rsid w:val="000D624D"/>
    <w:pPr>
      <w:keepNext/>
      <w:keepLines/>
      <w:tabs>
        <w:tab w:val="right" w:pos="851"/>
      </w:tabs>
      <w:suppressAutoHyphens/>
      <w:spacing w:before="240" w:after="120"/>
      <w:ind w:left="1134" w:right="1134" w:hanging="1134"/>
    </w:pPr>
    <w:rPr>
      <w:rFonts w:eastAsia="Times New Roman"/>
      <w:b/>
      <w:szCs w:val="20"/>
      <w:lang w:eastAsia="ru-RU"/>
    </w:rPr>
  </w:style>
  <w:style w:type="paragraph" w:customStyle="1" w:styleId="H4GR">
    <w:name w:val="_ H_4_GR"/>
    <w:basedOn w:val="Normal"/>
    <w:next w:val="Normal"/>
    <w:rsid w:val="000D624D"/>
    <w:pPr>
      <w:keepNext/>
      <w:keepLines/>
      <w:tabs>
        <w:tab w:val="right" w:pos="851"/>
      </w:tabs>
      <w:suppressAutoHyphens/>
      <w:spacing w:before="240" w:after="120"/>
      <w:ind w:left="1134" w:right="1134" w:hanging="1134"/>
      <w:outlineLvl w:val="3"/>
    </w:pPr>
    <w:rPr>
      <w:rFonts w:eastAsia="Times New Roman"/>
      <w:i/>
      <w:spacing w:val="3"/>
      <w:szCs w:val="20"/>
      <w:lang w:eastAsia="ru-RU"/>
    </w:rPr>
  </w:style>
  <w:style w:type="paragraph" w:customStyle="1" w:styleId="H56GR">
    <w:name w:val="_ H_5/6_GR"/>
    <w:basedOn w:val="Normal"/>
    <w:next w:val="Normal"/>
    <w:rsid w:val="000D624D"/>
    <w:pPr>
      <w:keepNext/>
      <w:keepLines/>
      <w:tabs>
        <w:tab w:val="right" w:pos="851"/>
      </w:tabs>
      <w:suppressAutoHyphens/>
      <w:spacing w:before="240" w:after="120"/>
      <w:ind w:left="1134" w:right="1134" w:hanging="1134"/>
    </w:pPr>
    <w:rPr>
      <w:rFonts w:eastAsia="Times New Roman"/>
      <w:szCs w:val="20"/>
      <w:lang w:eastAsia="ru-RU"/>
    </w:rPr>
  </w:style>
  <w:style w:type="paragraph" w:customStyle="1" w:styleId="SingleTxtGR">
    <w:name w:val="_ Single Txt_GR"/>
    <w:basedOn w:val="Normal"/>
    <w:rsid w:val="000D624D"/>
    <w:pPr>
      <w:tabs>
        <w:tab w:val="left" w:pos="1701"/>
        <w:tab w:val="left" w:pos="2268"/>
        <w:tab w:val="left" w:pos="2835"/>
        <w:tab w:val="left" w:pos="3402"/>
        <w:tab w:val="left" w:pos="3969"/>
      </w:tabs>
      <w:spacing w:after="120" w:line="240" w:lineRule="atLeast"/>
      <w:ind w:left="1134" w:right="1134"/>
      <w:jc w:val="both"/>
    </w:pPr>
    <w:rPr>
      <w:rFonts w:eastAsia="Times New Roman"/>
      <w:szCs w:val="20"/>
    </w:rPr>
  </w:style>
  <w:style w:type="paragraph" w:customStyle="1" w:styleId="SLGR">
    <w:name w:val="__S_L_GR"/>
    <w:basedOn w:val="Normal"/>
    <w:next w:val="Normal"/>
    <w:rsid w:val="000D624D"/>
    <w:pPr>
      <w:keepNext/>
      <w:keepLines/>
      <w:suppressAutoHyphens/>
      <w:spacing w:before="240" w:after="240" w:line="580" w:lineRule="exact"/>
      <w:ind w:left="1134" w:right="1134"/>
    </w:pPr>
    <w:rPr>
      <w:rFonts w:eastAsia="Times New Roman"/>
      <w:b/>
      <w:sz w:val="56"/>
      <w:szCs w:val="20"/>
      <w:lang w:eastAsia="ru-RU"/>
    </w:rPr>
  </w:style>
  <w:style w:type="paragraph" w:customStyle="1" w:styleId="SMGR">
    <w:name w:val="__S_M_GR"/>
    <w:basedOn w:val="Normal"/>
    <w:next w:val="Normal"/>
    <w:rsid w:val="000D624D"/>
    <w:pPr>
      <w:keepNext/>
      <w:keepLines/>
      <w:suppressAutoHyphens/>
      <w:spacing w:before="240" w:after="240" w:line="420" w:lineRule="exact"/>
      <w:ind w:left="1134" w:right="1134"/>
    </w:pPr>
    <w:rPr>
      <w:rFonts w:eastAsia="Times New Roman"/>
      <w:b/>
      <w:sz w:val="40"/>
      <w:szCs w:val="20"/>
      <w:lang w:eastAsia="ru-RU"/>
    </w:rPr>
  </w:style>
  <w:style w:type="paragraph" w:customStyle="1" w:styleId="SSGR">
    <w:name w:val="__S_S_GR"/>
    <w:basedOn w:val="Normal"/>
    <w:next w:val="Normal"/>
    <w:rsid w:val="000D624D"/>
    <w:pPr>
      <w:keepNext/>
      <w:keepLines/>
      <w:suppressAutoHyphens/>
      <w:spacing w:before="240" w:after="240" w:line="300" w:lineRule="exact"/>
      <w:ind w:left="1134" w:right="1134"/>
    </w:pPr>
    <w:rPr>
      <w:rFonts w:eastAsia="Times New Roman"/>
      <w:b/>
      <w:sz w:val="28"/>
      <w:szCs w:val="20"/>
      <w:lang w:eastAsia="ru-RU"/>
    </w:rPr>
  </w:style>
  <w:style w:type="paragraph" w:customStyle="1" w:styleId="XLargeGR">
    <w:name w:val="__XLarge_GR"/>
    <w:basedOn w:val="Normal"/>
    <w:next w:val="Normal"/>
    <w:rsid w:val="000D624D"/>
    <w:pPr>
      <w:keepNext/>
      <w:keepLines/>
      <w:suppressAutoHyphens/>
      <w:spacing w:before="240" w:after="240" w:line="420" w:lineRule="exact"/>
      <w:ind w:left="1134" w:right="1134"/>
    </w:pPr>
    <w:rPr>
      <w:rFonts w:eastAsia="Times New Roman"/>
      <w:b/>
      <w:sz w:val="40"/>
      <w:szCs w:val="20"/>
      <w:lang w:eastAsia="ru-RU"/>
    </w:rPr>
  </w:style>
  <w:style w:type="paragraph" w:customStyle="1" w:styleId="Bullet1GR">
    <w:name w:val="_Bullet 1_GR"/>
    <w:basedOn w:val="Normal"/>
    <w:rsid w:val="000D624D"/>
    <w:pPr>
      <w:numPr>
        <w:numId w:val="12"/>
      </w:numPr>
      <w:spacing w:after="120" w:line="240" w:lineRule="atLeast"/>
      <w:ind w:right="1134"/>
      <w:jc w:val="both"/>
    </w:pPr>
    <w:rPr>
      <w:rFonts w:eastAsia="Times New Roman"/>
      <w:szCs w:val="20"/>
      <w:lang w:eastAsia="ru-RU"/>
    </w:rPr>
  </w:style>
  <w:style w:type="paragraph" w:customStyle="1" w:styleId="Bullet2GR">
    <w:name w:val="_Bullet 2_GR"/>
    <w:basedOn w:val="Normal"/>
    <w:rsid w:val="000D624D"/>
    <w:pPr>
      <w:numPr>
        <w:numId w:val="13"/>
      </w:numPr>
      <w:spacing w:after="120" w:line="240" w:lineRule="atLeast"/>
      <w:ind w:right="1134"/>
      <w:jc w:val="both"/>
    </w:pPr>
    <w:rPr>
      <w:rFonts w:eastAsia="Times New Roman"/>
      <w:szCs w:val="20"/>
      <w:lang w:eastAsia="ru-RU"/>
    </w:rPr>
  </w:style>
  <w:style w:type="paragraph" w:customStyle="1" w:styleId="ParaNoGR">
    <w:name w:val="_ParaNo._GR"/>
    <w:basedOn w:val="Normal"/>
    <w:next w:val="Normal"/>
    <w:rsid w:val="000D624D"/>
    <w:pPr>
      <w:numPr>
        <w:numId w:val="14"/>
      </w:numPr>
      <w:tabs>
        <w:tab w:val="left" w:pos="567"/>
      </w:tabs>
      <w:spacing w:after="120" w:line="240" w:lineRule="atLeast"/>
      <w:ind w:right="1134"/>
      <w:jc w:val="both"/>
      <w:outlineLvl w:val="0"/>
    </w:pPr>
    <w:rPr>
      <w:rFonts w:eastAsia="Times New Roman"/>
      <w:szCs w:val="20"/>
      <w:lang w:eastAsia="ru-RU"/>
    </w:rPr>
  </w:style>
  <w:style w:type="character" w:styleId="PageNumber">
    <w:name w:val="page number"/>
    <w:aliases w:val="7_GR"/>
    <w:basedOn w:val="DefaultParagraphFont"/>
    <w:rsid w:val="000D624D"/>
    <w:rPr>
      <w:rFonts w:ascii="Times New Roman" w:hAnsi="Times New Roman"/>
      <w:b/>
      <w:sz w:val="18"/>
    </w:rPr>
  </w:style>
  <w:style w:type="paragraph" w:styleId="BalloonText">
    <w:name w:val="Balloon Text"/>
    <w:basedOn w:val="Normal"/>
    <w:link w:val="BalloonTextChar"/>
    <w:uiPriority w:val="99"/>
    <w:semiHidden/>
    <w:unhideWhenUsed/>
    <w:rsid w:val="00FA0F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FBF"/>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2229C-47B5-43FE-8134-0C498A25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6952</Words>
  <Characters>39631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46491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Uliana Antipova</dc:creator>
  <cp:lastModifiedBy>Caillot</cp:lastModifiedBy>
  <cp:revision>2</cp:revision>
  <cp:lastPrinted>2015-11-23T09:40:00Z</cp:lastPrinted>
  <dcterms:created xsi:type="dcterms:W3CDTF">2015-11-26T16:58:00Z</dcterms:created>
  <dcterms:modified xsi:type="dcterms:W3CDTF">2015-11-26T16:58:00Z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1517913R</vt:lpwstr>
  </property>
  <property fmtid="{D5CDD505-2E9C-101B-9397-08002B2CF9AE}" pid="3" name="ODSRefJobNo">
    <vt:lpwstr>1523708R</vt:lpwstr>
  </property>
  <property fmtid="{D5CDD505-2E9C-101B-9397-08002B2CF9AE}" pid="4" name="Symbol1">
    <vt:lpwstr>ECE/TRANS/WP.15/AC.2/56</vt:lpwstr>
  </property>
  <property fmtid="{D5CDD505-2E9C-101B-9397-08002B2CF9AE}" pid="5" name="Symbol2">
    <vt:lpwstr/>
  </property>
  <property fmtid="{D5CDD505-2E9C-101B-9397-08002B2CF9AE}" pid="6" name="Translator">
    <vt:lpwstr/>
  </property>
  <property fmtid="{D5CDD505-2E9C-101B-9397-08002B2CF9AE}" pid="7" name="Operator">
    <vt:lpwstr>U.A.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15 October 2015</vt:lpwstr>
  </property>
  <property fmtid="{D5CDD505-2E9C-101B-9397-08002B2CF9AE}" pid="12" name="Original">
    <vt:lpwstr>English</vt:lpwstr>
  </property>
  <property fmtid="{D5CDD505-2E9C-101B-9397-08002B2CF9AE}" pid="13" name="Release Date">
    <vt:lpwstr>201115</vt:lpwstr>
  </property>
</Properties>
</file>