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4" w:rsidRPr="005249B4" w:rsidRDefault="005249B4" w:rsidP="005249B4">
      <w:pPr>
        <w:tabs>
          <w:tab w:val="right" w:pos="3856"/>
          <w:tab w:val="left" w:pos="5387"/>
        </w:tabs>
        <w:spacing w:line="240" w:lineRule="auto"/>
        <w:ind w:left="284"/>
        <w:jc w:val="both"/>
        <w:rPr>
          <w:rFonts w:ascii="Arial" w:hAnsi="Arial" w:cs="Arial"/>
          <w:bCs/>
          <w:noProof/>
          <w:snapToGrid/>
          <w:lang w:val="de-DE" w:eastAsia="en-US"/>
        </w:rPr>
      </w:pPr>
      <w:bookmarkStart w:id="0" w:name="_GoBack"/>
      <w:bookmarkEnd w:id="0"/>
      <w:r w:rsidRPr="005249B4">
        <w:rPr>
          <w:rFonts w:ascii="Arial" w:eastAsia="Arial" w:hAnsi="Arial" w:cs="Arial"/>
          <w:noProof/>
          <w:snapToGrid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C554232" wp14:editId="2DD94C63">
            <wp:simplePos x="0" y="0"/>
            <wp:positionH relativeFrom="column">
              <wp:posOffset>2753995</wp:posOffset>
            </wp:positionH>
            <wp:positionV relativeFrom="paragraph">
              <wp:posOffset>-157480</wp:posOffset>
            </wp:positionV>
            <wp:extent cx="575945" cy="3835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9B4">
        <w:rPr>
          <w:rFonts w:ascii="Arial" w:hAnsi="Arial" w:cs="Arial"/>
          <w:b/>
          <w:color w:val="808080"/>
          <w:sz w:val="14"/>
          <w:szCs w:val="24"/>
          <w:lang w:val="de-DE"/>
        </w:rPr>
        <w:t>ZENTRALKOMMISSION FÜR DIE RHEINSCHIFFFAHRT</w:t>
      </w:r>
      <w:r w:rsidRPr="005249B4">
        <w:rPr>
          <w:rFonts w:ascii="Arial" w:hAnsi="Arial" w:cs="Arial"/>
          <w:bCs/>
          <w:lang w:val="de-DE" w:eastAsia="de-DE"/>
        </w:rPr>
        <w:tab/>
      </w:r>
      <w:r w:rsidRPr="005249B4">
        <w:rPr>
          <w:rFonts w:ascii="Arial" w:hAnsi="Arial" w:cs="Arial"/>
          <w:bCs/>
          <w:noProof/>
          <w:snapToGrid/>
          <w:lang w:val="de-DE" w:eastAsia="en-US"/>
        </w:rPr>
        <w:t>CCNR-ZKR/ADN/WP.15.AC.2/26/INF.</w:t>
      </w:r>
      <w:r>
        <w:rPr>
          <w:rFonts w:ascii="Arial" w:hAnsi="Arial" w:cs="Arial"/>
          <w:bCs/>
          <w:noProof/>
          <w:snapToGrid/>
          <w:lang w:val="de-DE" w:eastAsia="en-US"/>
        </w:rPr>
        <w:t>31</w:t>
      </w:r>
    </w:p>
    <w:p w:rsidR="005249B4" w:rsidRPr="005249B4" w:rsidRDefault="005249B4" w:rsidP="005249B4">
      <w:pPr>
        <w:tabs>
          <w:tab w:val="right" w:pos="3856"/>
          <w:tab w:val="left" w:pos="5387"/>
        </w:tabs>
        <w:suppressAutoHyphens w:val="0"/>
        <w:spacing w:line="240" w:lineRule="auto"/>
        <w:rPr>
          <w:rFonts w:ascii="Arial" w:eastAsia="Arial" w:hAnsi="Arial" w:cs="Arial"/>
          <w:snapToGrid/>
          <w:szCs w:val="24"/>
          <w:lang w:val="de-DE" w:eastAsia="de-DE"/>
        </w:rPr>
      </w:pPr>
      <w:r w:rsidRPr="005249B4">
        <w:rPr>
          <w:rFonts w:ascii="Arial" w:eastAsia="Arial" w:hAnsi="Arial" w:cs="Arial"/>
          <w:snapToGrid/>
          <w:szCs w:val="24"/>
          <w:lang w:val="de-DE" w:eastAsia="de-DE"/>
        </w:rPr>
        <w:tab/>
      </w:r>
      <w:r w:rsidRPr="005249B4">
        <w:rPr>
          <w:rFonts w:ascii="Arial" w:eastAsia="Arial" w:hAnsi="Arial" w:cs="Arial"/>
          <w:snapToGrid/>
          <w:szCs w:val="24"/>
          <w:lang w:val="de-DE" w:eastAsia="de-DE"/>
        </w:rPr>
        <w:tab/>
      </w:r>
      <w:r>
        <w:rPr>
          <w:rFonts w:ascii="Arial" w:eastAsia="Arial" w:hAnsi="Arial" w:cs="Arial"/>
          <w:snapToGrid/>
          <w:szCs w:val="24"/>
          <w:lang w:val="de-DE" w:eastAsia="de-DE"/>
        </w:rPr>
        <w:t>22</w:t>
      </w:r>
      <w:r w:rsidRPr="005249B4">
        <w:rPr>
          <w:rFonts w:ascii="Arial" w:eastAsia="Arial" w:hAnsi="Arial" w:cs="Arial"/>
          <w:snapToGrid/>
          <w:szCs w:val="24"/>
          <w:lang w:val="de-DE" w:eastAsia="de-DE"/>
        </w:rPr>
        <w:t>. Januar 2015</w:t>
      </w:r>
    </w:p>
    <w:p w:rsidR="005249B4" w:rsidRPr="005249B4" w:rsidRDefault="005249B4" w:rsidP="005249B4">
      <w:pPr>
        <w:tabs>
          <w:tab w:val="right" w:pos="3856"/>
          <w:tab w:val="left" w:pos="5387"/>
        </w:tabs>
        <w:suppressAutoHyphens w:val="0"/>
        <w:spacing w:line="240" w:lineRule="auto"/>
        <w:rPr>
          <w:rFonts w:ascii="Arial" w:hAnsi="Arial" w:cs="Arial"/>
          <w:kern w:val="1"/>
          <w:lang w:val="de-DE" w:eastAsia="de-DE"/>
        </w:rPr>
      </w:pPr>
      <w:r w:rsidRPr="005249B4">
        <w:rPr>
          <w:rFonts w:ascii="Arial" w:eastAsia="Arial" w:hAnsi="Arial" w:cs="Arial"/>
          <w:snapToGrid/>
          <w:szCs w:val="24"/>
          <w:lang w:val="de-DE" w:eastAsia="de-DE"/>
        </w:rPr>
        <w:tab/>
      </w:r>
      <w:r w:rsidRPr="005249B4">
        <w:rPr>
          <w:rFonts w:ascii="Arial" w:eastAsia="Arial" w:hAnsi="Arial" w:cs="Arial"/>
          <w:snapToGrid/>
          <w:szCs w:val="24"/>
          <w:lang w:val="de-DE" w:eastAsia="de-DE"/>
        </w:rPr>
        <w:tab/>
      </w:r>
      <w:r w:rsidRPr="005249B4">
        <w:rPr>
          <w:rFonts w:ascii="Arial" w:eastAsia="Arial" w:hAnsi="Arial" w:cs="Arial"/>
          <w:snapToGrid/>
          <w:sz w:val="16"/>
          <w:szCs w:val="24"/>
          <w:lang w:val="de-DE" w:eastAsia="de-DE"/>
        </w:rPr>
        <w:t>Or.  DEUTSCH</w:t>
      </w:r>
    </w:p>
    <w:p w:rsidR="005249B4" w:rsidRPr="005249B4" w:rsidRDefault="005249B4" w:rsidP="005249B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5249B4" w:rsidRPr="005249B4" w:rsidRDefault="005249B4" w:rsidP="005249B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5249B4" w:rsidRPr="005249B4" w:rsidRDefault="005249B4" w:rsidP="005249B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395" w:right="-286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5249B4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</w:p>
    <w:p w:rsidR="005249B4" w:rsidRPr="005249B4" w:rsidRDefault="005249B4" w:rsidP="005249B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395" w:right="-286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5249B4">
        <w:rPr>
          <w:rFonts w:ascii="Arial" w:hAnsi="Arial" w:cs="Arial"/>
          <w:sz w:val="16"/>
          <w:szCs w:val="16"/>
          <w:lang w:val="de-DE"/>
        </w:rPr>
        <w:t>BEIGEFÜGTE VERORDNUNG (ADN)</w:t>
      </w:r>
    </w:p>
    <w:p w:rsidR="005249B4" w:rsidRPr="005249B4" w:rsidRDefault="005249B4" w:rsidP="005249B4">
      <w:pPr>
        <w:tabs>
          <w:tab w:val="left" w:pos="2977"/>
        </w:tabs>
        <w:suppressAutoHyphens w:val="0"/>
        <w:spacing w:line="240" w:lineRule="auto"/>
        <w:ind w:left="4395"/>
        <w:rPr>
          <w:rFonts w:ascii="Arial" w:hAnsi="Arial" w:cs="Arial"/>
          <w:sz w:val="16"/>
          <w:szCs w:val="16"/>
          <w:lang w:val="de-DE"/>
        </w:rPr>
      </w:pPr>
      <w:r w:rsidRPr="005249B4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5249B4" w:rsidRPr="005249B4" w:rsidRDefault="005249B4" w:rsidP="005249B4">
      <w:pPr>
        <w:tabs>
          <w:tab w:val="left" w:pos="2977"/>
        </w:tabs>
        <w:suppressAutoHyphens w:val="0"/>
        <w:spacing w:line="240" w:lineRule="auto"/>
        <w:ind w:left="4395"/>
        <w:rPr>
          <w:rFonts w:ascii="Arial" w:hAnsi="Arial" w:cs="Arial"/>
          <w:sz w:val="16"/>
          <w:szCs w:val="16"/>
          <w:lang w:val="de-DE"/>
        </w:rPr>
      </w:pPr>
      <w:r w:rsidRPr="005249B4">
        <w:rPr>
          <w:rFonts w:ascii="Arial" w:hAnsi="Arial" w:cs="Arial"/>
          <w:sz w:val="16"/>
          <w:szCs w:val="16"/>
          <w:lang w:val="de-DE"/>
        </w:rPr>
        <w:t>(26. Tagung, Genf, 27. bis 30. Januar 2015)</w:t>
      </w:r>
    </w:p>
    <w:p w:rsidR="005249B4" w:rsidRPr="005249B4" w:rsidRDefault="005249B4" w:rsidP="005249B4">
      <w:pPr>
        <w:tabs>
          <w:tab w:val="left" w:pos="2977"/>
        </w:tabs>
        <w:suppressAutoHyphens w:val="0"/>
        <w:spacing w:line="240" w:lineRule="auto"/>
        <w:ind w:left="4395"/>
        <w:rPr>
          <w:rFonts w:ascii="Arial" w:hAnsi="Arial" w:cs="Arial"/>
          <w:sz w:val="16"/>
          <w:szCs w:val="16"/>
          <w:lang w:val="de-DE"/>
        </w:rPr>
      </w:pPr>
      <w:r w:rsidRPr="005249B4">
        <w:rPr>
          <w:rFonts w:ascii="Arial" w:hAnsi="Arial" w:cs="Arial"/>
          <w:sz w:val="16"/>
          <w:szCs w:val="16"/>
          <w:lang w:val="de-DE"/>
        </w:rPr>
        <w:t xml:space="preserve">Punkt </w:t>
      </w:r>
      <w:r>
        <w:rPr>
          <w:rFonts w:ascii="Arial" w:hAnsi="Arial" w:cs="Arial"/>
          <w:sz w:val="16"/>
          <w:szCs w:val="16"/>
          <w:lang w:val="de-DE"/>
        </w:rPr>
        <w:t>5</w:t>
      </w:r>
      <w:r w:rsidRPr="005249B4">
        <w:rPr>
          <w:rFonts w:ascii="Arial" w:hAnsi="Arial" w:cs="Arial"/>
          <w:sz w:val="16"/>
          <w:szCs w:val="16"/>
          <w:lang w:val="de-DE"/>
        </w:rPr>
        <w:t xml:space="preserve"> zur vorläufigen Tagesordnung</w:t>
      </w:r>
    </w:p>
    <w:p w:rsidR="005249B4" w:rsidRDefault="005249B4" w:rsidP="005249B4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napToGrid/>
          <w:sz w:val="28"/>
          <w:lang w:val="de-DE" w:eastAsia="en-US"/>
        </w:rPr>
      </w:pPr>
    </w:p>
    <w:p w:rsidR="005249B4" w:rsidRPr="005249B4" w:rsidRDefault="005249B4" w:rsidP="005249B4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napToGrid/>
          <w:sz w:val="28"/>
          <w:lang w:val="de-DE" w:eastAsia="en-US"/>
        </w:rPr>
      </w:pPr>
      <w:r w:rsidRPr="005249B4">
        <w:rPr>
          <w:b/>
          <w:snapToGrid/>
          <w:sz w:val="28"/>
          <w:lang w:val="de-DE" w:eastAsia="en-US"/>
        </w:rPr>
        <w:tab/>
      </w:r>
      <w:r w:rsidRPr="005249B4">
        <w:rPr>
          <w:b/>
          <w:snapToGrid/>
          <w:sz w:val="28"/>
          <w:lang w:val="de-DE" w:eastAsia="en-US"/>
        </w:rPr>
        <w:tab/>
        <w:t xml:space="preserve">Protokoll über 7. Sitzung der Informellen Arbeitsgruppe „Explosionsschutz auf Binnentankschiffen“ </w:t>
      </w:r>
    </w:p>
    <w:p w:rsidR="005249B4" w:rsidRPr="005249B4" w:rsidRDefault="005249B4" w:rsidP="005249B4">
      <w:pPr>
        <w:spacing w:line="240" w:lineRule="auto"/>
        <w:ind w:left="414" w:firstLine="720"/>
        <w:jc w:val="both"/>
        <w:rPr>
          <w:b/>
          <w:snapToGrid/>
          <w:sz w:val="24"/>
          <w:szCs w:val="24"/>
          <w:lang w:val="de-DE" w:eastAsia="en-US"/>
        </w:rPr>
      </w:pPr>
      <w:r w:rsidRPr="005249B4">
        <w:rPr>
          <w:b/>
          <w:snapToGrid/>
          <w:sz w:val="24"/>
          <w:szCs w:val="24"/>
          <w:lang w:val="de-DE" w:eastAsia="en-US"/>
        </w:rPr>
        <w:t xml:space="preserve">Eingereicht von </w:t>
      </w:r>
      <w:r w:rsidRPr="005249B4">
        <w:rPr>
          <w:b/>
          <w:bCs/>
          <w:snapToGrid/>
          <w:sz w:val="24"/>
          <w:szCs w:val="24"/>
          <w:lang w:val="de-DE" w:eastAsia="en-US"/>
        </w:rPr>
        <w:t>der Zentralkommission für die Rheinschifffahrt (ZKR)</w:t>
      </w:r>
    </w:p>
    <w:p w:rsidR="00416F6E" w:rsidRDefault="00416F6E">
      <w:pPr>
        <w:suppressAutoHyphens w:val="0"/>
        <w:spacing w:line="240" w:lineRule="auto"/>
        <w:rPr>
          <w:rFonts w:ascii="Arial" w:hAnsi="Arial" w:cs="Arial"/>
          <w:b/>
          <w:bCs/>
          <w:lang w:val="de-DE"/>
        </w:rPr>
      </w:pPr>
    </w:p>
    <w:p w:rsidR="005249B4" w:rsidRDefault="005249B4">
      <w:pPr>
        <w:suppressAutoHyphens w:val="0"/>
        <w:spacing w:line="240" w:lineRule="auto"/>
        <w:rPr>
          <w:rFonts w:ascii="Arial" w:hAnsi="Arial" w:cs="Arial"/>
          <w:b/>
          <w:bCs/>
          <w:lang w:val="de-DE"/>
        </w:rPr>
      </w:pPr>
    </w:p>
    <w:p w:rsidR="00A205F7" w:rsidRDefault="00A205F7" w:rsidP="00CD5AE3">
      <w:pPr>
        <w:spacing w:after="200"/>
        <w:contextualSpacing/>
        <w:jc w:val="both"/>
        <w:rPr>
          <w:rFonts w:eastAsia="Calibri"/>
          <w:b/>
          <w:snapToGrid/>
          <w:sz w:val="24"/>
          <w:szCs w:val="24"/>
          <w:lang w:val="de-DE" w:eastAsia="en-US"/>
        </w:rPr>
      </w:pPr>
      <w:r w:rsidRPr="009B1CFD">
        <w:rPr>
          <w:rFonts w:eastAsia="Calibri"/>
          <w:b/>
          <w:snapToGrid/>
          <w:sz w:val="24"/>
          <w:szCs w:val="24"/>
          <w:lang w:val="de-DE" w:eastAsia="en-US"/>
        </w:rPr>
        <w:t>Einleitung</w:t>
      </w:r>
    </w:p>
    <w:p w:rsidR="009B1CFD" w:rsidRPr="009B1CFD" w:rsidRDefault="009B1CFD" w:rsidP="00CD5AE3">
      <w:pPr>
        <w:spacing w:after="200"/>
        <w:contextualSpacing/>
        <w:jc w:val="both"/>
        <w:rPr>
          <w:rFonts w:eastAsia="Calibri"/>
          <w:b/>
          <w:snapToGrid/>
          <w:sz w:val="24"/>
          <w:szCs w:val="24"/>
          <w:lang w:val="de-DE" w:eastAsia="en-US"/>
        </w:rPr>
      </w:pPr>
    </w:p>
    <w:p w:rsidR="00A205F7" w:rsidRPr="009B1CFD" w:rsidRDefault="00A205F7" w:rsidP="00CD5AE3">
      <w:pPr>
        <w:spacing w:after="200"/>
        <w:contextualSpacing/>
        <w:jc w:val="both"/>
        <w:rPr>
          <w:rFonts w:eastAsia="Calibri"/>
          <w:snapToGrid/>
          <w:lang w:val="de-DE" w:eastAsia="en-US"/>
        </w:rPr>
      </w:pPr>
      <w:r w:rsidRPr="009B1CFD">
        <w:rPr>
          <w:rFonts w:eastAsia="Calibri"/>
          <w:snapToGrid/>
          <w:lang w:val="de-DE" w:eastAsia="en-US"/>
        </w:rPr>
        <w:t>Die 7. Sitzung der Informellen Arbeitsgruppe „Explosionsschutz auf Binnentankschiffen“ fand am 14. und 15.</w:t>
      </w:r>
      <w:r w:rsidR="009B1CFD">
        <w:rPr>
          <w:rFonts w:eastAsia="Calibri"/>
          <w:snapToGrid/>
          <w:lang w:val="de-DE" w:eastAsia="en-US"/>
        </w:rPr>
        <w:t> </w:t>
      </w:r>
      <w:r w:rsidRPr="009B1CFD">
        <w:rPr>
          <w:rFonts w:eastAsia="Calibri"/>
          <w:snapToGrid/>
          <w:lang w:val="de-DE" w:eastAsia="en-US"/>
        </w:rPr>
        <w:t>Januar</w:t>
      </w:r>
      <w:r w:rsidR="009B1CFD">
        <w:rPr>
          <w:rFonts w:eastAsia="Calibri"/>
          <w:snapToGrid/>
          <w:lang w:val="de-DE" w:eastAsia="en-US"/>
        </w:rPr>
        <w:t> </w:t>
      </w:r>
      <w:r w:rsidRPr="009B1CFD">
        <w:rPr>
          <w:rFonts w:eastAsia="Calibri"/>
          <w:snapToGrid/>
          <w:lang w:val="de-DE" w:eastAsia="en-US"/>
        </w:rPr>
        <w:t xml:space="preserve">2015 in Berlin </w:t>
      </w:r>
      <w:r w:rsidR="002474E2" w:rsidRPr="009B1CFD">
        <w:rPr>
          <w:rFonts w:eastAsia="Calibri"/>
          <w:snapToGrid/>
          <w:lang w:val="de-DE" w:eastAsia="en-US"/>
        </w:rPr>
        <w:t xml:space="preserve">in der Bundesanstalt für Materialforschung und –prüfung (BAM) </w:t>
      </w:r>
      <w:r w:rsidRPr="009B1CFD">
        <w:rPr>
          <w:rFonts w:eastAsia="Calibri"/>
          <w:snapToGrid/>
          <w:lang w:val="de-DE" w:eastAsia="en-US"/>
        </w:rPr>
        <w:t>statt.</w:t>
      </w:r>
    </w:p>
    <w:p w:rsidR="00A205F7" w:rsidRPr="009B1CFD" w:rsidRDefault="00A205F7" w:rsidP="00CD5AE3">
      <w:pPr>
        <w:spacing w:after="200"/>
        <w:contextualSpacing/>
        <w:jc w:val="both"/>
        <w:rPr>
          <w:rFonts w:eastAsia="Calibri"/>
          <w:snapToGrid/>
          <w:lang w:val="de-DE" w:eastAsia="en-US"/>
        </w:rPr>
      </w:pPr>
    </w:p>
    <w:p w:rsidR="00A205F7" w:rsidRPr="00E4399C" w:rsidRDefault="00A205F7" w:rsidP="00CD5AE3">
      <w:pPr>
        <w:spacing w:after="200"/>
        <w:contextualSpacing/>
        <w:jc w:val="both"/>
        <w:rPr>
          <w:rFonts w:eastAsia="Calibri"/>
          <w:snapToGrid/>
          <w:lang w:val="de-DE" w:eastAsia="en-US"/>
        </w:rPr>
      </w:pPr>
      <w:r w:rsidRPr="00E4399C">
        <w:rPr>
          <w:rFonts w:eastAsia="Calibri"/>
          <w:snapToGrid/>
          <w:lang w:val="de-DE" w:eastAsia="en-US"/>
        </w:rPr>
        <w:t>Teilnehmer:</w:t>
      </w:r>
    </w:p>
    <w:p w:rsidR="006069A5" w:rsidRDefault="006069A5" w:rsidP="00CD5AE3">
      <w:pPr>
        <w:contextualSpacing/>
        <w:jc w:val="both"/>
        <w:rPr>
          <w:rFonts w:eastAsia="Calibri"/>
          <w:lang w:val="de-DE"/>
        </w:rPr>
      </w:pPr>
    </w:p>
    <w:p w:rsidR="00A205F7" w:rsidRPr="009B1CFD" w:rsidRDefault="00A205F7" w:rsidP="00CD5AE3">
      <w:pPr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Y. Adebahr-Lindner, BAM; H.-J. Braun, CIPA; J.-P. de Maat, </w:t>
      </w:r>
      <w:r w:rsidR="003922A0" w:rsidRPr="009B1CFD">
        <w:rPr>
          <w:rFonts w:eastAsia="Calibri"/>
          <w:lang w:val="de-DE"/>
        </w:rPr>
        <w:t>MINIENM</w:t>
      </w:r>
      <w:r w:rsidRPr="009B1CFD">
        <w:rPr>
          <w:rFonts w:eastAsia="Calibri"/>
          <w:lang w:val="de-DE"/>
        </w:rPr>
        <w:t xml:space="preserve">; K. den Braven, </w:t>
      </w:r>
      <w:r w:rsidR="002F1AEA" w:rsidRPr="009B1CFD">
        <w:rPr>
          <w:rFonts w:eastAsia="Calibri"/>
          <w:lang w:val="de-DE"/>
        </w:rPr>
        <w:t>BLN</w:t>
      </w:r>
      <w:r w:rsidRPr="009B1CFD">
        <w:rPr>
          <w:rFonts w:eastAsia="Calibri"/>
          <w:lang w:val="de-DE"/>
        </w:rPr>
        <w:t>; D.</w:t>
      </w:r>
      <w:r w:rsidR="00B70B3A">
        <w:rPr>
          <w:rFonts w:eastAsia="Calibri"/>
          <w:lang w:val="de-DE"/>
        </w:rPr>
        <w:t> </w:t>
      </w:r>
      <w:r w:rsidRPr="009B1CFD">
        <w:rPr>
          <w:rFonts w:eastAsia="Calibri"/>
          <w:lang w:val="de-DE"/>
        </w:rPr>
        <w:t>Gerstenkorn, BDB; H. Klopp, DNVGL; U. Körschgen, BAV; F. Krischok, BAM; M. Pöt</w:t>
      </w:r>
      <w:r w:rsidR="00704B6E">
        <w:rPr>
          <w:rFonts w:eastAsia="Calibri"/>
          <w:lang w:val="de-DE"/>
        </w:rPr>
        <w:t>zs</w:t>
      </w:r>
      <w:r w:rsidRPr="009B1CFD">
        <w:rPr>
          <w:rFonts w:eastAsia="Calibri"/>
          <w:lang w:val="de-DE"/>
        </w:rPr>
        <w:t>ch, BAM; N.</w:t>
      </w:r>
      <w:r w:rsidR="00B70B3A">
        <w:rPr>
          <w:rFonts w:eastAsia="Calibri"/>
          <w:lang w:val="de-DE"/>
        </w:rPr>
        <w:t> </w:t>
      </w:r>
      <w:r w:rsidRPr="009B1CFD">
        <w:rPr>
          <w:rFonts w:eastAsia="Calibri"/>
          <w:lang w:val="de-DE"/>
        </w:rPr>
        <w:t xml:space="preserve">Remers, RIVM; T. Speermann, BDB; R. Vermeulen. EUROPIA; K. Vinke, LR; E. Brandes, PTB </w:t>
      </w:r>
    </w:p>
    <w:p w:rsidR="00A205F7" w:rsidRPr="009B1CFD" w:rsidRDefault="00A205F7" w:rsidP="00CD5AE3">
      <w:pPr>
        <w:pStyle w:val="H1G"/>
        <w:spacing w:before="0" w:after="0" w:line="240" w:lineRule="atLeast"/>
        <w:rPr>
          <w:rFonts w:eastAsia="Calibri"/>
          <w:b w:val="0"/>
          <w:sz w:val="20"/>
          <w:szCs w:val="20"/>
          <w:lang w:val="de-DE"/>
        </w:rPr>
      </w:pPr>
    </w:p>
    <w:p w:rsidR="00A205F7" w:rsidRPr="009B1CFD" w:rsidRDefault="00A205F7" w:rsidP="00CD5AE3">
      <w:pPr>
        <w:rPr>
          <w:lang w:val="de-DE"/>
        </w:rPr>
      </w:pPr>
      <w:r w:rsidRPr="009B1CFD">
        <w:rPr>
          <w:lang w:val="de-DE"/>
        </w:rPr>
        <w:t>Die informelle Arbeitsgruppe befasste sich mit dem Thema Modifizierung des Explosionsschutzkonzeptes des aktuellen ADN.</w:t>
      </w:r>
    </w:p>
    <w:p w:rsidR="00A205F7" w:rsidRPr="009B1CFD" w:rsidRDefault="00A205F7" w:rsidP="00CD5AE3">
      <w:pPr>
        <w:pStyle w:val="H1G"/>
        <w:tabs>
          <w:tab w:val="clear" w:pos="851"/>
        </w:tabs>
        <w:spacing w:before="0" w:after="0" w:line="240" w:lineRule="atLeast"/>
        <w:ind w:left="0" w:right="0" w:firstLine="0"/>
        <w:rPr>
          <w:rFonts w:eastAsia="Calibri"/>
          <w:b w:val="0"/>
          <w:sz w:val="20"/>
          <w:szCs w:val="20"/>
          <w:lang w:val="de-DE"/>
        </w:rPr>
      </w:pPr>
    </w:p>
    <w:p w:rsidR="00A205F7" w:rsidRPr="00E4399C" w:rsidRDefault="00E4399C" w:rsidP="00CD5AE3">
      <w:pPr>
        <w:pStyle w:val="H1G"/>
        <w:tabs>
          <w:tab w:val="clear" w:pos="851"/>
        </w:tabs>
        <w:spacing w:before="0" w:after="0" w:line="240" w:lineRule="atLeast"/>
        <w:ind w:left="0" w:right="0" w:firstLine="0"/>
        <w:rPr>
          <w:rFonts w:eastAsia="Calibri"/>
          <w:lang w:val="de-DE"/>
        </w:rPr>
      </w:pPr>
      <w:r>
        <w:rPr>
          <w:rFonts w:eastAsia="Calibri"/>
          <w:lang w:val="de-DE"/>
        </w:rPr>
        <w:t>Ergebnis</w:t>
      </w:r>
    </w:p>
    <w:p w:rsidR="005249B4" w:rsidRPr="005249B4" w:rsidRDefault="005249B4" w:rsidP="005249B4">
      <w:pPr>
        <w:rPr>
          <w:rFonts w:eastAsia="Calibri"/>
          <w:lang w:val="de-DE"/>
        </w:rPr>
      </w:pPr>
    </w:p>
    <w:p w:rsidR="00A205F7" w:rsidRPr="009B1CFD" w:rsidRDefault="00A205F7" w:rsidP="00B70B3A">
      <w:pPr>
        <w:pStyle w:val="H1G"/>
        <w:tabs>
          <w:tab w:val="clear" w:pos="851"/>
          <w:tab w:val="left" w:pos="3544"/>
        </w:tabs>
        <w:spacing w:before="0" w:after="0" w:line="240" w:lineRule="atLeast"/>
        <w:ind w:left="0" w:right="0" w:firstLine="0"/>
        <w:rPr>
          <w:b w:val="0"/>
          <w:sz w:val="20"/>
          <w:szCs w:val="20"/>
          <w:lang w:val="de-DE"/>
        </w:rPr>
      </w:pPr>
      <w:r w:rsidRPr="009B1CFD">
        <w:rPr>
          <w:rFonts w:eastAsia="Calibri"/>
          <w:b w:val="0"/>
          <w:sz w:val="20"/>
          <w:szCs w:val="20"/>
          <w:lang w:val="de-DE"/>
        </w:rPr>
        <w:t>Basierend auf der Diskussion während der 25.</w:t>
      </w:r>
      <w:r w:rsidR="00CF6BB7">
        <w:rPr>
          <w:rFonts w:eastAsia="Calibri"/>
          <w:b w:val="0"/>
          <w:sz w:val="20"/>
          <w:szCs w:val="20"/>
          <w:lang w:val="de-DE"/>
        </w:rPr>
        <w:t xml:space="preserve"> </w:t>
      </w:r>
      <w:r w:rsidRPr="009B1CFD">
        <w:rPr>
          <w:rFonts w:eastAsia="Calibri"/>
          <w:b w:val="0"/>
          <w:sz w:val="20"/>
          <w:szCs w:val="20"/>
          <w:lang w:val="de-DE"/>
        </w:rPr>
        <w:t>Sitzung des Sicherheitsausschu</w:t>
      </w:r>
      <w:r w:rsidR="00983EFA">
        <w:rPr>
          <w:rFonts w:eastAsia="Calibri"/>
          <w:b w:val="0"/>
          <w:sz w:val="20"/>
          <w:szCs w:val="20"/>
          <w:lang w:val="de-DE"/>
        </w:rPr>
        <w:t>sse</w:t>
      </w:r>
      <w:r w:rsidRPr="009B1CFD">
        <w:rPr>
          <w:rFonts w:eastAsia="Calibri"/>
          <w:b w:val="0"/>
          <w:sz w:val="20"/>
          <w:szCs w:val="20"/>
          <w:lang w:val="de-DE"/>
        </w:rPr>
        <w:t xml:space="preserve">s des ADN (CCNR_ZKR_ADN_WP15_AC2_52de, </w:t>
      </w:r>
      <w:r w:rsidRPr="009B1CFD">
        <w:rPr>
          <w:b w:val="0"/>
          <w:noProof/>
          <w:sz w:val="20"/>
          <w:szCs w:val="20"/>
          <w:lang w:val="de-DE"/>
        </w:rPr>
        <w:t>VI.</w:t>
      </w:r>
      <w:r w:rsidR="00B70B3A">
        <w:rPr>
          <w:b w:val="0"/>
          <w:sz w:val="20"/>
          <w:szCs w:val="20"/>
          <w:lang w:val="de-DE"/>
        </w:rPr>
        <w:t xml:space="preserve"> </w:t>
      </w:r>
      <w:r w:rsidRPr="009B1CFD">
        <w:rPr>
          <w:b w:val="0"/>
          <w:sz w:val="20"/>
          <w:szCs w:val="20"/>
          <w:lang w:val="de-DE"/>
        </w:rPr>
        <w:t>Berichte informeller Arbeitsgruppen</w:t>
      </w:r>
      <w:r w:rsidR="00400302">
        <w:rPr>
          <w:b w:val="0"/>
          <w:sz w:val="20"/>
          <w:szCs w:val="20"/>
          <w:lang w:val="de-DE"/>
        </w:rPr>
        <w:t xml:space="preserve"> (TOP 5) </w:t>
      </w:r>
    </w:p>
    <w:p w:rsidR="00B70B3A" w:rsidRDefault="00A205F7" w:rsidP="00B70B3A">
      <w:pPr>
        <w:tabs>
          <w:tab w:val="left" w:pos="3544"/>
        </w:tabs>
        <w:spacing w:after="200"/>
        <w:contextualSpacing/>
        <w:rPr>
          <w:lang w:val="fr-FR"/>
        </w:rPr>
      </w:pPr>
      <w:r w:rsidRPr="009B1CFD">
        <w:rPr>
          <w:rFonts w:eastAsia="Calibri"/>
          <w:lang w:val="de-DE"/>
        </w:rPr>
        <w:t xml:space="preserve">CCNR_ZKR_ADN_WP15_AC2_52e, </w:t>
      </w:r>
      <w:bookmarkStart w:id="1" w:name="_Toc397351324"/>
      <w:r w:rsidRPr="009B1CFD">
        <w:rPr>
          <w:lang w:val="de-DE"/>
        </w:rPr>
        <w:t>VI.</w:t>
      </w:r>
      <w:r w:rsidRPr="009B1CFD">
        <w:rPr>
          <w:lang w:val="de-DE"/>
        </w:rPr>
        <w:tab/>
      </w:r>
      <w:r w:rsidRPr="009B1CFD">
        <w:rPr>
          <w:lang w:val="en-US"/>
        </w:rPr>
        <w:t>Reports of informal working groups (agenda item 5)</w:t>
      </w:r>
      <w:bookmarkEnd w:id="1"/>
      <w:r w:rsidRPr="009B1CFD">
        <w:rPr>
          <w:rFonts w:eastAsia="Calibri"/>
          <w:lang w:val="en-US"/>
        </w:rPr>
        <w:t xml:space="preserve">, CCNR_ZKR_ADN_WP15_AC2_52fr, </w:t>
      </w:r>
      <w:bookmarkStart w:id="2" w:name="_Toc397356002"/>
      <w:r w:rsidRPr="009B1CFD">
        <w:rPr>
          <w:lang w:val="en-US"/>
        </w:rPr>
        <w:t>VI.</w:t>
      </w:r>
      <w:r w:rsidRPr="009B1CFD">
        <w:rPr>
          <w:lang w:val="en-US"/>
        </w:rPr>
        <w:tab/>
      </w:r>
      <w:r w:rsidRPr="009B1CFD">
        <w:rPr>
          <w:lang w:val="fr-FR"/>
        </w:rPr>
        <w:t>Rapports des groupes de travail informels (point 5 de l'ordre du jour)</w:t>
      </w:r>
      <w:bookmarkEnd w:id="2"/>
    </w:p>
    <w:p w:rsidR="00A205F7" w:rsidRPr="00901651" w:rsidRDefault="00A205F7" w:rsidP="00B70B3A">
      <w:pPr>
        <w:tabs>
          <w:tab w:val="left" w:pos="3544"/>
        </w:tabs>
        <w:spacing w:after="200"/>
        <w:contextualSpacing/>
        <w:rPr>
          <w:rFonts w:eastAsia="Calibri"/>
        </w:rPr>
      </w:pPr>
      <w:r w:rsidRPr="009B1CFD">
        <w:rPr>
          <w:rFonts w:eastAsia="Calibri"/>
          <w:lang w:val="fr-FR"/>
        </w:rPr>
        <w:t xml:space="preserve">CCNR_ZKR_ADN_WP15_AC2_52ru, </w:t>
      </w:r>
      <w:r w:rsidRPr="009B1CFD">
        <w:rPr>
          <w:lang w:val="fr-FR"/>
        </w:rPr>
        <w:t>VI</w:t>
      </w:r>
      <w:r w:rsidRPr="009B1CFD">
        <w:t>.</w:t>
      </w:r>
      <w:r w:rsidRPr="009B1CFD">
        <w:tab/>
        <w:t>Доклады</w:t>
      </w:r>
      <w:r w:rsidRPr="00901651">
        <w:t xml:space="preserve"> </w:t>
      </w:r>
      <w:r w:rsidRPr="009B1CFD">
        <w:t>неофициальных</w:t>
      </w:r>
      <w:r w:rsidRPr="00901651">
        <w:t xml:space="preserve"> </w:t>
      </w:r>
      <w:r w:rsidRPr="009B1CFD">
        <w:t>рабочих</w:t>
      </w:r>
      <w:r w:rsidRPr="00901651">
        <w:t xml:space="preserve"> </w:t>
      </w:r>
      <w:r w:rsidRPr="009B1CFD">
        <w:t>групп</w:t>
      </w:r>
      <w:r w:rsidRPr="00901651">
        <w:t xml:space="preserve"> (</w:t>
      </w:r>
      <w:r w:rsidRPr="009B1CFD">
        <w:t>пункт</w:t>
      </w:r>
      <w:r w:rsidRPr="00901651">
        <w:t xml:space="preserve"> 5 </w:t>
      </w:r>
      <w:r w:rsidRPr="009B1CFD">
        <w:t>повестки</w:t>
      </w:r>
      <w:r w:rsidRPr="00901651">
        <w:t xml:space="preserve"> </w:t>
      </w:r>
      <w:r w:rsidRPr="009B1CFD">
        <w:t>дня</w:t>
      </w:r>
      <w:r w:rsidRPr="00901651">
        <w:t>)</w:t>
      </w:r>
      <w:r w:rsidRPr="00901651">
        <w:rPr>
          <w:rFonts w:eastAsia="Calibri"/>
        </w:rPr>
        <w:t>)</w:t>
      </w:r>
    </w:p>
    <w:p w:rsidR="00A9732D" w:rsidRPr="00901651" w:rsidRDefault="00A9732D" w:rsidP="00CD5AE3">
      <w:pPr>
        <w:spacing w:after="200"/>
        <w:contextualSpacing/>
        <w:rPr>
          <w:rFonts w:eastAsia="Calibri"/>
        </w:rPr>
      </w:pPr>
    </w:p>
    <w:p w:rsidR="00A205F7" w:rsidRPr="009B1CFD" w:rsidRDefault="00A205F7" w:rsidP="002762A3">
      <w:pPr>
        <w:spacing w:after="200"/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>schlägt die informelle Arbeitsgruppe das folgende grundsätzliche Konzept für einen modifizierten, d.h. verbesserten Explosionsschutz auf Binnentankschiffen vor:</w:t>
      </w:r>
    </w:p>
    <w:p w:rsidR="00A205F7" w:rsidRPr="009B1CFD" w:rsidRDefault="00A205F7" w:rsidP="00CD5AE3">
      <w:pPr>
        <w:spacing w:after="200"/>
        <w:contextualSpacing/>
        <w:jc w:val="both"/>
        <w:rPr>
          <w:rFonts w:eastAsia="Calibri"/>
          <w:lang w:val="de-DE"/>
        </w:rPr>
      </w:pPr>
    </w:p>
    <w:p w:rsidR="007D0E13" w:rsidRDefault="00A205F7" w:rsidP="00413936">
      <w:pPr>
        <w:spacing w:after="200"/>
        <w:ind w:left="284" w:hanging="284"/>
        <w:contextualSpacing/>
        <w:jc w:val="both"/>
        <w:rPr>
          <w:rFonts w:eastAsia="Calibri"/>
          <w:b/>
          <w:lang w:val="de-DE"/>
        </w:rPr>
      </w:pPr>
      <w:r w:rsidRPr="009B1CFD">
        <w:rPr>
          <w:rFonts w:eastAsia="Calibri"/>
          <w:b/>
          <w:lang w:val="de-DE"/>
        </w:rPr>
        <w:t>A</w:t>
      </w:r>
      <w:r w:rsidR="000F626A">
        <w:rPr>
          <w:rFonts w:eastAsia="Calibri"/>
          <w:b/>
          <w:lang w:val="de-DE"/>
        </w:rPr>
        <w:t>.</w:t>
      </w:r>
      <w:r w:rsidR="00413936">
        <w:rPr>
          <w:rFonts w:eastAsia="Calibri"/>
          <w:b/>
          <w:lang w:val="de-DE"/>
        </w:rPr>
        <w:tab/>
      </w:r>
      <w:r w:rsidR="001B366A" w:rsidRPr="009B1CFD">
        <w:rPr>
          <w:rFonts w:eastAsia="Calibri"/>
          <w:b/>
          <w:lang w:val="de-DE"/>
        </w:rPr>
        <w:t>Grundsätzliche Sicherheitsanforderungen, die eingehalten sein müssen, damit sich ein Tankschiff in einer landseitig ausgewiesenen Zone 2 (z.B. Hafen</w:t>
      </w:r>
      <w:r w:rsidR="00194C6C" w:rsidRPr="009B1CFD">
        <w:rPr>
          <w:rFonts w:eastAsia="Calibri"/>
          <w:b/>
          <w:lang w:val="de-DE"/>
        </w:rPr>
        <w:t>, Schleuse)</w:t>
      </w:r>
      <w:r w:rsidR="001B366A" w:rsidRPr="009B1CFD">
        <w:rPr>
          <w:rFonts w:eastAsia="Calibri"/>
          <w:b/>
          <w:lang w:val="de-DE"/>
        </w:rPr>
        <w:t xml:space="preserve"> aufhalten kann</w:t>
      </w:r>
    </w:p>
    <w:p w:rsidR="00413936" w:rsidRPr="009B1CFD" w:rsidRDefault="00413936" w:rsidP="00413936">
      <w:pPr>
        <w:spacing w:after="200"/>
        <w:ind w:left="284" w:hanging="284"/>
        <w:contextualSpacing/>
        <w:jc w:val="both"/>
        <w:rPr>
          <w:b/>
          <w:lang w:val="de-DE"/>
        </w:rPr>
      </w:pPr>
    </w:p>
    <w:p w:rsidR="00A205F7" w:rsidRPr="009B1CFD" w:rsidRDefault="00A205F7" w:rsidP="00413936">
      <w:pPr>
        <w:spacing w:after="200"/>
        <w:ind w:left="284"/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b/>
          <w:lang w:val="de-DE"/>
        </w:rPr>
        <w:t>Alle</w:t>
      </w:r>
      <w:r w:rsidRPr="009B1CFD">
        <w:rPr>
          <w:rFonts w:eastAsia="Calibri"/>
          <w:lang w:val="de-DE"/>
        </w:rPr>
        <w:t xml:space="preserve"> Binnentankschiffe mit </w:t>
      </w:r>
      <w:r w:rsidR="00704B6E">
        <w:rPr>
          <w:rFonts w:eastAsia="Calibri"/>
          <w:lang w:val="de-DE"/>
        </w:rPr>
        <w:t xml:space="preserve">ADN </w:t>
      </w:r>
      <w:r w:rsidRPr="009B1CFD">
        <w:rPr>
          <w:rFonts w:eastAsia="Calibri"/>
          <w:lang w:val="de-DE"/>
        </w:rPr>
        <w:t>Zulassungszeugnis müssen folgende Anforderungen erfüllen:</w:t>
      </w:r>
    </w:p>
    <w:p w:rsidR="00A205F7" w:rsidRPr="009B1CFD" w:rsidRDefault="00A205F7" w:rsidP="00CF6BB7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60"/>
        <w:ind w:left="567" w:hanging="283"/>
        <w:rPr>
          <w:rFonts w:eastAsia="Calibri"/>
          <w:i/>
          <w:lang w:val="de-DE"/>
        </w:rPr>
      </w:pPr>
      <w:r w:rsidRPr="009B1CFD">
        <w:rPr>
          <w:rFonts w:eastAsia="Calibri"/>
          <w:lang w:val="de-DE"/>
        </w:rPr>
        <w:t xml:space="preserve">Es dürfen keine Oberflächentemperaturen über 200°C auftreten. </w:t>
      </w:r>
    </w:p>
    <w:p w:rsidR="00B70B3A" w:rsidRDefault="00A205F7" w:rsidP="00CF6BB7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Die elektrischen </w:t>
      </w:r>
      <w:r w:rsidR="004518F0" w:rsidRPr="009B1CFD">
        <w:rPr>
          <w:rFonts w:eastAsia="Calibri"/>
          <w:lang w:val="de-DE"/>
        </w:rPr>
        <w:t xml:space="preserve">Betriebsmittel </w:t>
      </w:r>
      <w:r w:rsidRPr="009B1CFD">
        <w:rPr>
          <w:rFonts w:eastAsia="Calibri"/>
          <w:lang w:val="de-DE"/>
        </w:rPr>
        <w:t>müssen dem in 1.2.1 des ADN definierten Typ‚</w:t>
      </w:r>
      <w:r w:rsidR="00CF6BB7">
        <w:rPr>
          <w:rFonts w:eastAsia="Calibri"/>
          <w:lang w:val="de-DE"/>
        </w:rPr>
        <w:t xml:space="preserve"> </w:t>
      </w:r>
      <w:r w:rsidRPr="009B1CFD">
        <w:rPr>
          <w:rFonts w:eastAsia="Calibri"/>
          <w:lang w:val="de-DE"/>
        </w:rPr>
        <w:t>begrenzte Explosionsgefahr‘ (vergleichbar Zone 2) entsprechen, wobei die Oberf</w:t>
      </w:r>
      <w:r w:rsidR="00901651">
        <w:rPr>
          <w:rFonts w:eastAsia="Calibri"/>
          <w:lang w:val="de-DE"/>
        </w:rPr>
        <w:t>l</w:t>
      </w:r>
      <w:r w:rsidRPr="009B1CFD">
        <w:rPr>
          <w:rFonts w:eastAsia="Calibri"/>
          <w:lang w:val="de-DE"/>
        </w:rPr>
        <w:t xml:space="preserve">ächentemperatur 200°C nicht überschreiten darf. </w:t>
      </w:r>
    </w:p>
    <w:p w:rsidR="00B70B3A" w:rsidRDefault="00B70B3A">
      <w:pPr>
        <w:suppressAutoHyphens w:val="0"/>
        <w:spacing w:line="240" w:lineRule="auto"/>
        <w:rPr>
          <w:rFonts w:eastAsia="Calibri"/>
          <w:lang w:val="de-DE"/>
        </w:rPr>
      </w:pPr>
      <w:r>
        <w:rPr>
          <w:rFonts w:eastAsia="Calibri"/>
          <w:lang w:val="de-DE"/>
        </w:rPr>
        <w:br w:type="page"/>
      </w:r>
    </w:p>
    <w:p w:rsidR="00A205F7" w:rsidRPr="009B1CFD" w:rsidRDefault="00A205F7" w:rsidP="00CD5AE3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/>
        <w:ind w:left="567" w:hanging="283"/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lastRenderedPageBreak/>
        <w:t>Wenn sich das Tankschiff in einer/angrenzend an eine landseit</w:t>
      </w:r>
      <w:r w:rsidR="00901651">
        <w:rPr>
          <w:rFonts w:eastAsia="Calibri"/>
          <w:lang w:val="de-DE"/>
        </w:rPr>
        <w:t>i</w:t>
      </w:r>
      <w:r w:rsidRPr="009B1CFD">
        <w:rPr>
          <w:rFonts w:eastAsia="Calibri"/>
          <w:lang w:val="de-DE"/>
        </w:rPr>
        <w:t xml:space="preserve">g ausgewiesenen Zone 2 aufhält und an Bord befindliche </w:t>
      </w:r>
      <w:r w:rsidR="004518F0" w:rsidRPr="009B1CFD">
        <w:rPr>
          <w:rFonts w:eastAsia="Calibri"/>
          <w:lang w:val="de-DE"/>
        </w:rPr>
        <w:t xml:space="preserve">Betriebsmittel </w:t>
      </w:r>
      <w:r w:rsidRPr="009B1CFD">
        <w:rPr>
          <w:rFonts w:eastAsia="Calibri"/>
          <w:lang w:val="de-DE"/>
        </w:rPr>
        <w:t xml:space="preserve">die unter </w:t>
      </w:r>
      <w:r w:rsidR="007D0E13" w:rsidRPr="009B1CFD">
        <w:rPr>
          <w:rFonts w:eastAsia="Calibri"/>
          <w:lang w:val="de-DE"/>
        </w:rPr>
        <w:t xml:space="preserve">1. und </w:t>
      </w:r>
      <w:r w:rsidRPr="009B1CFD">
        <w:rPr>
          <w:rFonts w:eastAsia="Calibri"/>
          <w:lang w:val="de-DE"/>
        </w:rPr>
        <w:t xml:space="preserve">2. genannten Forderungen nicht erfüllen, </w:t>
      </w:r>
    </w:p>
    <w:p w:rsidR="00A205F7" w:rsidRPr="009B1CFD" w:rsidRDefault="00A205F7" w:rsidP="00CD5AE3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/>
        <w:ind w:left="851" w:hanging="284"/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müssen diese </w:t>
      </w:r>
      <w:r w:rsidR="004518F0" w:rsidRPr="009B1CFD">
        <w:rPr>
          <w:rFonts w:eastAsia="Calibri"/>
          <w:lang w:val="de-DE"/>
        </w:rPr>
        <w:t xml:space="preserve">Betriebsmittel </w:t>
      </w:r>
      <w:r w:rsidRPr="009B1CFD">
        <w:rPr>
          <w:rFonts w:eastAsia="Calibri"/>
          <w:lang w:val="de-DE"/>
        </w:rPr>
        <w:t xml:space="preserve">abgeschaltet </w:t>
      </w:r>
      <w:r w:rsidR="00A9732D" w:rsidRPr="009B1CFD">
        <w:rPr>
          <w:rFonts w:eastAsia="Calibri"/>
          <w:lang w:val="de-DE"/>
        </w:rPr>
        <w:t xml:space="preserve">sein </w:t>
      </w:r>
      <w:r w:rsidRPr="009B1CFD">
        <w:rPr>
          <w:rFonts w:eastAsia="Calibri"/>
          <w:lang w:val="de-DE"/>
        </w:rPr>
        <w:t xml:space="preserve">oder </w:t>
      </w:r>
    </w:p>
    <w:p w:rsidR="00A205F7" w:rsidRPr="009B1CFD" w:rsidRDefault="00A205F7" w:rsidP="00CD5AE3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/>
        <w:ind w:left="851" w:hanging="284"/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muss in den Räumen, in denen sich diese </w:t>
      </w:r>
      <w:r w:rsidR="004518F0" w:rsidRPr="009B1CFD">
        <w:rPr>
          <w:rFonts w:eastAsia="Calibri"/>
          <w:lang w:val="de-DE"/>
        </w:rPr>
        <w:t>Betriebsmittel</w:t>
      </w:r>
      <w:r w:rsidRPr="009B1CFD">
        <w:rPr>
          <w:rFonts w:eastAsia="Calibri"/>
          <w:lang w:val="de-DE"/>
        </w:rPr>
        <w:t xml:space="preserve"> befinden, ein Überdruck von mindestens 0,1</w:t>
      </w:r>
      <w:r w:rsidR="00B70B3A">
        <w:rPr>
          <w:rFonts w:eastAsia="Calibri"/>
          <w:lang w:val="de-DE"/>
        </w:rPr>
        <w:t> </w:t>
      </w:r>
      <w:r w:rsidRPr="009B1CFD">
        <w:rPr>
          <w:rFonts w:eastAsia="Calibri"/>
          <w:lang w:val="de-DE"/>
        </w:rPr>
        <w:t xml:space="preserve">kPa bei gleichzeitiger kontinuierlicher Überwachung der Konzentration an entzündbaren Substanzen (wie schon jetzt in </w:t>
      </w:r>
      <w:r w:rsidRPr="009B1CFD">
        <w:rPr>
          <w:b/>
          <w:bCs/>
          <w:snapToGrid/>
          <w:lang w:val="de-DE" w:eastAsia="de-DE"/>
        </w:rPr>
        <w:t>9.3.</w:t>
      </w:r>
      <w:r w:rsidR="00492D62" w:rsidRPr="009B1CFD">
        <w:rPr>
          <w:b/>
          <w:bCs/>
          <w:snapToGrid/>
          <w:lang w:val="de-DE" w:eastAsia="de-DE"/>
        </w:rPr>
        <w:t>x</w:t>
      </w:r>
      <w:r w:rsidRPr="009B1CFD">
        <w:rPr>
          <w:b/>
          <w:bCs/>
          <w:snapToGrid/>
          <w:lang w:val="de-DE" w:eastAsia="de-DE"/>
        </w:rPr>
        <w:t xml:space="preserve">.52.3 </w:t>
      </w:r>
      <w:r w:rsidRPr="009B1CFD">
        <w:rPr>
          <w:bCs/>
          <w:snapToGrid/>
          <w:lang w:val="de-DE" w:eastAsia="de-DE"/>
        </w:rPr>
        <w:t>gefordert)</w:t>
      </w:r>
      <w:r w:rsidRPr="009B1CFD">
        <w:rPr>
          <w:rFonts w:eastAsia="Calibri"/>
          <w:lang w:val="de-DE"/>
        </w:rPr>
        <w:t xml:space="preserve"> gewährleistet sein. Die Gasspüranlage muss mit n-Hexan kalibriert werden. Der Grenzwert für die Abschaltung der Ventilatoren</w:t>
      </w:r>
      <w:r w:rsidR="000E261A" w:rsidRPr="009B1CFD">
        <w:rPr>
          <w:rFonts w:eastAsia="Calibri"/>
          <w:lang w:val="de-DE"/>
        </w:rPr>
        <w:t xml:space="preserve"> etc. (siehe </w:t>
      </w:r>
      <w:r w:rsidR="000E261A" w:rsidRPr="009B1CFD">
        <w:rPr>
          <w:b/>
          <w:bCs/>
          <w:lang w:val="de-DE" w:eastAsia="de-DE"/>
        </w:rPr>
        <w:t>9.3.</w:t>
      </w:r>
      <w:r w:rsidR="00492D62" w:rsidRPr="009B1CFD">
        <w:rPr>
          <w:b/>
          <w:bCs/>
          <w:lang w:val="de-DE" w:eastAsia="de-DE"/>
        </w:rPr>
        <w:t>x</w:t>
      </w:r>
      <w:r w:rsidR="000E261A" w:rsidRPr="009B1CFD">
        <w:rPr>
          <w:b/>
          <w:bCs/>
          <w:lang w:val="de-DE" w:eastAsia="de-DE"/>
        </w:rPr>
        <w:t>.52.3)</w:t>
      </w:r>
      <w:r w:rsidRPr="009B1CFD">
        <w:rPr>
          <w:rFonts w:eastAsia="Calibri"/>
          <w:lang w:val="de-DE"/>
        </w:rPr>
        <w:t xml:space="preserve"> liegt bei 20% der UEG von n-Hexan.</w:t>
      </w:r>
    </w:p>
    <w:p w:rsidR="00A205F7" w:rsidRPr="009B1CFD" w:rsidRDefault="00A205F7" w:rsidP="00CD5AE3">
      <w:pPr>
        <w:suppressAutoHyphens w:val="0"/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val="de-DE"/>
        </w:rPr>
      </w:pPr>
    </w:p>
    <w:p w:rsidR="007D0E13" w:rsidRPr="009B1CFD" w:rsidRDefault="001B366A" w:rsidP="00413936">
      <w:pPr>
        <w:ind w:left="284"/>
        <w:jc w:val="both"/>
        <w:rPr>
          <w:bCs/>
          <w:lang w:val="de-DE" w:eastAsia="de-DE"/>
        </w:rPr>
      </w:pPr>
      <w:r w:rsidRPr="009B1CFD">
        <w:rPr>
          <w:bCs/>
          <w:lang w:val="de-DE" w:eastAsia="de-DE"/>
        </w:rPr>
        <w:t>Weitere Gefahren, die von nicht-elektrischen Betriebsmitteln ausgehen können (z. B. mechanische Funken)</w:t>
      </w:r>
      <w:r w:rsidR="00901651">
        <w:rPr>
          <w:bCs/>
          <w:lang w:val="de-DE" w:eastAsia="de-DE"/>
        </w:rPr>
        <w:t>,</w:t>
      </w:r>
      <w:r w:rsidRPr="009B1CFD">
        <w:rPr>
          <w:bCs/>
          <w:lang w:val="de-DE" w:eastAsia="de-DE"/>
        </w:rPr>
        <w:t xml:space="preserve"> werden als gering </w:t>
      </w:r>
      <w:r w:rsidR="007D0E13" w:rsidRPr="009B1CFD">
        <w:rPr>
          <w:bCs/>
          <w:lang w:val="de-DE" w:eastAsia="de-DE"/>
        </w:rPr>
        <w:t>erachtet</w:t>
      </w:r>
      <w:r w:rsidRPr="009B1CFD">
        <w:rPr>
          <w:bCs/>
          <w:lang w:val="de-DE" w:eastAsia="de-DE"/>
        </w:rPr>
        <w:t>, soda</w:t>
      </w:r>
      <w:r w:rsidR="00492D62" w:rsidRPr="009B1CFD">
        <w:rPr>
          <w:bCs/>
          <w:lang w:val="de-DE" w:eastAsia="de-DE"/>
        </w:rPr>
        <w:t>ss</w:t>
      </w:r>
      <w:r w:rsidRPr="009B1CFD">
        <w:rPr>
          <w:bCs/>
          <w:lang w:val="de-DE" w:eastAsia="de-DE"/>
        </w:rPr>
        <w:t xml:space="preserve"> </w:t>
      </w:r>
      <w:r w:rsidR="00502BC6" w:rsidRPr="009B1CFD">
        <w:rPr>
          <w:bCs/>
          <w:lang w:val="de-DE" w:eastAsia="de-DE"/>
        </w:rPr>
        <w:t xml:space="preserve">sie nicht in die grundsätzlichen </w:t>
      </w:r>
      <w:r w:rsidRPr="009B1CFD">
        <w:rPr>
          <w:bCs/>
          <w:lang w:val="de-DE" w:eastAsia="de-DE"/>
        </w:rPr>
        <w:t>Sicherheitsmaßnahm</w:t>
      </w:r>
      <w:r w:rsidR="007D0E13" w:rsidRPr="009B1CFD">
        <w:rPr>
          <w:bCs/>
          <w:lang w:val="de-DE" w:eastAsia="de-DE"/>
        </w:rPr>
        <w:t xml:space="preserve">en </w:t>
      </w:r>
      <w:r w:rsidR="00492D62" w:rsidRPr="009B1CFD">
        <w:rPr>
          <w:bCs/>
          <w:lang w:val="de-DE" w:eastAsia="de-DE"/>
        </w:rPr>
        <w:t>berücksichtigt</w:t>
      </w:r>
      <w:r w:rsidR="00502BC6" w:rsidRPr="009B1CFD">
        <w:rPr>
          <w:bCs/>
          <w:lang w:val="de-DE" w:eastAsia="de-DE"/>
        </w:rPr>
        <w:t xml:space="preserve"> sind. </w:t>
      </w:r>
    </w:p>
    <w:p w:rsidR="007D0E13" w:rsidRPr="009B1CFD" w:rsidRDefault="007D0E13" w:rsidP="00413936">
      <w:pPr>
        <w:ind w:left="284"/>
        <w:jc w:val="both"/>
        <w:rPr>
          <w:bCs/>
          <w:lang w:val="de-DE" w:eastAsia="de-DE"/>
        </w:rPr>
      </w:pPr>
    </w:p>
    <w:p w:rsidR="007D0E13" w:rsidRPr="009B1CFD" w:rsidRDefault="001B366A" w:rsidP="00413936">
      <w:pPr>
        <w:ind w:left="284"/>
        <w:jc w:val="both"/>
        <w:rPr>
          <w:bCs/>
          <w:lang w:val="de-DE" w:eastAsia="de-DE"/>
        </w:rPr>
      </w:pPr>
      <w:r w:rsidRPr="009B1CFD">
        <w:rPr>
          <w:bCs/>
          <w:lang w:val="de-DE" w:eastAsia="de-DE"/>
        </w:rPr>
        <w:t xml:space="preserve">Gefahren, die während der Reise durch explosionsfähige Dampf/Luft-Gemische </w:t>
      </w:r>
      <w:r w:rsidR="00502BC6" w:rsidRPr="009B1CFD">
        <w:rPr>
          <w:bCs/>
          <w:lang w:val="de-DE" w:eastAsia="de-DE"/>
        </w:rPr>
        <w:t xml:space="preserve">von außerhalb des Tankschiffes entstehen könnten, werden ebenfalls als gering erachtet und deshalb nicht berücksichtigt. </w:t>
      </w:r>
      <w:r w:rsidRPr="009B1CFD">
        <w:rPr>
          <w:bCs/>
          <w:lang w:val="de-DE" w:eastAsia="de-DE"/>
        </w:rPr>
        <w:t xml:space="preserve"> </w:t>
      </w:r>
    </w:p>
    <w:p w:rsidR="00A205F7" w:rsidRPr="009B1CFD" w:rsidRDefault="00A205F7" w:rsidP="00CD5AE3">
      <w:pPr>
        <w:suppressAutoHyphens w:val="0"/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val="de-DE"/>
        </w:rPr>
      </w:pPr>
    </w:p>
    <w:p w:rsidR="00DD1637" w:rsidRDefault="00A205F7" w:rsidP="00CD5AE3">
      <w:pPr>
        <w:spacing w:after="200"/>
        <w:ind w:left="284" w:hanging="284"/>
        <w:contextualSpacing/>
        <w:jc w:val="both"/>
        <w:rPr>
          <w:rFonts w:eastAsia="Calibri"/>
          <w:b/>
          <w:lang w:val="de-DE"/>
        </w:rPr>
      </w:pPr>
      <w:r w:rsidRPr="009B1CFD">
        <w:rPr>
          <w:rFonts w:eastAsia="Calibri"/>
          <w:b/>
          <w:lang w:val="de-DE"/>
        </w:rPr>
        <w:t>B</w:t>
      </w:r>
      <w:r w:rsidR="000F626A">
        <w:rPr>
          <w:rFonts w:eastAsia="Calibri"/>
          <w:b/>
          <w:lang w:val="de-DE"/>
        </w:rPr>
        <w:t>.</w:t>
      </w:r>
      <w:r w:rsidR="00413936">
        <w:rPr>
          <w:rFonts w:eastAsia="Calibri"/>
          <w:b/>
          <w:lang w:val="de-DE"/>
        </w:rPr>
        <w:tab/>
      </w:r>
      <w:r w:rsidR="00502BC6" w:rsidRPr="009B1CFD">
        <w:rPr>
          <w:rFonts w:eastAsia="Calibri"/>
          <w:b/>
          <w:lang w:val="de-DE"/>
        </w:rPr>
        <w:t xml:space="preserve">Zusätzliche Maßnahmen wenn die Schiffsstoffliste </w:t>
      </w:r>
      <w:r w:rsidR="00DD1637" w:rsidRPr="009B1CFD">
        <w:rPr>
          <w:rFonts w:eastAsia="Calibri"/>
          <w:b/>
          <w:lang w:val="de-DE"/>
        </w:rPr>
        <w:t>Produkte enthält für die</w:t>
      </w:r>
      <w:r w:rsidR="006069A5">
        <w:rPr>
          <w:rFonts w:eastAsia="Calibri"/>
          <w:b/>
          <w:lang w:val="de-DE"/>
        </w:rPr>
        <w:t xml:space="preserve"> Explosionsschutz gefordert ist</w:t>
      </w:r>
    </w:p>
    <w:p w:rsidR="00413936" w:rsidRPr="009B1CFD" w:rsidRDefault="00413936" w:rsidP="00CD5AE3">
      <w:pPr>
        <w:spacing w:after="200"/>
        <w:ind w:left="284" w:hanging="284"/>
        <w:contextualSpacing/>
        <w:jc w:val="both"/>
        <w:rPr>
          <w:bCs/>
          <w:lang w:val="de-DE" w:eastAsia="de-DE"/>
        </w:rPr>
      </w:pPr>
    </w:p>
    <w:p w:rsidR="006A1526" w:rsidRPr="009B1CFD" w:rsidRDefault="00A205F7">
      <w:pPr>
        <w:spacing w:after="200"/>
        <w:ind w:left="284"/>
        <w:contextualSpacing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Für Binnentankschiffe deren Schiffsstoffliste Produkte enthält, für die Explosionsschutz erforderlich ist, werden </w:t>
      </w:r>
      <w:r w:rsidRPr="009B1CFD">
        <w:rPr>
          <w:rFonts w:eastAsia="Calibri"/>
          <w:b/>
          <w:lang w:val="de-DE"/>
        </w:rPr>
        <w:t>zusätzlich zu A</w:t>
      </w:r>
      <w:r w:rsidRPr="009B1CFD">
        <w:rPr>
          <w:rFonts w:eastAsia="Calibri"/>
          <w:lang w:val="de-DE"/>
        </w:rPr>
        <w:t xml:space="preserve"> folgende Änderungen vorgeschlagen:</w:t>
      </w:r>
    </w:p>
    <w:p w:rsidR="00A205F7" w:rsidRPr="009B1CFD" w:rsidRDefault="00A205F7" w:rsidP="00400302">
      <w:pPr>
        <w:numPr>
          <w:ilvl w:val="0"/>
          <w:numId w:val="21"/>
        </w:numPr>
        <w:tabs>
          <w:tab w:val="left" w:pos="284"/>
        </w:tabs>
        <w:spacing w:before="60"/>
        <w:ind w:hanging="357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>Das geltende Zonenkonzept soll modifiziert werden, wie dem Sicherheitsausschuss mit dem Inf.papier WP15-AC2-22-inf23g vorgeschlagen wurde:</w:t>
      </w:r>
    </w:p>
    <w:p w:rsidR="00A205F7" w:rsidRPr="009B1CFD" w:rsidRDefault="00A205F7" w:rsidP="00400302">
      <w:pPr>
        <w:numPr>
          <w:ilvl w:val="0"/>
          <w:numId w:val="20"/>
        </w:numPr>
        <w:tabs>
          <w:tab w:val="left" w:pos="284"/>
        </w:tabs>
        <w:spacing w:before="60"/>
        <w:ind w:hanging="357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>Ausweisen einer Zone 2</w:t>
      </w:r>
      <w:r w:rsidR="00492D62" w:rsidRPr="009B1CFD">
        <w:rPr>
          <w:rFonts w:eastAsia="Calibri"/>
          <w:lang w:val="de-DE"/>
        </w:rPr>
        <w:t xml:space="preserve"> an Bord des Tankschiffes</w:t>
      </w:r>
    </w:p>
    <w:p w:rsidR="00A205F7" w:rsidRPr="009B1CFD" w:rsidRDefault="00A205F7" w:rsidP="00400302">
      <w:pPr>
        <w:numPr>
          <w:ilvl w:val="0"/>
          <w:numId w:val="20"/>
        </w:numPr>
        <w:tabs>
          <w:tab w:val="left" w:pos="284"/>
        </w:tabs>
        <w:spacing w:before="60"/>
        <w:ind w:hanging="357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Ausweiten der Explosionsschutzanforderungen </w:t>
      </w:r>
      <w:r w:rsidR="00502BC6" w:rsidRPr="009B1CFD">
        <w:rPr>
          <w:rFonts w:eastAsia="Calibri"/>
          <w:lang w:val="de-DE"/>
        </w:rPr>
        <w:t xml:space="preserve">in den an Bord ausgewiesenen Zonen </w:t>
      </w:r>
      <w:r w:rsidRPr="009B1CFD">
        <w:rPr>
          <w:rFonts w:eastAsia="Calibri"/>
          <w:lang w:val="de-DE"/>
        </w:rPr>
        <w:t>auf nicht-elektrische Betriebsmittel.</w:t>
      </w:r>
    </w:p>
    <w:p w:rsidR="00A205F7" w:rsidRPr="009B1CFD" w:rsidRDefault="00A205F7" w:rsidP="00400302">
      <w:pPr>
        <w:numPr>
          <w:ilvl w:val="0"/>
          <w:numId w:val="20"/>
        </w:numPr>
        <w:tabs>
          <w:tab w:val="left" w:pos="284"/>
        </w:tabs>
        <w:spacing w:before="60"/>
        <w:ind w:hanging="357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Die in der jeweiligen </w:t>
      </w:r>
      <w:r w:rsidR="00502BC6" w:rsidRPr="009B1CFD">
        <w:rPr>
          <w:rFonts w:eastAsia="Calibri"/>
          <w:lang w:val="de-DE"/>
        </w:rPr>
        <w:t xml:space="preserve">an Bord des Schiffes ausgewiesenen </w:t>
      </w:r>
      <w:r w:rsidRPr="009B1CFD">
        <w:rPr>
          <w:rFonts w:eastAsia="Calibri"/>
          <w:lang w:val="de-DE"/>
        </w:rPr>
        <w:t xml:space="preserve">Zone betriebenen elektrischen und nicht-elektrischen </w:t>
      </w:r>
      <w:r w:rsidR="004518F0" w:rsidRPr="009B1CFD">
        <w:rPr>
          <w:rFonts w:eastAsia="Calibri"/>
          <w:lang w:val="de-DE"/>
        </w:rPr>
        <w:t xml:space="preserve">Betriebsmittel </w:t>
      </w:r>
      <w:r w:rsidRPr="009B1CFD">
        <w:rPr>
          <w:rFonts w:eastAsia="Calibri"/>
          <w:lang w:val="de-DE"/>
        </w:rPr>
        <w:t>müssen für den Einsatz in dieser Zone geeignet sein.</w:t>
      </w:r>
    </w:p>
    <w:p w:rsidR="00A205F7" w:rsidRPr="009B1CFD" w:rsidRDefault="00A205F7" w:rsidP="00400302">
      <w:pPr>
        <w:numPr>
          <w:ilvl w:val="0"/>
          <w:numId w:val="20"/>
        </w:numPr>
        <w:tabs>
          <w:tab w:val="left" w:pos="284"/>
        </w:tabs>
        <w:spacing w:before="60"/>
        <w:ind w:hanging="357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>Zusätzliche, Maßnahmen, um</w:t>
      </w:r>
      <w:r w:rsidRPr="009B1CFD">
        <w:rPr>
          <w:lang w:val="de-DE"/>
        </w:rPr>
        <w:t xml:space="preserve"> </w:t>
      </w:r>
      <w:r w:rsidR="000E717C" w:rsidRPr="009B1CFD">
        <w:rPr>
          <w:lang w:val="de-DE"/>
        </w:rPr>
        <w:t xml:space="preserve">zu </w:t>
      </w:r>
      <w:r w:rsidR="00901651">
        <w:rPr>
          <w:lang w:val="de-DE"/>
        </w:rPr>
        <w:t>v</w:t>
      </w:r>
      <w:r w:rsidR="000E717C" w:rsidRPr="009B1CFD">
        <w:rPr>
          <w:lang w:val="de-DE"/>
        </w:rPr>
        <w:t xml:space="preserve">erhindern, dass sich </w:t>
      </w:r>
      <w:r w:rsidRPr="009B1CFD">
        <w:rPr>
          <w:lang w:val="de-DE"/>
        </w:rPr>
        <w:t>explosionsfähige</w:t>
      </w:r>
      <w:r w:rsidR="000E717C" w:rsidRPr="009B1CFD">
        <w:rPr>
          <w:lang w:val="de-DE"/>
        </w:rPr>
        <w:t xml:space="preserve"> Dampf/Luft-Gemische</w:t>
      </w:r>
      <w:r w:rsidRPr="009B1CFD">
        <w:rPr>
          <w:lang w:val="de-DE"/>
        </w:rPr>
        <w:t xml:space="preserve"> </w:t>
      </w:r>
      <w:r w:rsidR="000E717C" w:rsidRPr="009B1CFD">
        <w:rPr>
          <w:lang w:val="de-DE"/>
        </w:rPr>
        <w:t xml:space="preserve">die von der Ladung herrühren, </w:t>
      </w:r>
      <w:r w:rsidRPr="009B1CFD">
        <w:rPr>
          <w:lang w:val="de-DE"/>
        </w:rPr>
        <w:t xml:space="preserve">in </w:t>
      </w:r>
      <w:r w:rsidR="000E717C" w:rsidRPr="009B1CFD">
        <w:rPr>
          <w:lang w:val="de-DE"/>
        </w:rPr>
        <w:t xml:space="preserve">Bereiche </w:t>
      </w:r>
      <w:r w:rsidRPr="009B1CFD">
        <w:rPr>
          <w:lang w:val="de-DE"/>
        </w:rPr>
        <w:t xml:space="preserve">außerhalb des Bereichs der Ladung </w:t>
      </w:r>
      <w:r w:rsidR="000E717C" w:rsidRPr="009B1CFD">
        <w:rPr>
          <w:lang w:val="de-DE"/>
        </w:rPr>
        <w:t>(Wohnung, Steuerhaus etc.) ausbreiten</w:t>
      </w:r>
      <w:r w:rsidRPr="009B1CFD">
        <w:rPr>
          <w:lang w:val="de-DE"/>
        </w:rPr>
        <w:t>.</w:t>
      </w:r>
    </w:p>
    <w:p w:rsidR="00A205F7" w:rsidRPr="009B1CFD" w:rsidRDefault="00A205F7" w:rsidP="00400302">
      <w:pPr>
        <w:numPr>
          <w:ilvl w:val="0"/>
          <w:numId w:val="21"/>
        </w:numPr>
        <w:tabs>
          <w:tab w:val="left" w:pos="284"/>
        </w:tabs>
        <w:spacing w:before="60"/>
        <w:ind w:hanging="357"/>
        <w:jc w:val="both"/>
        <w:rPr>
          <w:lang w:val="de-DE"/>
        </w:rPr>
      </w:pPr>
      <w:r w:rsidRPr="009B1CFD">
        <w:rPr>
          <w:lang w:val="de-DE"/>
        </w:rPr>
        <w:t>Wenn die Schiffsstoffliste Produkte der Temperaturklasse T4, T5 oder T6 enthält, ist die dazugehörige maximale Oberflächentemperatur einzuhalten.</w:t>
      </w:r>
    </w:p>
    <w:p w:rsidR="00A205F7" w:rsidRPr="009B1CFD" w:rsidRDefault="00A205F7" w:rsidP="00400302">
      <w:pPr>
        <w:numPr>
          <w:ilvl w:val="0"/>
          <w:numId w:val="21"/>
        </w:numPr>
        <w:tabs>
          <w:tab w:val="left" w:pos="284"/>
        </w:tabs>
        <w:spacing w:before="60"/>
        <w:ind w:hanging="357"/>
        <w:jc w:val="both"/>
        <w:rPr>
          <w:rFonts w:eastAsia="Calibri"/>
          <w:lang w:val="de-DE"/>
        </w:rPr>
      </w:pPr>
      <w:r w:rsidRPr="009B1CFD">
        <w:rPr>
          <w:lang w:val="de-DE"/>
        </w:rPr>
        <w:t>Autonome Schutzsysteme (Flammendurchschlagsicherungen, Hochgeschwindigkeitsventile etc.) sind entsprechend den Angaben in Tabelle C auszuwählen.</w:t>
      </w:r>
    </w:p>
    <w:p w:rsidR="00A205F7" w:rsidRPr="009B1CFD" w:rsidRDefault="00A205F7" w:rsidP="00CD5AE3">
      <w:pPr>
        <w:tabs>
          <w:tab w:val="left" w:pos="284"/>
        </w:tabs>
        <w:jc w:val="both"/>
        <w:rPr>
          <w:lang w:val="de-DE"/>
        </w:rPr>
      </w:pPr>
    </w:p>
    <w:p w:rsidR="00A205F7" w:rsidRDefault="00413936" w:rsidP="00CD5AE3">
      <w:pPr>
        <w:tabs>
          <w:tab w:val="left" w:pos="284"/>
        </w:tabs>
        <w:jc w:val="both"/>
        <w:rPr>
          <w:b/>
          <w:lang w:val="de-DE"/>
        </w:rPr>
      </w:pPr>
      <w:r>
        <w:rPr>
          <w:b/>
          <w:lang w:val="de-DE"/>
        </w:rPr>
        <w:t>C</w:t>
      </w:r>
      <w:r w:rsidR="000F626A">
        <w:rPr>
          <w:b/>
          <w:lang w:val="de-DE"/>
        </w:rPr>
        <w:t>.</w:t>
      </w:r>
      <w:r>
        <w:rPr>
          <w:b/>
          <w:lang w:val="de-DE"/>
        </w:rPr>
        <w:tab/>
        <w:t>Tabelle C</w:t>
      </w:r>
    </w:p>
    <w:p w:rsidR="00413936" w:rsidRPr="009B1CFD" w:rsidRDefault="00413936" w:rsidP="00CD5AE3">
      <w:pPr>
        <w:tabs>
          <w:tab w:val="left" w:pos="284"/>
        </w:tabs>
        <w:jc w:val="both"/>
        <w:rPr>
          <w:b/>
          <w:lang w:val="de-DE"/>
        </w:rPr>
      </w:pPr>
    </w:p>
    <w:p w:rsidR="00A205F7" w:rsidRPr="009B1CFD" w:rsidRDefault="00A205F7" w:rsidP="00CD5AE3">
      <w:pPr>
        <w:tabs>
          <w:tab w:val="left" w:pos="284"/>
        </w:tabs>
        <w:ind w:left="284"/>
        <w:jc w:val="both"/>
        <w:rPr>
          <w:lang w:val="de-DE"/>
        </w:rPr>
      </w:pPr>
      <w:r w:rsidRPr="009B1CFD">
        <w:rPr>
          <w:lang w:val="de-DE"/>
        </w:rPr>
        <w:t xml:space="preserve">Die Tabelle C soll grundsätzlich unverändert beibehalten werden, da sie stoffspezifische Einträge enthält. </w:t>
      </w:r>
    </w:p>
    <w:p w:rsidR="00A205F7" w:rsidRPr="009B1CFD" w:rsidRDefault="00A205F7" w:rsidP="00CD5AE3">
      <w:pPr>
        <w:tabs>
          <w:tab w:val="left" w:pos="284"/>
        </w:tabs>
        <w:ind w:left="284"/>
        <w:jc w:val="both"/>
        <w:rPr>
          <w:lang w:val="de-DE"/>
        </w:rPr>
      </w:pPr>
      <w:r w:rsidRPr="009B1CFD">
        <w:rPr>
          <w:lang w:val="de-DE"/>
        </w:rPr>
        <w:t xml:space="preserve">Den Einträgen T1 und T2 in der Spalte 15 ‚Temperaturklasse‘ soll eine Fußnote angefügt werden, die besagt, dass diese Temperaturklasse nicht zur Anwendung kommen kann, sondern entsprechend Punkt </w:t>
      </w:r>
      <w:r w:rsidRPr="004E656C">
        <w:rPr>
          <w:b/>
          <w:lang w:val="de-DE"/>
        </w:rPr>
        <w:t>A</w:t>
      </w:r>
      <w:r w:rsidRPr="009B1CFD">
        <w:rPr>
          <w:lang w:val="de-DE"/>
        </w:rPr>
        <w:t xml:space="preserve"> eine Oberflächentemperatur von max. 200°C einzuhalten ist.</w:t>
      </w:r>
    </w:p>
    <w:p w:rsidR="00A205F7" w:rsidRPr="009B1CFD" w:rsidRDefault="00A205F7" w:rsidP="00CD5AE3">
      <w:pPr>
        <w:tabs>
          <w:tab w:val="left" w:pos="284"/>
        </w:tabs>
        <w:jc w:val="both"/>
        <w:rPr>
          <w:lang w:val="de-DE"/>
        </w:rPr>
      </w:pPr>
    </w:p>
    <w:p w:rsidR="00A205F7" w:rsidRPr="005249B4" w:rsidRDefault="00A205F7" w:rsidP="00CD5AE3">
      <w:pPr>
        <w:tabs>
          <w:tab w:val="left" w:pos="284"/>
        </w:tabs>
        <w:jc w:val="both"/>
        <w:rPr>
          <w:b/>
          <w:sz w:val="24"/>
          <w:szCs w:val="24"/>
          <w:lang w:val="de-DE"/>
        </w:rPr>
      </w:pPr>
      <w:r w:rsidRPr="005249B4">
        <w:rPr>
          <w:b/>
          <w:sz w:val="24"/>
          <w:szCs w:val="24"/>
          <w:lang w:val="de-DE"/>
        </w:rPr>
        <w:t>Be</w:t>
      </w:r>
      <w:r w:rsidR="00E4399C">
        <w:rPr>
          <w:b/>
          <w:sz w:val="24"/>
          <w:szCs w:val="24"/>
          <w:lang w:val="de-DE"/>
        </w:rPr>
        <w:t>gründung</w:t>
      </w:r>
    </w:p>
    <w:p w:rsidR="005249B4" w:rsidRPr="009B1CFD" w:rsidRDefault="005249B4" w:rsidP="00CD5AE3">
      <w:pPr>
        <w:tabs>
          <w:tab w:val="left" w:pos="284"/>
        </w:tabs>
        <w:jc w:val="both"/>
        <w:rPr>
          <w:b/>
          <w:lang w:val="de-DE"/>
        </w:rPr>
      </w:pPr>
    </w:p>
    <w:p w:rsidR="00A205F7" w:rsidRPr="009B1CFD" w:rsidRDefault="00A205F7" w:rsidP="00CD5AE3">
      <w:pPr>
        <w:tabs>
          <w:tab w:val="left" w:pos="284"/>
        </w:tabs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Das aktuelle ADN erachtet bei </w:t>
      </w:r>
      <w:r w:rsidRPr="009B1CFD">
        <w:rPr>
          <w:lang w:val="de-DE"/>
        </w:rPr>
        <w:t xml:space="preserve">Tankschiffen, deren Schiffsstoffliste Produkte enthält, für die Explosionsschutz erforderlich ist, während des Ladens, Löschens und Entgasens </w:t>
      </w:r>
      <w:r w:rsidRPr="009B1CFD">
        <w:rPr>
          <w:rFonts w:eastAsia="Calibri"/>
          <w:lang w:val="de-DE"/>
        </w:rPr>
        <w:t xml:space="preserve">den Betrieb </w:t>
      </w:r>
      <w:r w:rsidRPr="009B1CFD">
        <w:rPr>
          <w:lang w:val="de-DE"/>
        </w:rPr>
        <w:t xml:space="preserve">von elektrischen </w:t>
      </w:r>
      <w:r w:rsidR="004518F0" w:rsidRPr="009B1CFD">
        <w:rPr>
          <w:lang w:val="de-DE"/>
        </w:rPr>
        <w:t xml:space="preserve">Betriebsmitteln </w:t>
      </w:r>
      <w:r w:rsidRPr="009B1CFD">
        <w:rPr>
          <w:lang w:val="de-DE"/>
        </w:rPr>
        <w:t xml:space="preserve">vom Typ </w:t>
      </w:r>
      <w:r w:rsidRPr="009B1CFD">
        <w:rPr>
          <w:rFonts w:eastAsia="Calibri"/>
          <w:lang w:val="de-DE"/>
        </w:rPr>
        <w:t xml:space="preserve">‚begrenzte Explosionsgefahr‘ (vergleichbar Zone 2) </w:t>
      </w:r>
      <w:r w:rsidRPr="009B1CFD">
        <w:rPr>
          <w:snapToGrid/>
          <w:lang w:val="de-DE" w:eastAsia="de-DE"/>
        </w:rPr>
        <w:t>die außerhalb des Bereichs der Ladung liegen, für ausreichend sicher.</w:t>
      </w:r>
    </w:p>
    <w:p w:rsidR="00A205F7" w:rsidRPr="009B1CFD" w:rsidRDefault="00A205F7" w:rsidP="00CD5AE3">
      <w:pPr>
        <w:tabs>
          <w:tab w:val="left" w:pos="284"/>
        </w:tabs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Die Arbeitsgruppe sieht einen deutlichen Sicherheitsgewinn darin, diese Forderung des </w:t>
      </w:r>
      <w:r w:rsidRPr="009B1CFD">
        <w:rPr>
          <w:lang w:val="de-DE"/>
        </w:rPr>
        <w:t xml:space="preserve">aktuellen ADN </w:t>
      </w:r>
      <w:r w:rsidRPr="009B1CFD">
        <w:rPr>
          <w:rFonts w:eastAsia="Calibri"/>
          <w:lang w:val="de-DE"/>
        </w:rPr>
        <w:t>auszudehnen und zu erweitern auf:</w:t>
      </w:r>
    </w:p>
    <w:p w:rsidR="00A205F7" w:rsidRPr="009B1CFD" w:rsidRDefault="00A205F7" w:rsidP="00400302">
      <w:pPr>
        <w:numPr>
          <w:ilvl w:val="0"/>
          <w:numId w:val="22"/>
        </w:numPr>
        <w:tabs>
          <w:tab w:val="left" w:pos="284"/>
        </w:tabs>
        <w:spacing w:before="60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>Alle ADN-</w:t>
      </w:r>
      <w:r w:rsidR="00A9732D" w:rsidRPr="009B1CFD">
        <w:rPr>
          <w:rFonts w:eastAsia="Calibri"/>
          <w:lang w:val="de-DE"/>
        </w:rPr>
        <w:t>Tanks</w:t>
      </w:r>
      <w:r w:rsidRPr="009B1CFD">
        <w:rPr>
          <w:rFonts w:eastAsia="Calibri"/>
          <w:lang w:val="de-DE"/>
        </w:rPr>
        <w:t>chiffe.</w:t>
      </w:r>
    </w:p>
    <w:p w:rsidR="00A205F7" w:rsidRPr="009B1CFD" w:rsidRDefault="00A205F7" w:rsidP="00400302">
      <w:pPr>
        <w:numPr>
          <w:ilvl w:val="0"/>
          <w:numId w:val="22"/>
        </w:numPr>
        <w:tabs>
          <w:tab w:val="left" w:pos="284"/>
        </w:tabs>
        <w:spacing w:before="60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>Auf das gesamt</w:t>
      </w:r>
      <w:r w:rsidR="00A9732D" w:rsidRPr="009B1CFD">
        <w:rPr>
          <w:rFonts w:eastAsia="Calibri"/>
          <w:lang w:val="de-DE"/>
        </w:rPr>
        <w:t>e</w:t>
      </w:r>
      <w:r w:rsidRPr="009B1CFD">
        <w:rPr>
          <w:rFonts w:eastAsia="Calibri"/>
          <w:lang w:val="de-DE"/>
        </w:rPr>
        <w:t xml:space="preserve"> Tankschiff, (wenn nicht realisierbar dann analog </w:t>
      </w:r>
      <w:r w:rsidRPr="009B1CFD">
        <w:rPr>
          <w:b/>
          <w:bCs/>
          <w:snapToGrid/>
          <w:lang w:val="de-DE" w:eastAsia="de-DE"/>
        </w:rPr>
        <w:t>9.3.</w:t>
      </w:r>
      <w:r w:rsidR="00492D62" w:rsidRPr="009B1CFD">
        <w:rPr>
          <w:b/>
          <w:bCs/>
          <w:snapToGrid/>
          <w:lang w:val="de-DE" w:eastAsia="de-DE"/>
        </w:rPr>
        <w:t>x</w:t>
      </w:r>
      <w:r w:rsidRPr="009B1CFD">
        <w:rPr>
          <w:b/>
          <w:bCs/>
          <w:snapToGrid/>
          <w:lang w:val="de-DE" w:eastAsia="de-DE"/>
        </w:rPr>
        <w:t>.52.3</w:t>
      </w:r>
      <w:r w:rsidRPr="009B1CFD">
        <w:rPr>
          <w:rFonts w:eastAsia="Calibri"/>
          <w:lang w:val="de-DE"/>
        </w:rPr>
        <w:t>)</w:t>
      </w:r>
    </w:p>
    <w:p w:rsidR="00400302" w:rsidRPr="00B70B3A" w:rsidRDefault="00A205F7" w:rsidP="00B70B3A">
      <w:pPr>
        <w:numPr>
          <w:ilvl w:val="0"/>
          <w:numId w:val="22"/>
        </w:numPr>
        <w:tabs>
          <w:tab w:val="left" w:pos="284"/>
        </w:tabs>
        <w:suppressAutoHyphens w:val="0"/>
        <w:spacing w:before="60" w:line="240" w:lineRule="auto"/>
        <w:jc w:val="both"/>
        <w:rPr>
          <w:rFonts w:eastAsia="Calibri"/>
          <w:lang w:val="de-DE"/>
        </w:rPr>
      </w:pPr>
      <w:r w:rsidRPr="00B70B3A">
        <w:rPr>
          <w:rFonts w:eastAsia="Calibri"/>
          <w:lang w:val="de-DE"/>
        </w:rPr>
        <w:t>Auf den Aufenthalt in/angrenzend an eine landseitig ausgewiesene Zone 2</w:t>
      </w:r>
      <w:r w:rsidR="00400302" w:rsidRPr="00B70B3A">
        <w:rPr>
          <w:rFonts w:eastAsia="Calibri"/>
          <w:lang w:val="de-DE"/>
        </w:rPr>
        <w:br w:type="page"/>
      </w:r>
    </w:p>
    <w:p w:rsidR="00A205F7" w:rsidRPr="009B1CFD" w:rsidRDefault="00A205F7" w:rsidP="004E656C">
      <w:pPr>
        <w:tabs>
          <w:tab w:val="left" w:pos="284"/>
        </w:tabs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lastRenderedPageBreak/>
        <w:t xml:space="preserve">Die Arbeitsgruppe sieht einen deutlichen Sicherheitsgewinn darin, </w:t>
      </w:r>
    </w:p>
    <w:p w:rsidR="00A205F7" w:rsidRPr="009B1CFD" w:rsidRDefault="00A205F7" w:rsidP="004E656C">
      <w:pPr>
        <w:tabs>
          <w:tab w:val="left" w:pos="284"/>
        </w:tabs>
        <w:ind w:left="284" w:hanging="426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ab/>
        <w:t xml:space="preserve">bei allen Tankschiffen die maximalen Oberflächentemperaturen </w:t>
      </w:r>
      <w:r w:rsidR="00A9732D" w:rsidRPr="009B1CFD">
        <w:rPr>
          <w:rFonts w:eastAsia="Calibri"/>
          <w:lang w:val="de-DE"/>
        </w:rPr>
        <w:t xml:space="preserve">auf 200°C </w:t>
      </w:r>
      <w:r w:rsidRPr="009B1CFD">
        <w:rPr>
          <w:rFonts w:eastAsia="Calibri"/>
          <w:lang w:val="de-DE"/>
        </w:rPr>
        <w:t xml:space="preserve">zu beschränken bzw. bei </w:t>
      </w:r>
      <w:r w:rsidRPr="009B1CFD">
        <w:rPr>
          <w:lang w:val="de-DE"/>
        </w:rPr>
        <w:t xml:space="preserve">Tankschiffen, deren Schiffsstoffliste Produkte </w:t>
      </w:r>
      <w:r w:rsidRPr="009B1CFD">
        <w:rPr>
          <w:rFonts w:eastAsia="Calibri"/>
          <w:lang w:val="de-DE"/>
        </w:rPr>
        <w:t xml:space="preserve">der Temperaturklasse T4, T5 und T6 enthält, auf die entsprechende maximal zulässige Oberflächentemperatur, </w:t>
      </w:r>
    </w:p>
    <w:p w:rsidR="00A205F7" w:rsidRPr="009B1CFD" w:rsidRDefault="00A205F7" w:rsidP="004E656C">
      <w:pPr>
        <w:tabs>
          <w:tab w:val="left" w:pos="284"/>
        </w:tabs>
        <w:ind w:left="284" w:hanging="284"/>
        <w:jc w:val="both"/>
        <w:rPr>
          <w:lang w:val="de-DE"/>
        </w:rPr>
      </w:pPr>
      <w:r w:rsidRPr="009B1CFD">
        <w:rPr>
          <w:lang w:val="de-DE"/>
        </w:rPr>
        <w:tab/>
        <w:t xml:space="preserve">bei Tankschiffen, deren Schiffstoffliste Produkte enthält für die Explosionsschutz erforderlich ist, </w:t>
      </w:r>
    </w:p>
    <w:p w:rsidR="00A205F7" w:rsidRPr="009B1CFD" w:rsidRDefault="00A205F7" w:rsidP="004E656C">
      <w:pPr>
        <w:numPr>
          <w:ilvl w:val="0"/>
          <w:numId w:val="20"/>
        </w:numPr>
        <w:tabs>
          <w:tab w:val="left" w:pos="284"/>
        </w:tabs>
        <w:spacing w:before="20"/>
        <w:jc w:val="both"/>
        <w:rPr>
          <w:rFonts w:eastAsia="Calibri"/>
          <w:lang w:val="de-DE"/>
        </w:rPr>
      </w:pPr>
      <w:r w:rsidRPr="009B1CFD">
        <w:rPr>
          <w:lang w:val="de-DE"/>
        </w:rPr>
        <w:t xml:space="preserve">eine Zone 2 </w:t>
      </w:r>
      <w:r w:rsidR="00DD1637" w:rsidRPr="009B1CFD">
        <w:rPr>
          <w:lang w:val="de-DE"/>
        </w:rPr>
        <w:t xml:space="preserve">an Bord des Schiffes </w:t>
      </w:r>
      <w:r w:rsidRPr="009B1CFD">
        <w:rPr>
          <w:lang w:val="de-DE"/>
        </w:rPr>
        <w:t xml:space="preserve">auszuweisen, </w:t>
      </w:r>
    </w:p>
    <w:p w:rsidR="00A205F7" w:rsidRPr="009B1CFD" w:rsidRDefault="00A205F7" w:rsidP="004E656C">
      <w:pPr>
        <w:numPr>
          <w:ilvl w:val="0"/>
          <w:numId w:val="20"/>
        </w:numPr>
        <w:tabs>
          <w:tab w:val="left" w:pos="284"/>
        </w:tabs>
        <w:spacing w:before="20"/>
        <w:jc w:val="both"/>
        <w:rPr>
          <w:rFonts w:eastAsia="Calibri"/>
          <w:lang w:val="de-DE"/>
        </w:rPr>
      </w:pPr>
      <w:r w:rsidRPr="009B1CFD">
        <w:rPr>
          <w:lang w:val="de-DE"/>
        </w:rPr>
        <w:t xml:space="preserve">die  </w:t>
      </w:r>
      <w:r w:rsidRPr="009B1CFD">
        <w:rPr>
          <w:rFonts w:eastAsia="Calibri"/>
          <w:lang w:val="de-DE"/>
        </w:rPr>
        <w:t xml:space="preserve">Explosionsschutzanforderungen </w:t>
      </w:r>
      <w:r w:rsidR="00DD1637" w:rsidRPr="009B1CFD">
        <w:rPr>
          <w:rFonts w:eastAsia="Calibri"/>
          <w:lang w:val="de-DE"/>
        </w:rPr>
        <w:t xml:space="preserve">in den Zonen an Bord des Schiffes </w:t>
      </w:r>
      <w:r w:rsidRPr="009B1CFD">
        <w:rPr>
          <w:rFonts w:eastAsia="Calibri"/>
          <w:lang w:val="de-DE"/>
        </w:rPr>
        <w:t xml:space="preserve">auf nicht-elektrische </w:t>
      </w:r>
      <w:r w:rsidR="004518F0" w:rsidRPr="009B1CFD">
        <w:rPr>
          <w:rFonts w:eastAsia="Calibri"/>
          <w:lang w:val="de-DE"/>
        </w:rPr>
        <w:t xml:space="preserve">Betriebsmittel </w:t>
      </w:r>
      <w:r w:rsidRPr="009B1CFD">
        <w:rPr>
          <w:rFonts w:eastAsia="Calibri"/>
          <w:lang w:val="de-DE"/>
        </w:rPr>
        <w:t xml:space="preserve">zu erweitern und </w:t>
      </w:r>
    </w:p>
    <w:p w:rsidR="00A205F7" w:rsidRPr="009B1CFD" w:rsidRDefault="00A205F7" w:rsidP="004E656C">
      <w:pPr>
        <w:numPr>
          <w:ilvl w:val="0"/>
          <w:numId w:val="20"/>
        </w:numPr>
        <w:tabs>
          <w:tab w:val="left" w:pos="284"/>
        </w:tabs>
        <w:spacing w:before="20"/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zusätzliche Maßnahmen zu ergreifen, </w:t>
      </w:r>
      <w:r w:rsidR="00A9732D" w:rsidRPr="009B1CFD">
        <w:rPr>
          <w:rFonts w:eastAsia="Calibri"/>
          <w:lang w:val="de-DE"/>
        </w:rPr>
        <w:t xml:space="preserve">die </w:t>
      </w:r>
      <w:r w:rsidRPr="009B1CFD">
        <w:rPr>
          <w:lang w:val="de-DE"/>
        </w:rPr>
        <w:t>das Auftreten von explosionsfähiger Atmosphäre in Wohnung, Steuerhaus und Betriebsräumen außerhalb des Bereichs der Ladung verhindern</w:t>
      </w:r>
      <w:r w:rsidRPr="009B1CFD">
        <w:rPr>
          <w:rFonts w:eastAsia="Calibri"/>
          <w:lang w:val="de-DE"/>
        </w:rPr>
        <w:t xml:space="preserve">. </w:t>
      </w:r>
    </w:p>
    <w:p w:rsidR="00A205F7" w:rsidRPr="009B1CFD" w:rsidRDefault="00A205F7" w:rsidP="004E656C">
      <w:pPr>
        <w:tabs>
          <w:tab w:val="left" w:pos="284"/>
        </w:tabs>
        <w:spacing w:before="60"/>
        <w:jc w:val="both"/>
        <w:rPr>
          <w:bCs/>
          <w:snapToGrid/>
          <w:lang w:val="de-DE" w:eastAsia="de-DE"/>
        </w:rPr>
      </w:pPr>
      <w:r w:rsidRPr="009B1CFD">
        <w:rPr>
          <w:lang w:val="de-DE"/>
        </w:rPr>
        <w:t xml:space="preserve">(Die Anforderung nach </w:t>
      </w:r>
      <w:r w:rsidRPr="009B1CFD">
        <w:rPr>
          <w:bCs/>
          <w:snapToGrid/>
          <w:lang w:val="de-DE" w:eastAsia="de-DE"/>
        </w:rPr>
        <w:t>9.3.2.52.3</w:t>
      </w:r>
      <w:r w:rsidRPr="009B1CFD">
        <w:rPr>
          <w:b/>
          <w:bCs/>
          <w:snapToGrid/>
          <w:lang w:val="de-DE" w:eastAsia="de-DE"/>
        </w:rPr>
        <w:t xml:space="preserve"> </w:t>
      </w:r>
      <w:r w:rsidRPr="009B1CFD">
        <w:rPr>
          <w:bCs/>
          <w:snapToGrid/>
          <w:lang w:val="de-DE" w:eastAsia="de-DE"/>
        </w:rPr>
        <w:t>während des Entgasens bzw. während des Ladens und Löschens auch wenn landseitig keine Zone 2 ausgewiesen ist, bleiben bestehen)</w:t>
      </w:r>
      <w:r w:rsidR="00CF6BB7">
        <w:rPr>
          <w:bCs/>
          <w:snapToGrid/>
          <w:lang w:val="de-DE" w:eastAsia="de-DE"/>
        </w:rPr>
        <w:t>.</w:t>
      </w:r>
    </w:p>
    <w:p w:rsidR="00A205F7" w:rsidRPr="009B1CFD" w:rsidRDefault="00A205F7" w:rsidP="004E656C">
      <w:pPr>
        <w:tabs>
          <w:tab w:val="left" w:pos="284"/>
        </w:tabs>
        <w:jc w:val="both"/>
        <w:rPr>
          <w:lang w:val="de-DE"/>
        </w:rPr>
      </w:pPr>
    </w:p>
    <w:p w:rsidR="00A205F7" w:rsidRPr="009B1CFD" w:rsidRDefault="00A205F7" w:rsidP="004E656C">
      <w:pPr>
        <w:tabs>
          <w:tab w:val="left" w:pos="284"/>
        </w:tabs>
        <w:jc w:val="both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 xml:space="preserve">Somit tragen alle ADN-Schiffe, unabhängig von den Einträgen in der Schiffstoffliste, auch Gefährdungen durch explosionsfähige </w:t>
      </w:r>
      <w:r w:rsidR="003654C1" w:rsidRPr="009B1CFD">
        <w:rPr>
          <w:rFonts w:eastAsia="Calibri"/>
          <w:lang w:val="de-DE"/>
        </w:rPr>
        <w:t>Dampf/Luft-</w:t>
      </w:r>
      <w:r w:rsidRPr="009B1CFD">
        <w:rPr>
          <w:rFonts w:eastAsia="Calibri"/>
          <w:lang w:val="de-DE"/>
        </w:rPr>
        <w:t>Gemische von außerhalb der Schiffe Rechnung</w:t>
      </w:r>
      <w:r w:rsidR="00CF6BB7">
        <w:rPr>
          <w:lang w:val="de-DE"/>
        </w:rPr>
        <w:t>.</w:t>
      </w:r>
    </w:p>
    <w:p w:rsidR="00A205F7" w:rsidRPr="009B1CFD" w:rsidRDefault="00A205F7" w:rsidP="004E656C">
      <w:pPr>
        <w:tabs>
          <w:tab w:val="left" w:pos="284"/>
        </w:tabs>
        <w:jc w:val="both"/>
        <w:rPr>
          <w:lang w:val="de-DE"/>
        </w:rPr>
      </w:pPr>
    </w:p>
    <w:p w:rsidR="00A205F7" w:rsidRPr="009B1CFD" w:rsidRDefault="00A205F7" w:rsidP="004E656C">
      <w:pPr>
        <w:tabs>
          <w:tab w:val="left" w:pos="284"/>
        </w:tabs>
        <w:jc w:val="both"/>
        <w:rPr>
          <w:lang w:val="de-DE"/>
        </w:rPr>
      </w:pPr>
      <w:r w:rsidRPr="009B1CFD">
        <w:rPr>
          <w:lang w:val="de-DE"/>
        </w:rPr>
        <w:t>Die Arbeitsgrupp</w:t>
      </w:r>
      <w:r w:rsidR="00901651">
        <w:rPr>
          <w:lang w:val="de-DE"/>
        </w:rPr>
        <w:t>e</w:t>
      </w:r>
      <w:r w:rsidRPr="009B1CFD">
        <w:rPr>
          <w:lang w:val="de-DE"/>
        </w:rPr>
        <w:t xml:space="preserve"> </w:t>
      </w:r>
      <w:r w:rsidR="00DD1637" w:rsidRPr="009B1CFD">
        <w:rPr>
          <w:lang w:val="de-DE"/>
        </w:rPr>
        <w:t xml:space="preserve">erachtet </w:t>
      </w:r>
      <w:r w:rsidRPr="009B1CFD">
        <w:rPr>
          <w:lang w:val="de-DE"/>
        </w:rPr>
        <w:t xml:space="preserve">dieses vorgeschlagene grundsätzliche Konzept für neue Tankschiffe </w:t>
      </w:r>
      <w:r w:rsidR="00DD1637" w:rsidRPr="009B1CFD">
        <w:rPr>
          <w:lang w:val="de-DE"/>
        </w:rPr>
        <w:t xml:space="preserve">als </w:t>
      </w:r>
      <w:r w:rsidRPr="009B1CFD">
        <w:rPr>
          <w:lang w:val="de-DE"/>
        </w:rPr>
        <w:t>realisierbar.</w:t>
      </w:r>
    </w:p>
    <w:p w:rsidR="00A205F7" w:rsidRPr="009B1CFD" w:rsidRDefault="00A205F7" w:rsidP="004E656C">
      <w:pPr>
        <w:jc w:val="both"/>
        <w:rPr>
          <w:b/>
          <w:lang w:val="de-DE"/>
        </w:rPr>
      </w:pPr>
    </w:p>
    <w:p w:rsidR="000E261A" w:rsidRPr="009B1CFD" w:rsidRDefault="002F1AEA" w:rsidP="004E656C">
      <w:pPr>
        <w:jc w:val="both"/>
        <w:rPr>
          <w:lang w:val="de-DE"/>
        </w:rPr>
      </w:pPr>
      <w:r w:rsidRPr="009B1CFD">
        <w:rPr>
          <w:lang w:val="de-DE"/>
        </w:rPr>
        <w:t>Die Arbeitsgruppe bittet den Sicherheitsausschuss diese Vorschläge zu diskutieren</w:t>
      </w:r>
      <w:r w:rsidR="009B1CFD" w:rsidRPr="009B1CFD">
        <w:rPr>
          <w:lang w:val="de-DE"/>
        </w:rPr>
        <w:t>.</w:t>
      </w:r>
    </w:p>
    <w:p w:rsidR="009B1CFD" w:rsidRPr="009B1CFD" w:rsidRDefault="009B1CFD" w:rsidP="00CD5AE3">
      <w:pPr>
        <w:rPr>
          <w:lang w:val="de-DE"/>
        </w:rPr>
      </w:pPr>
    </w:p>
    <w:p w:rsidR="00154B16" w:rsidRPr="009B1CFD" w:rsidRDefault="009B1CFD" w:rsidP="009B1CFD">
      <w:pPr>
        <w:spacing w:after="200"/>
        <w:contextualSpacing/>
        <w:jc w:val="center"/>
        <w:rPr>
          <w:rFonts w:eastAsia="Calibri"/>
          <w:lang w:val="de-DE"/>
        </w:rPr>
      </w:pPr>
      <w:r w:rsidRPr="009B1CFD">
        <w:rPr>
          <w:rFonts w:eastAsia="Calibri"/>
          <w:lang w:val="de-DE"/>
        </w:rPr>
        <w:t>***</w:t>
      </w:r>
    </w:p>
    <w:sectPr w:rsidR="00154B16" w:rsidRPr="009B1CFD" w:rsidSect="005249B4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418" w:bottom="1418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83" w:rsidRDefault="00007D83"/>
  </w:endnote>
  <w:endnote w:type="continuationSeparator" w:id="0">
    <w:p w:rsidR="00007D83" w:rsidRDefault="00007D83"/>
  </w:endnote>
  <w:endnote w:type="continuationNotice" w:id="1">
    <w:p w:rsidR="00007D83" w:rsidRDefault="00007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B4" w:rsidRDefault="005249B4" w:rsidP="005249B4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5249B4">
      <w:rPr>
        <w:rFonts w:ascii="Arial" w:hAnsi="Arial"/>
        <w:noProof/>
        <w:snapToGrid/>
        <w:sz w:val="12"/>
        <w:szCs w:val="24"/>
        <w:lang w:val="en-US" w:eastAsia="en-US"/>
      </w:rPr>
      <w:t>mm/adn_wp15_ac2_26_inf</w:t>
    </w:r>
    <w:r>
      <w:rPr>
        <w:rFonts w:ascii="Arial" w:hAnsi="Arial"/>
        <w:noProof/>
        <w:snapToGrid/>
        <w:sz w:val="12"/>
        <w:szCs w:val="24"/>
        <w:lang w:val="en-US" w:eastAsia="en-US"/>
      </w:rPr>
      <w:t>31</w:t>
    </w:r>
    <w:r w:rsidRPr="005249B4">
      <w:rPr>
        <w:rFonts w:ascii="Arial" w:hAnsi="Arial"/>
        <w:noProof/>
        <w:snapToGrid/>
        <w:sz w:val="12"/>
        <w:szCs w:val="24"/>
        <w:lang w:val="en-US" w:eastAsia="en-US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B4" w:rsidRDefault="005249B4" w:rsidP="005249B4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5249B4">
      <w:rPr>
        <w:rFonts w:ascii="Arial" w:hAnsi="Arial"/>
        <w:noProof/>
        <w:snapToGrid/>
        <w:sz w:val="12"/>
        <w:szCs w:val="24"/>
        <w:lang w:val="en-US" w:eastAsia="en-US"/>
      </w:rPr>
      <w:t>mm/adn_wp15_ac2_26_inf</w:t>
    </w:r>
    <w:r>
      <w:rPr>
        <w:rFonts w:ascii="Arial" w:hAnsi="Arial"/>
        <w:noProof/>
        <w:snapToGrid/>
        <w:sz w:val="12"/>
        <w:szCs w:val="24"/>
        <w:lang w:val="en-US" w:eastAsia="en-US"/>
      </w:rPr>
      <w:t>31</w:t>
    </w:r>
    <w:r w:rsidRPr="005249B4">
      <w:rPr>
        <w:rFonts w:ascii="Arial" w:hAnsi="Arial"/>
        <w:noProof/>
        <w:snapToGrid/>
        <w:sz w:val="12"/>
        <w:szCs w:val="24"/>
        <w:lang w:val="en-US" w:eastAsia="en-US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83" w:rsidRDefault="00007D8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7D83" w:rsidRDefault="00007D83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7D83" w:rsidRDefault="00007D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B4" w:rsidRPr="005249B4" w:rsidRDefault="005249B4" w:rsidP="005249B4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 w:cs="Arial"/>
        <w:snapToGrid/>
        <w:sz w:val="16"/>
        <w:szCs w:val="16"/>
        <w:lang w:val="en-GB" w:eastAsia="en-US"/>
      </w:rPr>
    </w:pPr>
    <w:r w:rsidRPr="005249B4">
      <w:rPr>
        <w:rFonts w:ascii="Arial" w:hAnsi="Arial" w:cs="Arial"/>
        <w:snapToGrid/>
        <w:sz w:val="16"/>
        <w:szCs w:val="16"/>
        <w:lang w:val="en-GB" w:eastAsia="en-US"/>
      </w:rPr>
      <w:t>CCNR-ZKR/ADN/WP.15/AC.2/26/INF.</w:t>
    </w:r>
    <w:r>
      <w:rPr>
        <w:rFonts w:ascii="Arial" w:hAnsi="Arial" w:cs="Arial"/>
        <w:snapToGrid/>
        <w:sz w:val="16"/>
        <w:szCs w:val="16"/>
        <w:lang w:val="en-GB" w:eastAsia="en-US"/>
      </w:rPr>
      <w:t>31</w:t>
    </w:r>
  </w:p>
  <w:p w:rsidR="005249B4" w:rsidRDefault="005249B4" w:rsidP="005249B4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 w:cs="Arial"/>
        <w:snapToGrid/>
        <w:sz w:val="16"/>
        <w:szCs w:val="16"/>
        <w:lang w:val="en-GB" w:eastAsia="en-US"/>
      </w:rPr>
    </w:pPr>
    <w:r w:rsidRPr="005249B4">
      <w:rPr>
        <w:rFonts w:ascii="Arial" w:hAnsi="Arial" w:cs="Arial"/>
        <w:snapToGrid/>
        <w:sz w:val="16"/>
        <w:szCs w:val="16"/>
        <w:lang w:val="en-GB" w:eastAsia="en-US"/>
      </w:rPr>
      <w:t xml:space="preserve">Seite </w:t>
    </w:r>
    <w:r w:rsidRPr="005249B4">
      <w:rPr>
        <w:rFonts w:ascii="Arial" w:hAnsi="Arial" w:cs="Arial"/>
        <w:snapToGrid/>
        <w:sz w:val="16"/>
        <w:szCs w:val="16"/>
        <w:lang w:val="en-GB" w:eastAsia="en-US"/>
      </w:rPr>
      <w:fldChar w:fldCharType="begin"/>
    </w:r>
    <w:r w:rsidRPr="005249B4">
      <w:rPr>
        <w:rFonts w:ascii="Arial" w:hAnsi="Arial" w:cs="Arial"/>
        <w:snapToGrid/>
        <w:sz w:val="16"/>
        <w:szCs w:val="16"/>
        <w:lang w:val="en-GB" w:eastAsia="en-US"/>
      </w:rPr>
      <w:instrText xml:space="preserve"> PAGE  \* MERGEFORMAT </w:instrText>
    </w:r>
    <w:r w:rsidRPr="005249B4">
      <w:rPr>
        <w:rFonts w:ascii="Arial" w:hAnsi="Arial" w:cs="Arial"/>
        <w:snapToGrid/>
        <w:sz w:val="16"/>
        <w:szCs w:val="16"/>
        <w:lang w:val="en-GB" w:eastAsia="en-US"/>
      </w:rPr>
      <w:fldChar w:fldCharType="separate"/>
    </w:r>
    <w:r w:rsidR="000648E1">
      <w:rPr>
        <w:rFonts w:ascii="Arial" w:hAnsi="Arial" w:cs="Arial"/>
        <w:noProof/>
        <w:snapToGrid/>
        <w:sz w:val="16"/>
        <w:szCs w:val="16"/>
        <w:lang w:val="en-GB" w:eastAsia="en-US"/>
      </w:rPr>
      <w:t>2</w:t>
    </w:r>
    <w:r w:rsidRPr="005249B4">
      <w:rPr>
        <w:rFonts w:ascii="Arial" w:hAnsi="Arial" w:cs="Arial"/>
        <w:snapToGrid/>
        <w:sz w:val="16"/>
        <w:szCs w:val="16"/>
        <w:lang w:val="en-GB" w:eastAsia="en-US"/>
      </w:rPr>
      <w:fldChar w:fldCharType="end"/>
    </w:r>
  </w:p>
  <w:p w:rsidR="005249B4" w:rsidRPr="005249B4" w:rsidRDefault="005249B4" w:rsidP="005249B4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 w:cs="Arial"/>
        <w:snapToGrid/>
        <w:sz w:val="16"/>
        <w:szCs w:val="16"/>
        <w:lang w:val="en-GB"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B4" w:rsidRPr="005249B4" w:rsidRDefault="005249B4" w:rsidP="005249B4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napToGrid/>
        <w:sz w:val="16"/>
        <w:szCs w:val="16"/>
        <w:lang w:val="en-GB" w:eastAsia="en-US"/>
      </w:rPr>
    </w:pPr>
    <w:r w:rsidRPr="005249B4">
      <w:rPr>
        <w:rFonts w:ascii="Arial" w:hAnsi="Arial" w:cs="Arial"/>
        <w:snapToGrid/>
        <w:sz w:val="16"/>
        <w:szCs w:val="16"/>
        <w:lang w:val="en-GB" w:eastAsia="en-US"/>
      </w:rPr>
      <w:t>CCNR-ZKR/ADN/WP.15/AC.2/26/INF.</w:t>
    </w:r>
    <w:r>
      <w:rPr>
        <w:rFonts w:ascii="Arial" w:hAnsi="Arial" w:cs="Arial"/>
        <w:snapToGrid/>
        <w:sz w:val="16"/>
        <w:szCs w:val="16"/>
        <w:lang w:val="en-GB" w:eastAsia="en-US"/>
      </w:rPr>
      <w:t>31</w:t>
    </w:r>
  </w:p>
  <w:p w:rsidR="005249B4" w:rsidRDefault="005249B4" w:rsidP="005249B4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napToGrid/>
        <w:sz w:val="16"/>
        <w:szCs w:val="16"/>
        <w:lang w:val="en-GB" w:eastAsia="en-US"/>
      </w:rPr>
    </w:pPr>
    <w:r w:rsidRPr="005249B4">
      <w:rPr>
        <w:rFonts w:ascii="Arial" w:hAnsi="Arial" w:cs="Arial"/>
        <w:snapToGrid/>
        <w:sz w:val="16"/>
        <w:szCs w:val="16"/>
        <w:lang w:val="en-GB" w:eastAsia="en-US"/>
      </w:rPr>
      <w:t xml:space="preserve">Seite </w:t>
    </w:r>
    <w:r w:rsidRPr="005249B4">
      <w:rPr>
        <w:rFonts w:ascii="Arial" w:hAnsi="Arial" w:cs="Arial"/>
        <w:snapToGrid/>
        <w:sz w:val="16"/>
        <w:szCs w:val="16"/>
        <w:lang w:val="en-GB" w:eastAsia="en-US"/>
      </w:rPr>
      <w:fldChar w:fldCharType="begin"/>
    </w:r>
    <w:r w:rsidRPr="005249B4">
      <w:rPr>
        <w:rFonts w:ascii="Arial" w:hAnsi="Arial" w:cs="Arial"/>
        <w:snapToGrid/>
        <w:sz w:val="16"/>
        <w:szCs w:val="16"/>
        <w:lang w:val="en-GB" w:eastAsia="en-US"/>
      </w:rPr>
      <w:instrText xml:space="preserve"> PAGE  \* MERGEFORMAT </w:instrText>
    </w:r>
    <w:r w:rsidRPr="005249B4">
      <w:rPr>
        <w:rFonts w:ascii="Arial" w:hAnsi="Arial" w:cs="Arial"/>
        <w:snapToGrid/>
        <w:sz w:val="16"/>
        <w:szCs w:val="16"/>
        <w:lang w:val="en-GB" w:eastAsia="en-US"/>
      </w:rPr>
      <w:fldChar w:fldCharType="separate"/>
    </w:r>
    <w:r w:rsidR="000648E1">
      <w:rPr>
        <w:rFonts w:ascii="Arial" w:hAnsi="Arial" w:cs="Arial"/>
        <w:noProof/>
        <w:snapToGrid/>
        <w:sz w:val="16"/>
        <w:szCs w:val="16"/>
        <w:lang w:val="en-GB" w:eastAsia="en-US"/>
      </w:rPr>
      <w:t>3</w:t>
    </w:r>
    <w:r w:rsidRPr="005249B4">
      <w:rPr>
        <w:rFonts w:ascii="Arial" w:hAnsi="Arial" w:cs="Arial"/>
        <w:snapToGrid/>
        <w:sz w:val="16"/>
        <w:szCs w:val="16"/>
        <w:lang w:val="en-GB" w:eastAsia="en-US"/>
      </w:rPr>
      <w:fldChar w:fldCharType="end"/>
    </w:r>
  </w:p>
  <w:p w:rsidR="005249B4" w:rsidRPr="005249B4" w:rsidRDefault="005249B4" w:rsidP="005249B4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 w:cs="Arial"/>
        <w:snapToGrid/>
        <w:sz w:val="16"/>
        <w:szCs w:val="16"/>
        <w:lang w:val="en-GB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4BE"/>
    <w:multiLevelType w:val="hybridMultilevel"/>
    <w:tmpl w:val="E8B40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4D8"/>
    <w:multiLevelType w:val="hybridMultilevel"/>
    <w:tmpl w:val="7910D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6795"/>
    <w:multiLevelType w:val="hybridMultilevel"/>
    <w:tmpl w:val="CD5CBFF2"/>
    <w:lvl w:ilvl="0" w:tplc="8CC04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5F4AEC"/>
    <w:multiLevelType w:val="hybridMultilevel"/>
    <w:tmpl w:val="492A3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EDD"/>
    <w:multiLevelType w:val="multilevel"/>
    <w:tmpl w:val="AA4C9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117158B7"/>
    <w:multiLevelType w:val="multilevel"/>
    <w:tmpl w:val="F3967F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228E6B15"/>
    <w:multiLevelType w:val="hybridMultilevel"/>
    <w:tmpl w:val="885A717A"/>
    <w:lvl w:ilvl="0" w:tplc="BB401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cs="Times New Roman" w:hint="default"/>
      </w:rPr>
    </w:lvl>
  </w:abstractNum>
  <w:abstractNum w:abstractNumId="8">
    <w:nsid w:val="3B48731D"/>
    <w:multiLevelType w:val="hybridMultilevel"/>
    <w:tmpl w:val="B628A660"/>
    <w:lvl w:ilvl="0" w:tplc="865AB9A6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48790EBB"/>
    <w:multiLevelType w:val="hybridMultilevel"/>
    <w:tmpl w:val="E752B5B4"/>
    <w:lvl w:ilvl="0" w:tplc="B78884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DA5EEF"/>
    <w:multiLevelType w:val="hybridMultilevel"/>
    <w:tmpl w:val="A6989178"/>
    <w:lvl w:ilvl="0" w:tplc="DE727FF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276276"/>
    <w:multiLevelType w:val="hybridMultilevel"/>
    <w:tmpl w:val="F3E2B342"/>
    <w:lvl w:ilvl="0" w:tplc="57E698BC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C3D7FA9"/>
    <w:multiLevelType w:val="hybridMultilevel"/>
    <w:tmpl w:val="AA1A4790"/>
    <w:lvl w:ilvl="0" w:tplc="7EFE720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F3418A"/>
    <w:multiLevelType w:val="hybridMultilevel"/>
    <w:tmpl w:val="52EEFF8A"/>
    <w:lvl w:ilvl="0" w:tplc="54546D6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DD27D13"/>
    <w:multiLevelType w:val="hybridMultilevel"/>
    <w:tmpl w:val="6FA0DF96"/>
    <w:lvl w:ilvl="0" w:tplc="3A507E9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26B3F"/>
    <w:multiLevelType w:val="hybridMultilevel"/>
    <w:tmpl w:val="6CBAA320"/>
    <w:lvl w:ilvl="0" w:tplc="AB9CF0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093BA3"/>
    <w:multiLevelType w:val="multilevel"/>
    <w:tmpl w:val="1C5C40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61F03C3"/>
    <w:multiLevelType w:val="hybridMultilevel"/>
    <w:tmpl w:val="FD4291D4"/>
    <w:lvl w:ilvl="0" w:tplc="E0747A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70B6E20"/>
    <w:multiLevelType w:val="hybridMultilevel"/>
    <w:tmpl w:val="1FC057CC"/>
    <w:lvl w:ilvl="0" w:tplc="E4F8B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cs="Times New Roman" w:hint="default"/>
      </w:rPr>
    </w:lvl>
  </w:abstractNum>
  <w:abstractNum w:abstractNumId="20">
    <w:nsid w:val="6D6F0171"/>
    <w:multiLevelType w:val="hybridMultilevel"/>
    <w:tmpl w:val="35627A1A"/>
    <w:lvl w:ilvl="0" w:tplc="936C1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1328C"/>
    <w:multiLevelType w:val="hybridMultilevel"/>
    <w:tmpl w:val="F8BCCA24"/>
    <w:lvl w:ilvl="0" w:tplc="04070017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AE5D8B"/>
    <w:multiLevelType w:val="hybridMultilevel"/>
    <w:tmpl w:val="33BE4D18"/>
    <w:lvl w:ilvl="0" w:tplc="0044699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FE7BC8"/>
    <w:multiLevelType w:val="hybridMultilevel"/>
    <w:tmpl w:val="2A729E90"/>
    <w:lvl w:ilvl="0" w:tplc="039A8E6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A5C6239"/>
    <w:multiLevelType w:val="multilevel"/>
    <w:tmpl w:val="2354C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D980677"/>
    <w:multiLevelType w:val="multilevel"/>
    <w:tmpl w:val="A68818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8"/>
  </w:num>
  <w:num w:numId="5">
    <w:abstractNumId w:val="23"/>
  </w:num>
  <w:num w:numId="6">
    <w:abstractNumId w:val="17"/>
  </w:num>
  <w:num w:numId="7">
    <w:abstractNumId w:val="2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16"/>
  </w:num>
  <w:num w:numId="13">
    <w:abstractNumId w:val="5"/>
  </w:num>
  <w:num w:numId="14">
    <w:abstractNumId w:val="10"/>
  </w:num>
  <w:num w:numId="15">
    <w:abstractNumId w:val="25"/>
  </w:num>
  <w:num w:numId="16">
    <w:abstractNumId w:val="3"/>
  </w:num>
  <w:num w:numId="17">
    <w:abstractNumId w:val="4"/>
  </w:num>
  <w:num w:numId="18">
    <w:abstractNumId w:val="20"/>
  </w:num>
  <w:num w:numId="19">
    <w:abstractNumId w:val="22"/>
  </w:num>
  <w:num w:numId="20">
    <w:abstractNumId w:val="11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3"/>
  </w:num>
  <w:num w:numId="2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1"/>
    <w:rsid w:val="0000325D"/>
    <w:rsid w:val="00007D83"/>
    <w:rsid w:val="00016993"/>
    <w:rsid w:val="000175A1"/>
    <w:rsid w:val="00025477"/>
    <w:rsid w:val="0003711D"/>
    <w:rsid w:val="000371F0"/>
    <w:rsid w:val="00046A67"/>
    <w:rsid w:val="00060316"/>
    <w:rsid w:val="00062870"/>
    <w:rsid w:val="0006398A"/>
    <w:rsid w:val="000648E1"/>
    <w:rsid w:val="00067203"/>
    <w:rsid w:val="000727E5"/>
    <w:rsid w:val="00074340"/>
    <w:rsid w:val="0007718C"/>
    <w:rsid w:val="000774B5"/>
    <w:rsid w:val="00080D9F"/>
    <w:rsid w:val="00092074"/>
    <w:rsid w:val="000A36AA"/>
    <w:rsid w:val="000B53E9"/>
    <w:rsid w:val="000C42C6"/>
    <w:rsid w:val="000C71FC"/>
    <w:rsid w:val="000D3FD7"/>
    <w:rsid w:val="000E1197"/>
    <w:rsid w:val="000E261A"/>
    <w:rsid w:val="000E717C"/>
    <w:rsid w:val="000F3804"/>
    <w:rsid w:val="000F626A"/>
    <w:rsid w:val="0010285A"/>
    <w:rsid w:val="001107AC"/>
    <w:rsid w:val="00110EBF"/>
    <w:rsid w:val="00131817"/>
    <w:rsid w:val="0013503E"/>
    <w:rsid w:val="00135E95"/>
    <w:rsid w:val="0014388C"/>
    <w:rsid w:val="0015125A"/>
    <w:rsid w:val="00151A52"/>
    <w:rsid w:val="00154B16"/>
    <w:rsid w:val="00155DA7"/>
    <w:rsid w:val="00156FA7"/>
    <w:rsid w:val="00183C7B"/>
    <w:rsid w:val="00185403"/>
    <w:rsid w:val="00192FDA"/>
    <w:rsid w:val="00194825"/>
    <w:rsid w:val="00194C6C"/>
    <w:rsid w:val="001A0538"/>
    <w:rsid w:val="001A37F3"/>
    <w:rsid w:val="001A45AF"/>
    <w:rsid w:val="001B34DA"/>
    <w:rsid w:val="001B366A"/>
    <w:rsid w:val="001C1827"/>
    <w:rsid w:val="001E1054"/>
    <w:rsid w:val="0020494D"/>
    <w:rsid w:val="0021538A"/>
    <w:rsid w:val="00216870"/>
    <w:rsid w:val="002172A6"/>
    <w:rsid w:val="00237423"/>
    <w:rsid w:val="002474E2"/>
    <w:rsid w:val="00254EE8"/>
    <w:rsid w:val="00260D08"/>
    <w:rsid w:val="00263285"/>
    <w:rsid w:val="00264F3C"/>
    <w:rsid w:val="0026787B"/>
    <w:rsid w:val="00267D1E"/>
    <w:rsid w:val="002743B3"/>
    <w:rsid w:val="002762A3"/>
    <w:rsid w:val="00280E3C"/>
    <w:rsid w:val="00282E67"/>
    <w:rsid w:val="00283CB0"/>
    <w:rsid w:val="00284904"/>
    <w:rsid w:val="00292203"/>
    <w:rsid w:val="00296338"/>
    <w:rsid w:val="00296CF6"/>
    <w:rsid w:val="00297310"/>
    <w:rsid w:val="002A6A47"/>
    <w:rsid w:val="002A7562"/>
    <w:rsid w:val="002B0AA6"/>
    <w:rsid w:val="002B2D36"/>
    <w:rsid w:val="002B3E71"/>
    <w:rsid w:val="002B7A11"/>
    <w:rsid w:val="002C15BC"/>
    <w:rsid w:val="002C24EF"/>
    <w:rsid w:val="002C39C6"/>
    <w:rsid w:val="002C3E77"/>
    <w:rsid w:val="002D10E3"/>
    <w:rsid w:val="002D3FC8"/>
    <w:rsid w:val="002D501E"/>
    <w:rsid w:val="002E6A65"/>
    <w:rsid w:val="002F1AEA"/>
    <w:rsid w:val="002F65B0"/>
    <w:rsid w:val="002F7875"/>
    <w:rsid w:val="00302ACC"/>
    <w:rsid w:val="003137C1"/>
    <w:rsid w:val="003232B6"/>
    <w:rsid w:val="00330D14"/>
    <w:rsid w:val="00331714"/>
    <w:rsid w:val="00336042"/>
    <w:rsid w:val="0033721A"/>
    <w:rsid w:val="00345BE7"/>
    <w:rsid w:val="00346677"/>
    <w:rsid w:val="003635C0"/>
    <w:rsid w:val="00363680"/>
    <w:rsid w:val="00363D8A"/>
    <w:rsid w:val="003654C1"/>
    <w:rsid w:val="00365820"/>
    <w:rsid w:val="00366AB8"/>
    <w:rsid w:val="0037115C"/>
    <w:rsid w:val="00376123"/>
    <w:rsid w:val="00387F18"/>
    <w:rsid w:val="003908DD"/>
    <w:rsid w:val="003922A0"/>
    <w:rsid w:val="00397FEA"/>
    <w:rsid w:val="003A6F18"/>
    <w:rsid w:val="003A7178"/>
    <w:rsid w:val="003A7AFC"/>
    <w:rsid w:val="003B29F9"/>
    <w:rsid w:val="003B2D21"/>
    <w:rsid w:val="003B4E6C"/>
    <w:rsid w:val="003B50B0"/>
    <w:rsid w:val="003C4214"/>
    <w:rsid w:val="003D63B9"/>
    <w:rsid w:val="003E04B1"/>
    <w:rsid w:val="003F07A1"/>
    <w:rsid w:val="003F63B7"/>
    <w:rsid w:val="003F7C42"/>
    <w:rsid w:val="00400302"/>
    <w:rsid w:val="00400AF9"/>
    <w:rsid w:val="004017BE"/>
    <w:rsid w:val="00413936"/>
    <w:rsid w:val="00416F6E"/>
    <w:rsid w:val="004221FF"/>
    <w:rsid w:val="004301E1"/>
    <w:rsid w:val="004315E6"/>
    <w:rsid w:val="00431D2E"/>
    <w:rsid w:val="004357E9"/>
    <w:rsid w:val="00443256"/>
    <w:rsid w:val="004458C8"/>
    <w:rsid w:val="004518F0"/>
    <w:rsid w:val="00476835"/>
    <w:rsid w:val="0048487A"/>
    <w:rsid w:val="00487D42"/>
    <w:rsid w:val="00492D62"/>
    <w:rsid w:val="0049451A"/>
    <w:rsid w:val="004A576A"/>
    <w:rsid w:val="004B16BA"/>
    <w:rsid w:val="004C7549"/>
    <w:rsid w:val="004D462A"/>
    <w:rsid w:val="004E0465"/>
    <w:rsid w:val="004E4A28"/>
    <w:rsid w:val="004E656C"/>
    <w:rsid w:val="004F488B"/>
    <w:rsid w:val="004F6AA0"/>
    <w:rsid w:val="004F70B5"/>
    <w:rsid w:val="0050136B"/>
    <w:rsid w:val="00501A8D"/>
    <w:rsid w:val="00502BC6"/>
    <w:rsid w:val="00503307"/>
    <w:rsid w:val="00505A2D"/>
    <w:rsid w:val="00514DD2"/>
    <w:rsid w:val="00515EB9"/>
    <w:rsid w:val="005243CC"/>
    <w:rsid w:val="005249B4"/>
    <w:rsid w:val="00530554"/>
    <w:rsid w:val="00532A7C"/>
    <w:rsid w:val="0054518A"/>
    <w:rsid w:val="00556230"/>
    <w:rsid w:val="00557FCF"/>
    <w:rsid w:val="00561566"/>
    <w:rsid w:val="00590C64"/>
    <w:rsid w:val="00595608"/>
    <w:rsid w:val="005B73E8"/>
    <w:rsid w:val="005C6A35"/>
    <w:rsid w:val="005C7C7B"/>
    <w:rsid w:val="005D60FF"/>
    <w:rsid w:val="005D6C8B"/>
    <w:rsid w:val="005E1514"/>
    <w:rsid w:val="005E521E"/>
    <w:rsid w:val="005E63D3"/>
    <w:rsid w:val="005E7227"/>
    <w:rsid w:val="005F06B1"/>
    <w:rsid w:val="006069A5"/>
    <w:rsid w:val="00611AAE"/>
    <w:rsid w:val="00615167"/>
    <w:rsid w:val="00634902"/>
    <w:rsid w:val="006477B5"/>
    <w:rsid w:val="00653D30"/>
    <w:rsid w:val="006553B6"/>
    <w:rsid w:val="00666FE7"/>
    <w:rsid w:val="006852B0"/>
    <w:rsid w:val="006A011B"/>
    <w:rsid w:val="006A1271"/>
    <w:rsid w:val="006A1526"/>
    <w:rsid w:val="006A2993"/>
    <w:rsid w:val="006C3347"/>
    <w:rsid w:val="006C446B"/>
    <w:rsid w:val="006D1B28"/>
    <w:rsid w:val="006D5EEB"/>
    <w:rsid w:val="00700375"/>
    <w:rsid w:val="00704B6E"/>
    <w:rsid w:val="0071010E"/>
    <w:rsid w:val="007231B9"/>
    <w:rsid w:val="00746984"/>
    <w:rsid w:val="0077205D"/>
    <w:rsid w:val="00774DD8"/>
    <w:rsid w:val="007760C5"/>
    <w:rsid w:val="00776289"/>
    <w:rsid w:val="00781C6D"/>
    <w:rsid w:val="0078448C"/>
    <w:rsid w:val="00785509"/>
    <w:rsid w:val="007A04E2"/>
    <w:rsid w:val="007A260D"/>
    <w:rsid w:val="007A3E56"/>
    <w:rsid w:val="007A6EF9"/>
    <w:rsid w:val="007B4055"/>
    <w:rsid w:val="007B4F22"/>
    <w:rsid w:val="007B5421"/>
    <w:rsid w:val="007B7142"/>
    <w:rsid w:val="007C3A52"/>
    <w:rsid w:val="007D0E13"/>
    <w:rsid w:val="007D1AFD"/>
    <w:rsid w:val="007D4B37"/>
    <w:rsid w:val="007D5020"/>
    <w:rsid w:val="007F470D"/>
    <w:rsid w:val="007F4D93"/>
    <w:rsid w:val="007F6D83"/>
    <w:rsid w:val="007F6D90"/>
    <w:rsid w:val="008064A0"/>
    <w:rsid w:val="00807206"/>
    <w:rsid w:val="00826A6C"/>
    <w:rsid w:val="00830524"/>
    <w:rsid w:val="008411EB"/>
    <w:rsid w:val="00844AE2"/>
    <w:rsid w:val="00847461"/>
    <w:rsid w:val="00862B7B"/>
    <w:rsid w:val="00865530"/>
    <w:rsid w:val="00885FE1"/>
    <w:rsid w:val="00897CAD"/>
    <w:rsid w:val="008A325A"/>
    <w:rsid w:val="008B1D0A"/>
    <w:rsid w:val="008B2FDA"/>
    <w:rsid w:val="008C03BE"/>
    <w:rsid w:val="008C7F87"/>
    <w:rsid w:val="008D1039"/>
    <w:rsid w:val="008D11F0"/>
    <w:rsid w:val="008D4199"/>
    <w:rsid w:val="008D6D69"/>
    <w:rsid w:val="008E3E6D"/>
    <w:rsid w:val="008E46F1"/>
    <w:rsid w:val="00901651"/>
    <w:rsid w:val="0090669F"/>
    <w:rsid w:val="00913D1B"/>
    <w:rsid w:val="009378AE"/>
    <w:rsid w:val="009433A6"/>
    <w:rsid w:val="00944EF0"/>
    <w:rsid w:val="0095174A"/>
    <w:rsid w:val="00962806"/>
    <w:rsid w:val="00983EFA"/>
    <w:rsid w:val="009849E0"/>
    <w:rsid w:val="009856BA"/>
    <w:rsid w:val="00997F02"/>
    <w:rsid w:val="009B1CFD"/>
    <w:rsid w:val="009B504A"/>
    <w:rsid w:val="009B6A6A"/>
    <w:rsid w:val="009C3EBC"/>
    <w:rsid w:val="009C695B"/>
    <w:rsid w:val="009D0773"/>
    <w:rsid w:val="009D1BFD"/>
    <w:rsid w:val="009D22FD"/>
    <w:rsid w:val="009D5A78"/>
    <w:rsid w:val="009D6502"/>
    <w:rsid w:val="009D6949"/>
    <w:rsid w:val="009D7634"/>
    <w:rsid w:val="009D77DB"/>
    <w:rsid w:val="009F2767"/>
    <w:rsid w:val="00A05F7C"/>
    <w:rsid w:val="00A0631A"/>
    <w:rsid w:val="00A205F7"/>
    <w:rsid w:val="00A261F3"/>
    <w:rsid w:val="00A26BDC"/>
    <w:rsid w:val="00A33210"/>
    <w:rsid w:val="00A3688D"/>
    <w:rsid w:val="00A42306"/>
    <w:rsid w:val="00A5699D"/>
    <w:rsid w:val="00A648B4"/>
    <w:rsid w:val="00A82AAA"/>
    <w:rsid w:val="00A830D6"/>
    <w:rsid w:val="00A90054"/>
    <w:rsid w:val="00A9732D"/>
    <w:rsid w:val="00AA26E9"/>
    <w:rsid w:val="00AB7890"/>
    <w:rsid w:val="00AC54CB"/>
    <w:rsid w:val="00AC6CE1"/>
    <w:rsid w:val="00AD1A6C"/>
    <w:rsid w:val="00AD393F"/>
    <w:rsid w:val="00AE27BF"/>
    <w:rsid w:val="00AE569D"/>
    <w:rsid w:val="00AF105B"/>
    <w:rsid w:val="00AF467D"/>
    <w:rsid w:val="00B32A4F"/>
    <w:rsid w:val="00B44339"/>
    <w:rsid w:val="00B44780"/>
    <w:rsid w:val="00B50339"/>
    <w:rsid w:val="00B70B3A"/>
    <w:rsid w:val="00B74CCB"/>
    <w:rsid w:val="00B869D3"/>
    <w:rsid w:val="00B96BC9"/>
    <w:rsid w:val="00BA2A88"/>
    <w:rsid w:val="00BC6CBC"/>
    <w:rsid w:val="00BD4F60"/>
    <w:rsid w:val="00BE495D"/>
    <w:rsid w:val="00BF0076"/>
    <w:rsid w:val="00BF20F2"/>
    <w:rsid w:val="00C1078E"/>
    <w:rsid w:val="00C268EF"/>
    <w:rsid w:val="00C27827"/>
    <w:rsid w:val="00C3031D"/>
    <w:rsid w:val="00C35A51"/>
    <w:rsid w:val="00C36F34"/>
    <w:rsid w:val="00C82A15"/>
    <w:rsid w:val="00C8405B"/>
    <w:rsid w:val="00C90826"/>
    <w:rsid w:val="00C91C70"/>
    <w:rsid w:val="00CB793E"/>
    <w:rsid w:val="00CC011D"/>
    <w:rsid w:val="00CC2C36"/>
    <w:rsid w:val="00CC4C09"/>
    <w:rsid w:val="00CD5AE3"/>
    <w:rsid w:val="00CE2749"/>
    <w:rsid w:val="00CF3BD2"/>
    <w:rsid w:val="00CF6BB7"/>
    <w:rsid w:val="00D0210B"/>
    <w:rsid w:val="00D04083"/>
    <w:rsid w:val="00D040E8"/>
    <w:rsid w:val="00D150C3"/>
    <w:rsid w:val="00D26227"/>
    <w:rsid w:val="00D26751"/>
    <w:rsid w:val="00D305D6"/>
    <w:rsid w:val="00D32497"/>
    <w:rsid w:val="00D43DCD"/>
    <w:rsid w:val="00D47ED0"/>
    <w:rsid w:val="00D506B3"/>
    <w:rsid w:val="00D51192"/>
    <w:rsid w:val="00D56127"/>
    <w:rsid w:val="00D65088"/>
    <w:rsid w:val="00D667D9"/>
    <w:rsid w:val="00D712CE"/>
    <w:rsid w:val="00D814A7"/>
    <w:rsid w:val="00D863AB"/>
    <w:rsid w:val="00D86D30"/>
    <w:rsid w:val="00D90BBC"/>
    <w:rsid w:val="00D94333"/>
    <w:rsid w:val="00DB4448"/>
    <w:rsid w:val="00DB59D2"/>
    <w:rsid w:val="00DC53FD"/>
    <w:rsid w:val="00DC58FF"/>
    <w:rsid w:val="00DD1637"/>
    <w:rsid w:val="00DD45CF"/>
    <w:rsid w:val="00DF30A0"/>
    <w:rsid w:val="00DF64B3"/>
    <w:rsid w:val="00E04F58"/>
    <w:rsid w:val="00E128DB"/>
    <w:rsid w:val="00E15A53"/>
    <w:rsid w:val="00E33C75"/>
    <w:rsid w:val="00E36622"/>
    <w:rsid w:val="00E4399C"/>
    <w:rsid w:val="00E46C53"/>
    <w:rsid w:val="00E51E60"/>
    <w:rsid w:val="00E91633"/>
    <w:rsid w:val="00E954CB"/>
    <w:rsid w:val="00EA4312"/>
    <w:rsid w:val="00EB546F"/>
    <w:rsid w:val="00EC3E49"/>
    <w:rsid w:val="00ED49A3"/>
    <w:rsid w:val="00EE554D"/>
    <w:rsid w:val="00F00D0E"/>
    <w:rsid w:val="00F045EE"/>
    <w:rsid w:val="00F17DAD"/>
    <w:rsid w:val="00F2721C"/>
    <w:rsid w:val="00F3371D"/>
    <w:rsid w:val="00F50CBB"/>
    <w:rsid w:val="00F61190"/>
    <w:rsid w:val="00FA54DE"/>
    <w:rsid w:val="00FB17D3"/>
    <w:rsid w:val="00FB3A13"/>
    <w:rsid w:val="00FB3B34"/>
    <w:rsid w:val="00FB5E35"/>
    <w:rsid w:val="00FC1C7E"/>
    <w:rsid w:val="00FC3F50"/>
    <w:rsid w:val="00FD1A24"/>
    <w:rsid w:val="00FD286F"/>
    <w:rsid w:val="00FD4BA7"/>
    <w:rsid w:val="00FD5654"/>
    <w:rsid w:val="00FE6EFC"/>
    <w:rsid w:val="00FF4D9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fr-CH" w:eastAsia="fr-FR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bCs/>
      <w:sz w:val="34"/>
      <w:szCs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bCs/>
      <w:sz w:val="28"/>
      <w:szCs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bCs/>
      <w:sz w:val="24"/>
      <w:szCs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bCs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iCs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bCs/>
      <w:sz w:val="56"/>
      <w:szCs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bCs/>
      <w:sz w:val="40"/>
      <w:szCs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bCs/>
      <w:sz w:val="28"/>
      <w:szCs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bCs/>
      <w:sz w:val="40"/>
      <w:szCs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Pr>
      <w:rFonts w:ascii="Times New Roman" w:hAnsi="Times New Roman" w:cs="Times New Roman"/>
      <w:sz w:val="18"/>
      <w:szCs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 w:cs="Times New Roman"/>
      <w:sz w:val="18"/>
      <w:szCs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KoptekstTeken"/>
    <w:uiPriority w:val="99"/>
    <w:pPr>
      <w:pBdr>
        <w:bottom w:val="single" w:sz="4" w:space="4" w:color="auto"/>
      </w:pBdr>
      <w:spacing w:line="240" w:lineRule="auto"/>
    </w:pPr>
    <w:rPr>
      <w:b/>
      <w:bCs/>
      <w:sz w:val="18"/>
      <w:szCs w:val="18"/>
    </w:rPr>
  </w:style>
  <w:style w:type="paragraph" w:styleId="FootnoteText">
    <w:name w:val="footnote text"/>
    <w:aliases w:val="5_G"/>
    <w:basedOn w:val="Normal"/>
    <w:link w:val="VoetnoottekstTeken"/>
    <w:pPr>
      <w:tabs>
        <w:tab w:val="right" w:pos="1021"/>
      </w:tabs>
      <w:spacing w:line="220" w:lineRule="exact"/>
      <w:ind w:left="1134" w:right="1134" w:hanging="1134"/>
    </w:pPr>
    <w:rPr>
      <w:sz w:val="18"/>
      <w:szCs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 w:cs="Times New Roman"/>
      <w:b/>
      <w:bCs/>
      <w:sz w:val="18"/>
      <w:szCs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  <w:szCs w:val="16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fr-FR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 w:cs="Times New Roman"/>
      <w:sz w:val="16"/>
      <w:szCs w:val="16"/>
      <w:lang w:val="fr-CH"/>
    </w:rPr>
  </w:style>
  <w:style w:type="paragraph" w:customStyle="1" w:styleId="Rvision1">
    <w:name w:val="Révision1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bCs/>
      <w:sz w:val="24"/>
      <w:szCs w:val="24"/>
      <w:lang w:val="fr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VoetnoottekstTeken">
    <w:name w:val="Voetnoottekst Teken"/>
    <w:aliases w:val="5_G Teken"/>
    <w:link w:val="FootnoteText"/>
    <w:rsid w:val="00BF0076"/>
    <w:rPr>
      <w:snapToGrid w:val="0"/>
      <w:sz w:val="18"/>
      <w:szCs w:val="18"/>
      <w:lang w:val="fr-CH" w:eastAsia="fr-FR"/>
    </w:rPr>
  </w:style>
  <w:style w:type="character" w:customStyle="1" w:styleId="SingleTxtGChar">
    <w:name w:val="_ Single Txt_G Char"/>
    <w:link w:val="SingleTxtG"/>
    <w:rsid w:val="00BF0076"/>
    <w:rPr>
      <w:snapToGrid w:val="0"/>
      <w:lang w:val="fr-CH" w:eastAsia="fr-FR"/>
    </w:rPr>
  </w:style>
  <w:style w:type="paragraph" w:styleId="ListParagraph">
    <w:name w:val="List Paragraph"/>
    <w:basedOn w:val="Normal"/>
    <w:uiPriority w:val="34"/>
    <w:qFormat/>
    <w:rsid w:val="00BF00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de-DE" w:eastAsia="en-US"/>
    </w:rPr>
  </w:style>
  <w:style w:type="character" w:styleId="CommentReference">
    <w:name w:val="annotation reference"/>
    <w:rsid w:val="00345BE7"/>
    <w:rPr>
      <w:sz w:val="16"/>
      <w:szCs w:val="16"/>
    </w:rPr>
  </w:style>
  <w:style w:type="paragraph" w:styleId="CommentText">
    <w:name w:val="annotation text"/>
    <w:basedOn w:val="Normal"/>
    <w:link w:val="TekstopmerkingTeken"/>
    <w:rsid w:val="00345BE7"/>
  </w:style>
  <w:style w:type="character" w:customStyle="1" w:styleId="TekstopmerkingTeken">
    <w:name w:val="Tekst opmerking Teken"/>
    <w:link w:val="CommentText"/>
    <w:rsid w:val="00345BE7"/>
    <w:rPr>
      <w:snapToGrid/>
      <w:lang w:val="fr-CH" w:eastAsia="fr-FR"/>
    </w:rPr>
  </w:style>
  <w:style w:type="paragraph" w:styleId="CommentSubject">
    <w:name w:val="annotation subject"/>
    <w:basedOn w:val="CommentText"/>
    <w:next w:val="CommentText"/>
    <w:link w:val="OnderwerpvanopmerkingTeken"/>
    <w:rsid w:val="00345BE7"/>
    <w:rPr>
      <w:b/>
      <w:bCs/>
    </w:rPr>
  </w:style>
  <w:style w:type="character" w:customStyle="1" w:styleId="OnderwerpvanopmerkingTeken">
    <w:name w:val="Onderwerp van opmerking Teken"/>
    <w:link w:val="CommentSubject"/>
    <w:rsid w:val="00345BE7"/>
    <w:rPr>
      <w:b/>
      <w:bCs/>
      <w:snapToGrid/>
      <w:lang w:val="fr-CH" w:eastAsia="fr-FR"/>
    </w:rPr>
  </w:style>
  <w:style w:type="character" w:customStyle="1" w:styleId="KoptekstTeken">
    <w:name w:val="Koptekst Teken"/>
    <w:aliases w:val="6_G Teken"/>
    <w:link w:val="Header"/>
    <w:uiPriority w:val="99"/>
    <w:rsid w:val="00D863AB"/>
    <w:rPr>
      <w:b/>
      <w:bCs/>
      <w:snapToGrid/>
      <w:sz w:val="18"/>
      <w:szCs w:val="18"/>
      <w:lang w:val="fr-CH"/>
    </w:rPr>
  </w:style>
  <w:style w:type="paragraph" w:styleId="Revision">
    <w:name w:val="Revision"/>
    <w:hidden/>
    <w:uiPriority w:val="99"/>
    <w:semiHidden/>
    <w:rsid w:val="007D0E13"/>
    <w:rPr>
      <w:snapToGrid w:val="0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fr-CH" w:eastAsia="fr-FR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bCs/>
      <w:sz w:val="34"/>
      <w:szCs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bCs/>
      <w:sz w:val="28"/>
      <w:szCs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bCs/>
      <w:sz w:val="24"/>
      <w:szCs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bCs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iCs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bCs/>
      <w:sz w:val="56"/>
      <w:szCs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bCs/>
      <w:sz w:val="40"/>
      <w:szCs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bCs/>
      <w:sz w:val="28"/>
      <w:szCs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bCs/>
      <w:sz w:val="40"/>
      <w:szCs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Pr>
      <w:rFonts w:ascii="Times New Roman" w:hAnsi="Times New Roman" w:cs="Times New Roman"/>
      <w:sz w:val="18"/>
      <w:szCs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semiHidden/>
    <w:rPr>
      <w:rFonts w:ascii="Times New Roman" w:hAnsi="Times New Roman" w:cs="Times New Roman"/>
      <w:sz w:val="18"/>
      <w:szCs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KoptekstTeken"/>
    <w:uiPriority w:val="99"/>
    <w:pPr>
      <w:pBdr>
        <w:bottom w:val="single" w:sz="4" w:space="4" w:color="auto"/>
      </w:pBdr>
      <w:spacing w:line="240" w:lineRule="auto"/>
    </w:pPr>
    <w:rPr>
      <w:b/>
      <w:bCs/>
      <w:sz w:val="18"/>
      <w:szCs w:val="18"/>
    </w:rPr>
  </w:style>
  <w:style w:type="paragraph" w:styleId="FootnoteText">
    <w:name w:val="footnote text"/>
    <w:aliases w:val="5_G"/>
    <w:basedOn w:val="Normal"/>
    <w:link w:val="VoetnoottekstTeken"/>
    <w:pPr>
      <w:tabs>
        <w:tab w:val="right" w:pos="1021"/>
      </w:tabs>
      <w:spacing w:line="220" w:lineRule="exact"/>
      <w:ind w:left="1134" w:right="1134" w:hanging="1134"/>
    </w:pPr>
    <w:rPr>
      <w:sz w:val="18"/>
      <w:szCs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 w:cs="Times New Roman"/>
      <w:b/>
      <w:bCs/>
      <w:sz w:val="18"/>
      <w:szCs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  <w:szCs w:val="16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de-DE" w:eastAsia="fr-FR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 w:cs="Times New Roman"/>
      <w:sz w:val="16"/>
      <w:szCs w:val="16"/>
      <w:lang w:val="fr-CH"/>
    </w:rPr>
  </w:style>
  <w:style w:type="paragraph" w:customStyle="1" w:styleId="Rvision1">
    <w:name w:val="Révision1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bCs/>
      <w:sz w:val="24"/>
      <w:szCs w:val="24"/>
      <w:lang w:val="fr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VoetnoottekstTeken">
    <w:name w:val="Voetnoottekst Teken"/>
    <w:aliases w:val="5_G Teken"/>
    <w:link w:val="FootnoteText"/>
    <w:rsid w:val="00BF0076"/>
    <w:rPr>
      <w:snapToGrid w:val="0"/>
      <w:sz w:val="18"/>
      <w:szCs w:val="18"/>
      <w:lang w:val="fr-CH" w:eastAsia="fr-FR"/>
    </w:rPr>
  </w:style>
  <w:style w:type="character" w:customStyle="1" w:styleId="SingleTxtGChar">
    <w:name w:val="_ Single Txt_G Char"/>
    <w:link w:val="SingleTxtG"/>
    <w:rsid w:val="00BF0076"/>
    <w:rPr>
      <w:snapToGrid w:val="0"/>
      <w:lang w:val="fr-CH" w:eastAsia="fr-FR"/>
    </w:rPr>
  </w:style>
  <w:style w:type="paragraph" w:styleId="ListParagraph">
    <w:name w:val="List Paragraph"/>
    <w:basedOn w:val="Normal"/>
    <w:uiPriority w:val="34"/>
    <w:qFormat/>
    <w:rsid w:val="00BF00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de-DE" w:eastAsia="en-US"/>
    </w:rPr>
  </w:style>
  <w:style w:type="character" w:styleId="CommentReference">
    <w:name w:val="annotation reference"/>
    <w:rsid w:val="00345BE7"/>
    <w:rPr>
      <w:sz w:val="16"/>
      <w:szCs w:val="16"/>
    </w:rPr>
  </w:style>
  <w:style w:type="paragraph" w:styleId="CommentText">
    <w:name w:val="annotation text"/>
    <w:basedOn w:val="Normal"/>
    <w:link w:val="TekstopmerkingTeken"/>
    <w:rsid w:val="00345BE7"/>
  </w:style>
  <w:style w:type="character" w:customStyle="1" w:styleId="TekstopmerkingTeken">
    <w:name w:val="Tekst opmerking Teken"/>
    <w:link w:val="CommentText"/>
    <w:rsid w:val="00345BE7"/>
    <w:rPr>
      <w:snapToGrid/>
      <w:lang w:val="fr-CH" w:eastAsia="fr-FR"/>
    </w:rPr>
  </w:style>
  <w:style w:type="paragraph" w:styleId="CommentSubject">
    <w:name w:val="annotation subject"/>
    <w:basedOn w:val="CommentText"/>
    <w:next w:val="CommentText"/>
    <w:link w:val="OnderwerpvanopmerkingTeken"/>
    <w:rsid w:val="00345BE7"/>
    <w:rPr>
      <w:b/>
      <w:bCs/>
    </w:rPr>
  </w:style>
  <w:style w:type="character" w:customStyle="1" w:styleId="OnderwerpvanopmerkingTeken">
    <w:name w:val="Onderwerp van opmerking Teken"/>
    <w:link w:val="CommentSubject"/>
    <w:rsid w:val="00345BE7"/>
    <w:rPr>
      <w:b/>
      <w:bCs/>
      <w:snapToGrid/>
      <w:lang w:val="fr-CH" w:eastAsia="fr-FR"/>
    </w:rPr>
  </w:style>
  <w:style w:type="character" w:customStyle="1" w:styleId="KoptekstTeken">
    <w:name w:val="Koptekst Teken"/>
    <w:aliases w:val="6_G Teken"/>
    <w:link w:val="Header"/>
    <w:uiPriority w:val="99"/>
    <w:rsid w:val="00D863AB"/>
    <w:rPr>
      <w:b/>
      <w:bCs/>
      <w:snapToGrid/>
      <w:sz w:val="18"/>
      <w:szCs w:val="18"/>
      <w:lang w:val="fr-CH"/>
    </w:rPr>
  </w:style>
  <w:style w:type="paragraph" w:styleId="Revision">
    <w:name w:val="Revision"/>
    <w:hidden/>
    <w:uiPriority w:val="99"/>
    <w:semiHidden/>
    <w:rsid w:val="007D0E13"/>
    <w:rPr>
      <w:snapToGrid w:val="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DC42-4702-480B-BF33-7332AE2D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ECE/TRANS/WP.15/AC.2/2011/20</vt:lpstr>
      <vt:lpstr>ECE/TRANS/WP.15/AC.2/2011/20</vt:lpstr>
      <vt:lpstr>ECE/TRANS/WP.15/AC.2/2011/20</vt:lpstr>
    </vt:vector>
  </TitlesOfParts>
  <Company>Kocarek Übersetzungen e.K.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ECE/TRANS/WP.15/AC.2/2011/20</dc:title>
  <dc:subject>FINAL (1-2)</dc:subject>
  <dc:creator>www.kocarek-uebersetzungen.com</dc:creator>
  <cp:lastModifiedBy>Caillot</cp:lastModifiedBy>
  <cp:revision>2</cp:revision>
  <cp:lastPrinted>2015-01-22T12:27:00Z</cp:lastPrinted>
  <dcterms:created xsi:type="dcterms:W3CDTF">2015-01-22T15:11:00Z</dcterms:created>
  <dcterms:modified xsi:type="dcterms:W3CDTF">2015-01-22T15:11:00Z</dcterms:modified>
</cp:coreProperties>
</file>