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992957" w:rsidRPr="00992957" w:rsidTr="001510F3">
        <w:trPr>
          <w:cantSplit/>
          <w:trHeight w:hRule="exact" w:val="429"/>
        </w:trPr>
        <w:tc>
          <w:tcPr>
            <w:tcW w:w="1276" w:type="dxa"/>
            <w:tcBorders>
              <w:bottom w:val="single" w:sz="4" w:space="0" w:color="auto"/>
            </w:tcBorders>
            <w:vAlign w:val="bottom"/>
          </w:tcPr>
          <w:p w:rsidR="00992957" w:rsidRPr="00992957" w:rsidRDefault="00992957" w:rsidP="00992957">
            <w:pPr>
              <w:suppressAutoHyphens/>
              <w:spacing w:after="0" w:line="240" w:lineRule="atLeast"/>
              <w:rPr>
                <w:snapToGrid w:val="0"/>
                <w:sz w:val="20"/>
                <w:lang w:eastAsia="fr-FR"/>
              </w:rPr>
            </w:pPr>
            <w:bookmarkStart w:id="0" w:name="OLE_LINK1"/>
            <w:bookmarkStart w:id="1" w:name="OLE_LINK2"/>
          </w:p>
        </w:tc>
        <w:tc>
          <w:tcPr>
            <w:tcW w:w="8363" w:type="dxa"/>
            <w:gridSpan w:val="2"/>
            <w:tcBorders>
              <w:bottom w:val="single" w:sz="4" w:space="0" w:color="auto"/>
            </w:tcBorders>
            <w:vAlign w:val="bottom"/>
          </w:tcPr>
          <w:p w:rsidR="00992957" w:rsidRPr="00992957" w:rsidRDefault="00992957" w:rsidP="00992957">
            <w:pPr>
              <w:suppressAutoHyphens/>
              <w:spacing w:after="0" w:line="240" w:lineRule="atLeast"/>
              <w:jc w:val="right"/>
              <w:rPr>
                <w:snapToGrid w:val="0"/>
                <w:sz w:val="20"/>
                <w:lang w:eastAsia="fr-FR"/>
              </w:rPr>
            </w:pPr>
            <w:r w:rsidRPr="00992957">
              <w:rPr>
                <w:b/>
                <w:snapToGrid w:val="0"/>
                <w:sz w:val="40"/>
                <w:szCs w:val="40"/>
                <w:lang w:eastAsia="fr-FR"/>
              </w:rPr>
              <w:t>INF.</w:t>
            </w:r>
            <w:r>
              <w:rPr>
                <w:b/>
                <w:snapToGrid w:val="0"/>
                <w:sz w:val="40"/>
                <w:szCs w:val="40"/>
                <w:lang w:eastAsia="fr-FR"/>
              </w:rPr>
              <w:t>32</w:t>
            </w:r>
          </w:p>
        </w:tc>
      </w:tr>
      <w:tr w:rsidR="00992957" w:rsidRPr="00992957" w:rsidTr="001510F3">
        <w:trPr>
          <w:cantSplit/>
          <w:trHeight w:hRule="exact" w:val="3833"/>
        </w:trPr>
        <w:tc>
          <w:tcPr>
            <w:tcW w:w="6804" w:type="dxa"/>
            <w:gridSpan w:val="2"/>
            <w:tcBorders>
              <w:top w:val="single" w:sz="4" w:space="0" w:color="auto"/>
              <w:bottom w:val="single" w:sz="12" w:space="0" w:color="auto"/>
            </w:tcBorders>
          </w:tcPr>
          <w:p w:rsidR="00992957" w:rsidRPr="00992957" w:rsidRDefault="00992957" w:rsidP="00992957">
            <w:pPr>
              <w:suppressAutoHyphens/>
              <w:spacing w:before="120" w:after="0" w:line="240" w:lineRule="atLeast"/>
              <w:rPr>
                <w:b/>
                <w:snapToGrid w:val="0"/>
                <w:sz w:val="28"/>
                <w:szCs w:val="28"/>
                <w:lang w:val="fr-CH" w:eastAsia="fr-FR"/>
              </w:rPr>
            </w:pPr>
            <w:r w:rsidRPr="00992957">
              <w:rPr>
                <w:b/>
                <w:snapToGrid w:val="0"/>
                <w:sz w:val="28"/>
                <w:szCs w:val="28"/>
                <w:lang w:val="fr-CH" w:eastAsia="fr-FR"/>
              </w:rPr>
              <w:t>Commission économique pour l’Europe</w:t>
            </w:r>
          </w:p>
          <w:p w:rsidR="00992957" w:rsidRPr="00992957" w:rsidRDefault="00992957" w:rsidP="00992957">
            <w:pPr>
              <w:suppressAutoHyphens/>
              <w:spacing w:before="120" w:after="0" w:line="240" w:lineRule="atLeast"/>
              <w:rPr>
                <w:snapToGrid w:val="0"/>
                <w:sz w:val="28"/>
                <w:szCs w:val="28"/>
                <w:lang w:val="fr-CH" w:eastAsia="fr-FR"/>
              </w:rPr>
            </w:pPr>
            <w:r w:rsidRPr="00992957">
              <w:rPr>
                <w:snapToGrid w:val="0"/>
                <w:sz w:val="28"/>
                <w:szCs w:val="28"/>
                <w:lang w:val="fr-CH" w:eastAsia="fr-FR"/>
              </w:rPr>
              <w:t>Comité des transports intérieurs</w:t>
            </w:r>
          </w:p>
          <w:p w:rsidR="00992957" w:rsidRPr="00992957" w:rsidRDefault="00992957" w:rsidP="00992957">
            <w:pPr>
              <w:suppressAutoHyphens/>
              <w:spacing w:before="120" w:after="0" w:line="240" w:lineRule="atLeast"/>
              <w:rPr>
                <w:b/>
                <w:snapToGrid w:val="0"/>
                <w:szCs w:val="24"/>
                <w:lang w:val="fr-CH" w:eastAsia="fr-FR"/>
              </w:rPr>
            </w:pPr>
            <w:r w:rsidRPr="00992957">
              <w:rPr>
                <w:b/>
                <w:snapToGrid w:val="0"/>
                <w:szCs w:val="24"/>
                <w:lang w:val="fr-CH" w:eastAsia="fr-FR"/>
              </w:rPr>
              <w:t>Groupe de travail des transports de marchandises dangereuses</w:t>
            </w:r>
          </w:p>
          <w:p w:rsidR="00992957" w:rsidRPr="00992957" w:rsidRDefault="00992957" w:rsidP="00992957">
            <w:pPr>
              <w:suppressAutoHyphens/>
              <w:spacing w:before="120" w:after="0" w:line="240" w:lineRule="atLeast"/>
              <w:rPr>
                <w:b/>
                <w:snapToGrid w:val="0"/>
                <w:sz w:val="20"/>
                <w:lang w:val="fr-CH" w:eastAsia="fr-FR"/>
              </w:rPr>
            </w:pPr>
            <w:r w:rsidRPr="00992957">
              <w:rPr>
                <w:b/>
                <w:snapToGrid w:val="0"/>
                <w:sz w:val="20"/>
                <w:lang w:val="fr-FR" w:eastAsia="fr-FR"/>
              </w:rPr>
              <w:t>Réunion commune d’experts sur le Règlement annexé</w:t>
            </w:r>
            <w:r w:rsidRPr="00992957">
              <w:rPr>
                <w:b/>
                <w:snapToGrid w:val="0"/>
                <w:sz w:val="20"/>
                <w:lang w:val="fr-FR" w:eastAsia="fr-FR"/>
              </w:rPr>
              <w:br/>
              <w:t>à l’Accord européen relatif au transport international</w:t>
            </w:r>
            <w:r w:rsidRPr="00992957">
              <w:rPr>
                <w:b/>
                <w:snapToGrid w:val="0"/>
                <w:sz w:val="20"/>
                <w:lang w:val="fr-FR" w:eastAsia="fr-FR"/>
              </w:rPr>
              <w:br/>
              <w:t xml:space="preserve">des marchandises </w:t>
            </w:r>
            <w:r w:rsidRPr="00992957">
              <w:rPr>
                <w:b/>
                <w:bCs/>
                <w:iCs/>
                <w:snapToGrid w:val="0"/>
                <w:sz w:val="20"/>
                <w:lang w:val="fr-FR" w:eastAsia="fr-FR"/>
              </w:rPr>
              <w:t>dangereuses par voies de navigation</w:t>
            </w:r>
            <w:r w:rsidRPr="00992957">
              <w:rPr>
                <w:b/>
                <w:bCs/>
                <w:iCs/>
                <w:snapToGrid w:val="0"/>
                <w:sz w:val="20"/>
                <w:lang w:val="fr-FR" w:eastAsia="fr-FR"/>
              </w:rPr>
              <w:br/>
              <w:t xml:space="preserve">intérieures (ADN) </w:t>
            </w:r>
            <w:r w:rsidRPr="00992957">
              <w:rPr>
                <w:b/>
                <w:bCs/>
                <w:snapToGrid w:val="0"/>
                <w:sz w:val="20"/>
                <w:lang w:val="fr-FR" w:eastAsia="fr-FR"/>
              </w:rPr>
              <w:t>(Comité de sécurité de l’ADN)</w:t>
            </w:r>
          </w:p>
          <w:p w:rsidR="00992957" w:rsidRPr="00992957" w:rsidRDefault="00992957" w:rsidP="00992957">
            <w:pPr>
              <w:suppressAutoHyphens/>
              <w:spacing w:before="120" w:after="0" w:line="240" w:lineRule="atLeast"/>
              <w:rPr>
                <w:b/>
                <w:snapToGrid w:val="0"/>
                <w:sz w:val="20"/>
                <w:lang w:val="fr-CH" w:eastAsia="fr-FR"/>
              </w:rPr>
            </w:pPr>
            <w:r w:rsidRPr="00992957">
              <w:rPr>
                <w:b/>
                <w:snapToGrid w:val="0"/>
                <w:sz w:val="20"/>
                <w:lang w:val="fr-CH" w:eastAsia="fr-FR"/>
              </w:rPr>
              <w:t>Vingt-sixième session</w:t>
            </w:r>
          </w:p>
          <w:p w:rsidR="00992957" w:rsidRPr="00992957" w:rsidRDefault="00992957" w:rsidP="00992957">
            <w:pPr>
              <w:suppressAutoHyphens/>
              <w:spacing w:after="0" w:line="240" w:lineRule="atLeast"/>
              <w:rPr>
                <w:snapToGrid w:val="0"/>
                <w:sz w:val="20"/>
                <w:lang w:val="fr-CH" w:eastAsia="fr-FR"/>
              </w:rPr>
            </w:pPr>
            <w:r w:rsidRPr="00992957">
              <w:rPr>
                <w:snapToGrid w:val="0"/>
                <w:sz w:val="20"/>
                <w:lang w:val="fr-CH" w:eastAsia="fr-FR"/>
              </w:rPr>
              <w:t>Genève, 27-30 janvier 2015</w:t>
            </w:r>
          </w:p>
          <w:p w:rsidR="00992957" w:rsidRPr="00992957" w:rsidRDefault="00992957" w:rsidP="00992957">
            <w:pPr>
              <w:suppressAutoHyphens/>
              <w:spacing w:after="0" w:line="240" w:lineRule="atLeast"/>
              <w:rPr>
                <w:snapToGrid w:val="0"/>
                <w:sz w:val="20"/>
                <w:lang w:val="fr-CH" w:eastAsia="fr-FR"/>
              </w:rPr>
            </w:pPr>
            <w:r w:rsidRPr="00992957">
              <w:rPr>
                <w:snapToGrid w:val="0"/>
                <w:sz w:val="20"/>
                <w:lang w:val="fr-CH" w:eastAsia="fr-FR"/>
              </w:rPr>
              <w:t>Point 5 b) de l’ordre du jour provisoire</w:t>
            </w:r>
          </w:p>
          <w:p w:rsidR="00992957" w:rsidRPr="00992957" w:rsidRDefault="00992957" w:rsidP="00992957">
            <w:pPr>
              <w:suppressAutoHyphens/>
              <w:spacing w:after="0" w:line="240" w:lineRule="atLeast"/>
              <w:rPr>
                <w:b/>
                <w:snapToGrid w:val="0"/>
                <w:sz w:val="20"/>
                <w:lang w:val="fr-CH" w:eastAsia="fr-FR"/>
              </w:rPr>
            </w:pPr>
            <w:r w:rsidRPr="00992957">
              <w:rPr>
                <w:b/>
                <w:snapToGrid w:val="0"/>
                <w:sz w:val="20"/>
                <w:lang w:val="fr-CH" w:eastAsia="fr-FR"/>
              </w:rPr>
              <w:t>Propositions d’amendements au Règlement annexé à l’ADN:</w:t>
            </w:r>
          </w:p>
          <w:p w:rsidR="00992957" w:rsidRPr="00992957" w:rsidRDefault="00992957" w:rsidP="00992957">
            <w:pPr>
              <w:suppressAutoHyphens/>
              <w:spacing w:after="0" w:line="240" w:lineRule="atLeast"/>
              <w:rPr>
                <w:b/>
                <w:snapToGrid w:val="0"/>
                <w:sz w:val="20"/>
                <w:lang w:val="fr-CH" w:eastAsia="fr-FR"/>
              </w:rPr>
            </w:pPr>
            <w:r w:rsidRPr="00992957">
              <w:rPr>
                <w:b/>
                <w:snapToGrid w:val="0"/>
                <w:sz w:val="20"/>
                <w:lang w:val="fr-CH" w:eastAsia="fr-FR"/>
              </w:rPr>
              <w:t>Autres propositions</w:t>
            </w:r>
          </w:p>
        </w:tc>
        <w:tc>
          <w:tcPr>
            <w:tcW w:w="2835" w:type="dxa"/>
            <w:tcBorders>
              <w:top w:val="single" w:sz="4" w:space="0" w:color="auto"/>
              <w:bottom w:val="single" w:sz="12" w:space="0" w:color="auto"/>
            </w:tcBorders>
          </w:tcPr>
          <w:p w:rsidR="00992957" w:rsidRPr="00992957" w:rsidRDefault="00992957" w:rsidP="00992957">
            <w:pPr>
              <w:suppressAutoHyphens/>
              <w:spacing w:before="120" w:after="0" w:line="240" w:lineRule="atLeast"/>
              <w:rPr>
                <w:snapToGrid w:val="0"/>
                <w:sz w:val="20"/>
                <w:lang w:eastAsia="fr-FR"/>
              </w:rPr>
            </w:pPr>
          </w:p>
          <w:p w:rsidR="00992957" w:rsidRPr="00992957" w:rsidRDefault="00992957" w:rsidP="00992957">
            <w:pPr>
              <w:suppressAutoHyphens/>
              <w:spacing w:before="120" w:after="0" w:line="240" w:lineRule="atLeast"/>
              <w:rPr>
                <w:snapToGrid w:val="0"/>
                <w:sz w:val="20"/>
                <w:lang w:eastAsia="fr-FR"/>
              </w:rPr>
            </w:pPr>
            <w:proofErr w:type="spellStart"/>
            <w:r w:rsidRPr="00992957">
              <w:rPr>
                <w:snapToGrid w:val="0"/>
                <w:sz w:val="20"/>
                <w:lang w:eastAsia="fr-FR"/>
              </w:rPr>
              <w:t>Français</w:t>
            </w:r>
            <w:proofErr w:type="spellEnd"/>
          </w:p>
          <w:p w:rsidR="00992957" w:rsidRPr="00992957" w:rsidRDefault="00992957" w:rsidP="00992957">
            <w:pPr>
              <w:suppressAutoHyphens/>
              <w:spacing w:before="120" w:after="0" w:line="240" w:lineRule="atLeast"/>
              <w:rPr>
                <w:snapToGrid w:val="0"/>
                <w:sz w:val="20"/>
                <w:lang w:eastAsia="fr-FR"/>
              </w:rPr>
            </w:pPr>
            <w:r w:rsidRPr="00992957">
              <w:rPr>
                <w:snapToGrid w:val="0"/>
                <w:sz w:val="20"/>
                <w:lang w:eastAsia="fr-FR"/>
              </w:rPr>
              <w:t>2</w:t>
            </w:r>
            <w:r>
              <w:rPr>
                <w:snapToGrid w:val="0"/>
                <w:sz w:val="20"/>
                <w:lang w:eastAsia="fr-FR"/>
              </w:rPr>
              <w:t>3</w:t>
            </w:r>
            <w:r w:rsidRPr="00992957">
              <w:rPr>
                <w:snapToGrid w:val="0"/>
                <w:sz w:val="20"/>
                <w:lang w:eastAsia="fr-FR"/>
              </w:rPr>
              <w:t xml:space="preserve"> </w:t>
            </w:r>
            <w:proofErr w:type="spellStart"/>
            <w:r w:rsidRPr="00992957">
              <w:rPr>
                <w:snapToGrid w:val="0"/>
                <w:sz w:val="20"/>
                <w:lang w:eastAsia="fr-FR"/>
              </w:rPr>
              <w:t>janvier</w:t>
            </w:r>
            <w:proofErr w:type="spellEnd"/>
            <w:r w:rsidRPr="00992957">
              <w:rPr>
                <w:snapToGrid w:val="0"/>
                <w:sz w:val="20"/>
                <w:lang w:eastAsia="fr-FR"/>
              </w:rPr>
              <w:t xml:space="preserve"> 2015</w:t>
            </w:r>
          </w:p>
        </w:tc>
      </w:tr>
    </w:tbl>
    <w:bookmarkEnd w:id="0"/>
    <w:bookmarkEnd w:id="1"/>
    <w:p w:rsidR="00A909D8" w:rsidRPr="00992957" w:rsidRDefault="00992957" w:rsidP="00992957">
      <w:pPr>
        <w:pStyle w:val="HChG"/>
        <w:rPr>
          <w:b w:val="0"/>
          <w:szCs w:val="28"/>
          <w:lang w:val="fr-FR"/>
        </w:rPr>
      </w:pPr>
      <w:r w:rsidRPr="00992957">
        <w:rPr>
          <w:szCs w:val="28"/>
          <w:lang w:val="fr-FR"/>
        </w:rPr>
        <w:tab/>
      </w:r>
      <w:r w:rsidRPr="00992957">
        <w:rPr>
          <w:szCs w:val="28"/>
          <w:lang w:val="fr-FR"/>
        </w:rPr>
        <w:tab/>
      </w:r>
      <w:r w:rsidR="00BB0C5F" w:rsidRPr="00992957">
        <w:rPr>
          <w:szCs w:val="28"/>
          <w:lang w:val="fr-FR"/>
        </w:rPr>
        <w:t>Délai d'attente après le chargement</w:t>
      </w:r>
    </w:p>
    <w:p w:rsidR="00BC51C3" w:rsidRPr="00556490" w:rsidRDefault="00992957" w:rsidP="00992957">
      <w:pPr>
        <w:pStyle w:val="H1G"/>
        <w:rPr>
          <w:b w:val="0"/>
          <w:bCs/>
          <w:sz w:val="22"/>
          <w:szCs w:val="22"/>
          <w:vertAlign w:val="superscript"/>
          <w:lang w:val="fr-FR"/>
        </w:rPr>
      </w:pPr>
      <w:r>
        <w:rPr>
          <w:sz w:val="22"/>
          <w:szCs w:val="22"/>
          <w:lang w:val="fr-FR"/>
        </w:rPr>
        <w:tab/>
      </w:r>
      <w:r>
        <w:rPr>
          <w:sz w:val="22"/>
          <w:szCs w:val="22"/>
          <w:lang w:val="fr-FR"/>
        </w:rPr>
        <w:tab/>
      </w:r>
      <w:r w:rsidR="00905493" w:rsidRPr="00556490">
        <w:rPr>
          <w:sz w:val="22"/>
          <w:szCs w:val="22"/>
          <w:lang w:val="fr-FR"/>
        </w:rPr>
        <w:t xml:space="preserve">Soumis par le </w:t>
      </w:r>
      <w:r w:rsidR="00905493" w:rsidRPr="00992957">
        <w:rPr>
          <w:snapToGrid/>
          <w:lang w:val="fr-FR" w:eastAsia="en-US"/>
        </w:rPr>
        <w:t>CEFIC</w:t>
      </w:r>
      <w:r w:rsidR="00905493" w:rsidRPr="00556490">
        <w:rPr>
          <w:sz w:val="22"/>
          <w:szCs w:val="22"/>
          <w:lang w:val="fr-FR"/>
        </w:rPr>
        <w:t xml:space="preserve"> (Conseil européen de l'industrie chimique)</w:t>
      </w:r>
    </w:p>
    <w:p w:rsidR="0042079F" w:rsidRPr="00556490" w:rsidRDefault="00992957" w:rsidP="00992957">
      <w:pPr>
        <w:pStyle w:val="H1G"/>
        <w:rPr>
          <w:lang w:val="fr-FR"/>
        </w:rPr>
      </w:pPr>
      <w:r>
        <w:rPr>
          <w:lang w:val="fr-FR"/>
        </w:rPr>
        <w:tab/>
        <w:t>I.</w:t>
      </w:r>
      <w:r>
        <w:rPr>
          <w:lang w:val="fr-FR"/>
        </w:rPr>
        <w:tab/>
      </w:r>
      <w:r w:rsidR="0042079F" w:rsidRPr="00556490">
        <w:rPr>
          <w:lang w:val="fr-FR"/>
        </w:rPr>
        <w:t>Introduction</w:t>
      </w:r>
    </w:p>
    <w:p w:rsidR="0042079F" w:rsidRPr="00556490" w:rsidRDefault="0042079F" w:rsidP="00992957">
      <w:pPr>
        <w:pStyle w:val="SingleTxtG"/>
        <w:rPr>
          <w:color w:val="000000"/>
          <w:lang w:val="fr-FR" w:eastAsia="zh-CN"/>
        </w:rPr>
      </w:pPr>
      <w:r w:rsidRPr="00556490">
        <w:rPr>
          <w:color w:val="000000"/>
          <w:lang w:val="fr-FR" w:eastAsia="zh-CN"/>
        </w:rPr>
        <w:t xml:space="preserve">Dans les différentes </w:t>
      </w:r>
      <w:r w:rsidRPr="00992957">
        <w:rPr>
          <w:snapToGrid/>
          <w:lang w:val="fr-FR" w:eastAsia="en-US"/>
        </w:rPr>
        <w:t>réglementations</w:t>
      </w:r>
      <w:r w:rsidRPr="00556490">
        <w:rPr>
          <w:color w:val="000000"/>
          <w:lang w:val="fr-FR" w:eastAsia="zh-CN"/>
        </w:rPr>
        <w:t xml:space="preserve"> et publications concernant la gestion de marchandises dangereuses figurent des indications divergentes concernant les délais d'attente avant l'ouverture de dispositifs sur les citernes à cargaison</w:t>
      </w:r>
      <w:r w:rsidR="00AB4E9E">
        <w:rPr>
          <w:color w:val="000000"/>
          <w:lang w:val="fr-FR" w:eastAsia="zh-CN"/>
        </w:rPr>
        <w:t>.</w:t>
      </w:r>
    </w:p>
    <w:p w:rsidR="0042079F" w:rsidRPr="00556490" w:rsidRDefault="00992957" w:rsidP="00992957">
      <w:pPr>
        <w:pStyle w:val="H23G"/>
        <w:rPr>
          <w:b w:val="0"/>
          <w:bCs/>
          <w:color w:val="000000"/>
          <w:lang w:val="fr-FR" w:eastAsia="zh-CN"/>
        </w:rPr>
      </w:pPr>
      <w:r>
        <w:rPr>
          <w:bCs/>
          <w:color w:val="000000"/>
          <w:lang w:val="fr-FR" w:eastAsia="zh-CN"/>
        </w:rPr>
        <w:tab/>
      </w:r>
      <w:r w:rsidR="0042079F" w:rsidRPr="00556490">
        <w:rPr>
          <w:bCs/>
          <w:color w:val="000000"/>
          <w:lang w:val="fr-FR" w:eastAsia="zh-CN"/>
        </w:rPr>
        <w:t>1.</w:t>
      </w:r>
      <w:r>
        <w:rPr>
          <w:bCs/>
          <w:color w:val="000000"/>
          <w:lang w:val="fr-FR" w:eastAsia="zh-CN"/>
        </w:rPr>
        <w:tab/>
      </w:r>
      <w:r w:rsidR="0042079F" w:rsidRPr="00556490">
        <w:rPr>
          <w:bCs/>
          <w:color w:val="000000"/>
          <w:lang w:val="fr-FR" w:eastAsia="zh-CN"/>
        </w:rPr>
        <w:t xml:space="preserve"> </w:t>
      </w:r>
      <w:r w:rsidR="0042079F" w:rsidRPr="00992957">
        <w:rPr>
          <w:snapToGrid/>
          <w:lang w:val="fr-FR"/>
        </w:rPr>
        <w:t>ADN</w:t>
      </w:r>
    </w:p>
    <w:p w:rsidR="0042079F" w:rsidRPr="00556490" w:rsidRDefault="0042079F" w:rsidP="00992957">
      <w:pPr>
        <w:pStyle w:val="SingleTxtG"/>
        <w:rPr>
          <w:lang w:val="fr-FR"/>
        </w:rPr>
      </w:pPr>
      <w:r w:rsidRPr="00556490">
        <w:rPr>
          <w:lang w:val="fr-FR"/>
        </w:rPr>
        <w:t>7.2.4.22.3</w:t>
      </w:r>
      <w:r w:rsidRPr="00556490">
        <w:rPr>
          <w:b/>
          <w:bCs/>
          <w:lang w:val="fr-FR"/>
        </w:rPr>
        <w:t xml:space="preserve"> </w:t>
      </w:r>
      <w:r w:rsidRPr="00556490">
        <w:rPr>
          <w:lang w:val="fr-FR"/>
        </w:rPr>
        <w:t xml:space="preserve"> La prise d’échantillons n’est admise qu’au moyen d’un dispositif prescrit à la colonne (13) du tableau C du chapitre 3.2 ou un dispositif présentant une sécurité supérieure.</w:t>
      </w:r>
    </w:p>
    <w:p w:rsidR="00E56E07" w:rsidRPr="00556490" w:rsidRDefault="0042079F" w:rsidP="00992957">
      <w:pPr>
        <w:pStyle w:val="SingleTxtG"/>
        <w:rPr>
          <w:lang w:val="fr-FR"/>
        </w:rPr>
      </w:pPr>
      <w:r w:rsidRPr="00556490">
        <w:rPr>
          <w:b/>
          <w:bCs/>
          <w:lang w:val="fr-FR"/>
        </w:rPr>
        <w:t>L’ouverture</w:t>
      </w:r>
      <w:r w:rsidRPr="00556490">
        <w:rPr>
          <w:lang w:val="fr-FR"/>
        </w:rPr>
        <w:t xml:space="preserve"> des orifices de prises d’échantillons et des orifices de jaugeage</w:t>
      </w:r>
      <w:r w:rsidRPr="00556490">
        <w:rPr>
          <w:b/>
          <w:bCs/>
          <w:lang w:val="fr-FR"/>
        </w:rPr>
        <w:t xml:space="preserve"> de citernes à cargaison</w:t>
      </w:r>
      <w:r w:rsidRPr="00556490">
        <w:rPr>
          <w:lang w:val="fr-FR"/>
        </w:rPr>
        <w:t xml:space="preserve"> chargées de matières pour lesquelles une signalisation </w:t>
      </w:r>
      <w:r w:rsidRPr="00556490">
        <w:rPr>
          <w:b/>
          <w:bCs/>
          <w:lang w:val="fr-FR"/>
        </w:rPr>
        <w:t>avec un ou deux cônes ou feux bleus</w:t>
      </w:r>
      <w:r w:rsidRPr="00556490">
        <w:rPr>
          <w:lang w:val="fr-FR"/>
        </w:rPr>
        <w:t xml:space="preserve"> est prescrite à la colonne (19) du tableau C du chapitre 3.2 </w:t>
      </w:r>
      <w:r w:rsidRPr="00556490">
        <w:rPr>
          <w:b/>
          <w:bCs/>
          <w:lang w:val="fr-FR"/>
        </w:rPr>
        <w:t>n’est autorisée que</w:t>
      </w:r>
      <w:r w:rsidRPr="00556490">
        <w:rPr>
          <w:lang w:val="fr-FR"/>
        </w:rPr>
        <w:t xml:space="preserve"> lorsque le chargement a été interrompu depuis au moins </w:t>
      </w:r>
      <w:r w:rsidRPr="00556490">
        <w:rPr>
          <w:b/>
          <w:bCs/>
          <w:lang w:val="fr-FR"/>
        </w:rPr>
        <w:t>10 minutes</w:t>
      </w:r>
      <w:r w:rsidRPr="00556490">
        <w:rPr>
          <w:lang w:val="fr-FR"/>
        </w:rPr>
        <w:t>.</w:t>
      </w:r>
    </w:p>
    <w:p w:rsidR="00E56E07" w:rsidRPr="00556490" w:rsidRDefault="00992957" w:rsidP="00992957">
      <w:pPr>
        <w:pStyle w:val="H23G"/>
        <w:rPr>
          <w:color w:val="000000"/>
          <w:lang w:val="fr-FR"/>
        </w:rPr>
      </w:pPr>
      <w:r>
        <w:rPr>
          <w:lang w:val="fr-FR"/>
        </w:rPr>
        <w:tab/>
      </w:r>
      <w:r w:rsidR="0042079F" w:rsidRPr="00556490">
        <w:rPr>
          <w:lang w:val="fr-FR"/>
        </w:rPr>
        <w:t xml:space="preserve">2. </w:t>
      </w:r>
      <w:r>
        <w:rPr>
          <w:lang w:val="fr-FR"/>
        </w:rPr>
        <w:tab/>
      </w:r>
      <w:r w:rsidR="0042079F" w:rsidRPr="00556490">
        <w:rPr>
          <w:lang w:val="fr-FR"/>
        </w:rPr>
        <w:t>ISGIN</w:t>
      </w:r>
      <w:r w:rsidR="00D056AE" w:rsidRPr="00556490">
        <w:rPr>
          <w:lang w:val="fr-FR"/>
        </w:rPr>
        <w:t>TT</w:t>
      </w:r>
      <w:r w:rsidR="0042079F" w:rsidRPr="00556490">
        <w:rPr>
          <w:color w:val="000000"/>
          <w:lang w:val="fr-FR"/>
        </w:rPr>
        <w:t xml:space="preserve"> </w:t>
      </w:r>
    </w:p>
    <w:p w:rsidR="0045513F" w:rsidRPr="00556490" w:rsidRDefault="0042079F" w:rsidP="00992957">
      <w:pPr>
        <w:pStyle w:val="SingleTxtG"/>
        <w:rPr>
          <w:lang w:val="fr-FR"/>
        </w:rPr>
      </w:pPr>
      <w:r w:rsidRPr="00556490">
        <w:rPr>
          <w:lang w:val="fr-FR"/>
        </w:rPr>
        <w:t xml:space="preserve">3.2.1 </w:t>
      </w:r>
      <w:r w:rsidR="0045513F" w:rsidRPr="00556490">
        <w:rPr>
          <w:lang w:val="fr-FR"/>
        </w:rPr>
        <w:tab/>
      </w:r>
      <w:r w:rsidRPr="00556490">
        <w:rPr>
          <w:lang w:val="fr-FR"/>
        </w:rPr>
        <w:t>(Sédimentation d'un solide ou d'un liquide non miscible à travers un liquide (par exemple de l'eau, de la rouille ou d'autres particules dans le produit).</w:t>
      </w:r>
    </w:p>
    <w:p w:rsidR="00E56E07" w:rsidRPr="00556490" w:rsidRDefault="0042079F" w:rsidP="00992957">
      <w:pPr>
        <w:pStyle w:val="SingleTxtG"/>
        <w:rPr>
          <w:lang w:val="fr-FR"/>
        </w:rPr>
      </w:pPr>
      <w:r w:rsidRPr="00556490">
        <w:rPr>
          <w:lang w:val="fr-FR"/>
        </w:rPr>
        <w:t>Ce processus peut se poursuivre jusqu'à 30 minutes après la fin du chargement d'une citerne.</w:t>
      </w:r>
    </w:p>
    <w:p w:rsidR="0042079F" w:rsidRPr="00556490" w:rsidRDefault="0042079F" w:rsidP="00992957">
      <w:pPr>
        <w:pStyle w:val="SingleTxtG"/>
        <w:rPr>
          <w:lang w:val="fr-FR"/>
        </w:rPr>
      </w:pPr>
      <w:r w:rsidRPr="00556490">
        <w:rPr>
          <w:lang w:val="fr-FR"/>
        </w:rPr>
        <w:t xml:space="preserve">11.8.2.3 </w:t>
      </w:r>
      <w:r w:rsidR="0045513F" w:rsidRPr="00556490">
        <w:rPr>
          <w:lang w:val="fr-FR"/>
        </w:rPr>
        <w:tab/>
      </w:r>
      <w:r w:rsidRPr="00556490">
        <w:rPr>
          <w:lang w:val="fr-FR"/>
        </w:rPr>
        <w:t xml:space="preserve">Il est prudent de supposer que la surface d'un liquide non conducteur (accumulateur de charge électrostatique) puisse être chargée et présente un potentiel élevé durant et immédiatement après le chargement. Les équipements métalliques de sondage, jaugeage par le creux et de prise d'échantillons doivent être métallisés et mis à la masse pour éviter les étincelles. Il subsiste néanmoins la possibilité d'une décharge en aigrette entre l'équipement et la surface chargée du liquide lorsqu'ils sont approchés l'un de l'autre. Étant donné que ces décharges peuvent être incendiaires, aucun sondage, jaugeage par le creux et aucune prise d'échantillons ne doivent être effectués avec des équipements métalliques au cours du chargement d'un accumulateur de charge électrostatique en raison de la présence possible d'un mélange de gaz inflammables. </w:t>
      </w:r>
    </w:p>
    <w:p w:rsidR="00E56E07" w:rsidRPr="00556490" w:rsidRDefault="0042079F" w:rsidP="00992957">
      <w:pPr>
        <w:pStyle w:val="SingleTxtG"/>
        <w:rPr>
          <w:lang w:val="fr-FR"/>
        </w:rPr>
      </w:pPr>
      <w:r w:rsidRPr="00FF6BA9">
        <w:rPr>
          <w:b/>
          <w:lang w:val="fr-FR"/>
        </w:rPr>
        <w:lastRenderedPageBreak/>
        <w:t>Il convient de respecter un délai de 30 minutes (temps de stabilisation) après l'achèvement du chargement de chaque citerne avant le début de ces opérations.</w:t>
      </w:r>
      <w:r w:rsidRPr="00556490">
        <w:rPr>
          <w:lang w:val="fr-FR"/>
        </w:rPr>
        <w:t xml:space="preserve"> Il s'agit de permettre la décantation des bulles de gaz, de l'eau ou de particules dans le liquide et la dissipation de tout potentiel électrique.</w:t>
      </w:r>
    </w:p>
    <w:p w:rsidR="0045513F" w:rsidRPr="00556490" w:rsidRDefault="00992957" w:rsidP="00992957">
      <w:pPr>
        <w:pStyle w:val="H1G"/>
        <w:rPr>
          <w:lang w:val="fr-FR"/>
        </w:rPr>
      </w:pPr>
      <w:r>
        <w:rPr>
          <w:lang w:val="fr-FR"/>
        </w:rPr>
        <w:tab/>
        <w:t>II.</w:t>
      </w:r>
      <w:r>
        <w:rPr>
          <w:lang w:val="fr-FR"/>
        </w:rPr>
        <w:tab/>
      </w:r>
      <w:r w:rsidR="00BB0C5F" w:rsidRPr="00556490">
        <w:rPr>
          <w:lang w:val="fr-FR"/>
        </w:rPr>
        <w:t>Commentaires</w:t>
      </w:r>
    </w:p>
    <w:p w:rsidR="00C473BA" w:rsidRPr="00556490" w:rsidRDefault="00C473BA" w:rsidP="00992957">
      <w:pPr>
        <w:pStyle w:val="SingleTxtG"/>
        <w:rPr>
          <w:lang w:val="fr-FR"/>
        </w:rPr>
      </w:pPr>
      <w:r w:rsidRPr="00556490">
        <w:rPr>
          <w:lang w:val="fr-FR"/>
        </w:rPr>
        <w:t xml:space="preserve">L'ADN prescrit pour toutes les matières nécessitant d'arborer un ou deux cônes un délai d'attente de 10 minutes avant l'ouverture de l'orifice de prise d'échantillons, indépendamment de la dangerosité des produits. Une charge électrostatique n'étant pas toujours susceptible de se produire, par exemple pour les matières de classe 6.1, la raison pourrait en être la formation d'un aérosol et donc le risque pour la santé des intervenants à bord, en cas d'inspiration de tels aérosols. </w:t>
      </w:r>
    </w:p>
    <w:p w:rsidR="00BB0C5F" w:rsidRPr="00556490" w:rsidRDefault="00C473BA" w:rsidP="00992957">
      <w:pPr>
        <w:pStyle w:val="SingleTxtG"/>
        <w:rPr>
          <w:lang w:val="fr-FR"/>
        </w:rPr>
      </w:pPr>
      <w:r w:rsidRPr="00556490">
        <w:rPr>
          <w:lang w:val="fr-FR"/>
        </w:rPr>
        <w:t>L'ISGINNT retient deux facteurs. D</w:t>
      </w:r>
      <w:bookmarkStart w:id="2" w:name="_GoBack"/>
      <w:bookmarkEnd w:id="2"/>
      <w:r w:rsidRPr="00556490">
        <w:rPr>
          <w:lang w:val="fr-FR"/>
        </w:rPr>
        <w:t>'une part, la décantation du liquide ; processus au cours duquel d'éventuels aérosols retourneraient dans le liquide.  D'autre part, la charge électrostatique. Toutefois, le délai d'attente est ici de 30 minutes. La charge électrostatique dépend des dimensions de la citerne ainsi que de la vitesse du courant. Cette valeur est également utilisée en navigation maritime.</w:t>
      </w:r>
    </w:p>
    <w:p w:rsidR="00BB0C5F" w:rsidRPr="00556490" w:rsidRDefault="00992957" w:rsidP="00992957">
      <w:pPr>
        <w:pStyle w:val="H1G"/>
        <w:rPr>
          <w:rFonts w:ascii="Arial" w:hAnsi="Arial" w:cs="Arial"/>
          <w:lang w:val="fr-FR"/>
        </w:rPr>
      </w:pPr>
      <w:r>
        <w:rPr>
          <w:lang w:val="fr-FR"/>
        </w:rPr>
        <w:tab/>
      </w:r>
      <w:r w:rsidR="007256F1" w:rsidRPr="00556490">
        <w:rPr>
          <w:lang w:val="fr-FR"/>
        </w:rPr>
        <w:t>III.</w:t>
      </w:r>
      <w:r w:rsidR="007256F1" w:rsidRPr="00556490">
        <w:rPr>
          <w:lang w:val="fr-FR"/>
        </w:rPr>
        <w:tab/>
      </w:r>
      <w:r w:rsidR="00BB0C5F" w:rsidRPr="00556490">
        <w:rPr>
          <w:lang w:val="fr-FR"/>
        </w:rPr>
        <w:t>Questions</w:t>
      </w:r>
    </w:p>
    <w:p w:rsidR="00BB0C5F" w:rsidRPr="00556490" w:rsidRDefault="00BB0C5F" w:rsidP="00992957">
      <w:pPr>
        <w:pStyle w:val="SingleTxtG"/>
        <w:rPr>
          <w:lang w:val="fr-FR"/>
        </w:rPr>
      </w:pPr>
      <w:r w:rsidRPr="00556490">
        <w:rPr>
          <w:lang w:val="fr-FR"/>
        </w:rPr>
        <w:t>Nous prions le Comité de sécurité de bien vouloir clarifier les points suivants :</w:t>
      </w:r>
    </w:p>
    <w:p w:rsidR="00BB0C5F" w:rsidRPr="00556490" w:rsidRDefault="00992957" w:rsidP="00992957">
      <w:pPr>
        <w:pStyle w:val="SingleTxtG"/>
        <w:rPr>
          <w:lang w:val="fr-FR"/>
        </w:rPr>
      </w:pPr>
      <w:r>
        <w:rPr>
          <w:lang w:val="fr-FR"/>
        </w:rPr>
        <w:t>1.</w:t>
      </w:r>
      <w:r>
        <w:rPr>
          <w:lang w:val="fr-FR"/>
        </w:rPr>
        <w:tab/>
      </w:r>
      <w:r w:rsidR="009B58F1" w:rsidRPr="00556490">
        <w:rPr>
          <w:lang w:val="fr-FR"/>
        </w:rPr>
        <w:t>Quel est l'objectif de l'introduction du délai d'attente dans l'ADN ? L'évitement d'une charge électrostatique ou la protection de la santé des intervenants à bord ?</w:t>
      </w:r>
    </w:p>
    <w:p w:rsidR="00BB0C5F" w:rsidRPr="00556490" w:rsidRDefault="00992957" w:rsidP="00992957">
      <w:pPr>
        <w:pStyle w:val="SingleTxtG"/>
        <w:rPr>
          <w:lang w:val="fr-FR"/>
        </w:rPr>
      </w:pPr>
      <w:r>
        <w:rPr>
          <w:lang w:val="fr-FR"/>
        </w:rPr>
        <w:t>2.</w:t>
      </w:r>
      <w:r>
        <w:rPr>
          <w:lang w:val="fr-FR"/>
        </w:rPr>
        <w:tab/>
      </w:r>
      <w:r w:rsidR="009B58F1" w:rsidRPr="00556490">
        <w:rPr>
          <w:lang w:val="fr-FR"/>
        </w:rPr>
        <w:t>Pour quelles quelle raisons cette prescription est-elle applicable pour toutes les marchandises nécessitant d'arborer un ou deux cônes bleus ?</w:t>
      </w:r>
    </w:p>
    <w:p w:rsidR="00E56E07" w:rsidRPr="00556490" w:rsidRDefault="00992957" w:rsidP="00992957">
      <w:pPr>
        <w:pStyle w:val="SingleTxtG"/>
        <w:rPr>
          <w:rFonts w:ascii="Tms Rmn" w:hAnsi="Tms Rmn" w:cs="Tms Rmn"/>
          <w:b/>
          <w:bCs/>
          <w:color w:val="000000"/>
          <w:szCs w:val="24"/>
          <w:lang w:val="fr-FR"/>
        </w:rPr>
      </w:pPr>
      <w:r>
        <w:rPr>
          <w:lang w:val="fr-FR"/>
        </w:rPr>
        <w:t>3.</w:t>
      </w:r>
      <w:r>
        <w:rPr>
          <w:lang w:val="fr-FR"/>
        </w:rPr>
        <w:tab/>
      </w:r>
      <w:r w:rsidR="00BB0C5F" w:rsidRPr="00556490">
        <w:rPr>
          <w:lang w:val="fr-FR"/>
        </w:rPr>
        <w:t>Le délai de 10</w:t>
      </w:r>
      <w:r w:rsidR="009B58F1" w:rsidRPr="00556490">
        <w:rPr>
          <w:lang w:val="fr-FR"/>
        </w:rPr>
        <w:t xml:space="preserve"> minutes exigé dans l'ADN est-il suffisant ? </w:t>
      </w:r>
      <w:r w:rsidR="00AB4E9E">
        <w:rPr>
          <w:lang w:val="fr-FR"/>
        </w:rPr>
        <w:t xml:space="preserve"> </w:t>
      </w:r>
      <w:r w:rsidR="009B58F1" w:rsidRPr="00556490">
        <w:rPr>
          <w:lang w:val="fr-FR"/>
        </w:rPr>
        <w:t>Conviendrait-il d'étendre ce délai à 30 minutes par analogie à l'ISGINTT ?</w:t>
      </w:r>
    </w:p>
    <w:p w:rsidR="00FF20BF" w:rsidRPr="00992957" w:rsidRDefault="00992957" w:rsidP="00992957">
      <w:pPr>
        <w:tabs>
          <w:tab w:val="left" w:pos="1418"/>
          <w:tab w:val="left" w:pos="1985"/>
          <w:tab w:val="left" w:pos="2552"/>
          <w:tab w:val="left" w:pos="3119"/>
          <w:tab w:val="left" w:pos="3686"/>
        </w:tabs>
        <w:suppressAutoHyphens/>
        <w:spacing w:before="240" w:after="0" w:line="240" w:lineRule="atLeast"/>
        <w:ind w:left="1134" w:right="1134"/>
        <w:jc w:val="center"/>
        <w:rPr>
          <w:sz w:val="20"/>
          <w:u w:val="single"/>
          <w:lang w:val="fr-FR"/>
        </w:rPr>
      </w:pPr>
      <w:r>
        <w:rPr>
          <w:sz w:val="20"/>
          <w:u w:val="single"/>
          <w:lang w:val="fr-FR"/>
        </w:rPr>
        <w:tab/>
      </w:r>
      <w:r>
        <w:rPr>
          <w:sz w:val="20"/>
          <w:u w:val="single"/>
          <w:lang w:val="fr-FR"/>
        </w:rPr>
        <w:tab/>
      </w:r>
      <w:r>
        <w:rPr>
          <w:sz w:val="20"/>
          <w:u w:val="single"/>
          <w:lang w:val="fr-FR"/>
        </w:rPr>
        <w:tab/>
      </w:r>
    </w:p>
    <w:sectPr w:rsidR="00FF20BF" w:rsidRPr="00992957" w:rsidSect="0099295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4FF" w:rsidRDefault="006414FF">
      <w:pPr>
        <w:pStyle w:val="Footer"/>
      </w:pPr>
    </w:p>
  </w:endnote>
  <w:endnote w:type="continuationSeparator" w:id="0">
    <w:p w:rsidR="006414FF" w:rsidRDefault="006414FF">
      <w:pPr>
        <w:spacing w:after="0"/>
      </w:pPr>
    </w:p>
  </w:endnote>
  <w:endnote w:type="continuationNotice" w:id="1">
    <w:p w:rsidR="006414FF" w:rsidRDefault="006414F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3CF" w:rsidRPr="00992957" w:rsidRDefault="00992957" w:rsidP="00992957">
    <w:pPr>
      <w:rPr>
        <w:sz w:val="16"/>
      </w:rPr>
    </w:pPr>
    <w:r w:rsidRPr="00A17622">
      <w:rPr>
        <w:b/>
        <w:sz w:val="18"/>
      </w:rPr>
      <w:fldChar w:fldCharType="begin"/>
    </w:r>
    <w:r w:rsidRPr="00A17622">
      <w:rPr>
        <w:b/>
        <w:sz w:val="18"/>
      </w:rPr>
      <w:instrText xml:space="preserve"> PAGE </w:instrText>
    </w:r>
    <w:r w:rsidRPr="00A17622">
      <w:rPr>
        <w:b/>
        <w:sz w:val="18"/>
      </w:rPr>
      <w:fldChar w:fldCharType="separate"/>
    </w:r>
    <w:r w:rsidR="00FF6BA9">
      <w:rPr>
        <w:b/>
        <w:noProof/>
        <w:sz w:val="18"/>
      </w:rPr>
      <w:t>2</w:t>
    </w:r>
    <w:r w:rsidRPr="00A17622">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A17" w:rsidRDefault="008D0A17" w:rsidP="008D0A17">
    <w:pPr>
      <w:suppressAutoHyphens/>
      <w:spacing w:after="0"/>
      <w:jc w:val="right"/>
    </w:pPr>
    <w:r w:rsidRPr="009433CF">
      <w:rPr>
        <w:rFonts w:ascii="Arial" w:hAnsi="Arial"/>
        <w:noProof/>
        <w:sz w:val="12"/>
        <w:szCs w:val="24"/>
        <w:lang w:val="fr-FR" w:eastAsia="fr-FR"/>
      </w:rPr>
      <w:t>mm/adn_wp15_ac2_2</w:t>
    </w:r>
    <w:r>
      <w:rPr>
        <w:rFonts w:ascii="Arial" w:hAnsi="Arial"/>
        <w:noProof/>
        <w:sz w:val="12"/>
        <w:szCs w:val="24"/>
        <w:lang w:val="fr-FR" w:eastAsia="fr-FR"/>
      </w:rPr>
      <w:t>6</w:t>
    </w:r>
    <w:r w:rsidRPr="009433CF">
      <w:rPr>
        <w:rFonts w:ascii="Arial" w:hAnsi="Arial"/>
        <w:noProof/>
        <w:sz w:val="12"/>
        <w:szCs w:val="24"/>
        <w:lang w:val="fr-FR" w:eastAsia="fr-FR"/>
      </w:rPr>
      <w:t>_inf</w:t>
    </w:r>
    <w:r>
      <w:rPr>
        <w:rFonts w:ascii="Arial" w:hAnsi="Arial"/>
        <w:noProof/>
        <w:sz w:val="12"/>
        <w:szCs w:val="24"/>
        <w:lang w:val="fr-FR" w:eastAsia="fr-FR"/>
      </w:rPr>
      <w:t>4</w:t>
    </w:r>
    <w:r w:rsidRPr="009433CF">
      <w:rPr>
        <w:rFonts w:ascii="Arial" w:hAnsi="Arial"/>
        <w:noProof/>
        <w:sz w:val="12"/>
        <w:szCs w:val="24"/>
        <w:lang w:val="fr-FR" w:eastAsia="fr-FR"/>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957" w:rsidRPr="00992957" w:rsidRDefault="00992957" w:rsidP="00992957">
    <w:pPr>
      <w:suppressAutoHyphens/>
      <w:spacing w:after="0" w:line="240" w:lineRule="atLeast"/>
      <w:jc w:val="right"/>
      <w:rPr>
        <w:snapToGrid w:val="0"/>
        <w:sz w:val="20"/>
        <w:lang w:eastAsia="fr-FR"/>
      </w:rPr>
    </w:pPr>
    <w:r w:rsidRPr="00992957">
      <w:rPr>
        <w:b/>
        <w:snapToGrid w:val="0"/>
        <w:sz w:val="18"/>
        <w:lang w:eastAsia="fr-FR"/>
      </w:rPr>
      <w:fldChar w:fldCharType="begin"/>
    </w:r>
    <w:r w:rsidRPr="00992957">
      <w:rPr>
        <w:b/>
        <w:snapToGrid w:val="0"/>
        <w:sz w:val="18"/>
        <w:lang w:eastAsia="fr-FR"/>
      </w:rPr>
      <w:instrText xml:space="preserve"> PAGE </w:instrText>
    </w:r>
    <w:r w:rsidRPr="00992957">
      <w:rPr>
        <w:b/>
        <w:snapToGrid w:val="0"/>
        <w:sz w:val="18"/>
        <w:lang w:eastAsia="fr-FR"/>
      </w:rPr>
      <w:fldChar w:fldCharType="separate"/>
    </w:r>
    <w:r w:rsidR="00FF6BA9">
      <w:rPr>
        <w:b/>
        <w:noProof/>
        <w:snapToGrid w:val="0"/>
        <w:sz w:val="18"/>
        <w:lang w:eastAsia="fr-FR"/>
      </w:rPr>
      <w:t>1</w:t>
    </w:r>
    <w:r w:rsidRPr="00992957">
      <w:rPr>
        <w:b/>
        <w:snapToGrid w:val="0"/>
        <w:sz w:val="18"/>
        <w:lang w:eastAsia="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4FF" w:rsidRDefault="006414FF">
      <w:pPr>
        <w:spacing w:after="0"/>
      </w:pPr>
      <w:r>
        <w:separator/>
      </w:r>
    </w:p>
  </w:footnote>
  <w:footnote w:type="continuationSeparator" w:id="0">
    <w:p w:rsidR="006414FF" w:rsidRDefault="006414FF">
      <w:pPr>
        <w:spacing w:after="0"/>
        <w:rPr>
          <w:u w:val="single"/>
        </w:rPr>
      </w:pPr>
      <w:r>
        <w:rPr>
          <w:u w:val="single"/>
        </w:rPr>
        <w:tab/>
      </w:r>
      <w:r>
        <w:rPr>
          <w:u w:val="single"/>
        </w:rPr>
        <w:tab/>
      </w:r>
      <w:r>
        <w:rPr>
          <w:u w:val="single"/>
        </w:rPr>
        <w:tab/>
      </w:r>
      <w:r>
        <w:rPr>
          <w:u w:val="single"/>
        </w:rPr>
        <w:tab/>
      </w:r>
    </w:p>
  </w:footnote>
  <w:footnote w:type="continuationNotice" w:id="1">
    <w:p w:rsidR="006414FF" w:rsidRDefault="006414F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404" w:rsidRPr="00992957" w:rsidRDefault="00992957" w:rsidP="00992957">
    <w:pPr>
      <w:pBdr>
        <w:bottom w:val="single" w:sz="4" w:space="4" w:color="auto"/>
      </w:pBdr>
      <w:suppressAutoHyphens/>
      <w:spacing w:after="0"/>
      <w:rPr>
        <w:b/>
        <w:snapToGrid w:val="0"/>
        <w:sz w:val="18"/>
        <w:lang w:val="fr-CH" w:eastAsia="fr-FR"/>
      </w:rPr>
    </w:pPr>
    <w:r>
      <w:rPr>
        <w:b/>
        <w:snapToGrid w:val="0"/>
        <w:sz w:val="18"/>
        <w:lang w:val="fr-CH" w:eastAsia="fr-FR"/>
      </w:rPr>
      <w:t>INF.32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A17" w:rsidRPr="00805FA0" w:rsidRDefault="008D0A17" w:rsidP="008D0A17">
    <w:pPr>
      <w:pStyle w:val="Header"/>
      <w:spacing w:after="0"/>
      <w:jc w:val="right"/>
      <w:rPr>
        <w:rFonts w:ascii="Arial" w:hAnsi="Arial" w:cs="Arial"/>
        <w:sz w:val="16"/>
        <w:szCs w:val="16"/>
        <w:lang w:val="en-US"/>
      </w:rPr>
    </w:pPr>
    <w:r w:rsidRPr="00805FA0">
      <w:rPr>
        <w:rFonts w:ascii="Arial" w:hAnsi="Arial" w:cs="Arial"/>
        <w:sz w:val="16"/>
        <w:szCs w:val="16"/>
        <w:lang w:val="en-US"/>
      </w:rPr>
      <w:t>CCNR-ZKR/ADN/WP.15/AC.2/26/INF.4</w:t>
    </w:r>
  </w:p>
  <w:p w:rsidR="008D0A17" w:rsidRPr="00226EA3" w:rsidRDefault="008D0A17" w:rsidP="008D0A17">
    <w:pPr>
      <w:pStyle w:val="Header"/>
      <w:spacing w:after="0"/>
      <w:jc w:val="right"/>
      <w:rPr>
        <w:rFonts w:ascii="Arial" w:hAnsi="Arial" w:cs="Arial"/>
        <w:sz w:val="16"/>
        <w:szCs w:val="16"/>
      </w:rPr>
    </w:pPr>
    <w:r>
      <w:rPr>
        <w:rFonts w:ascii="Arial" w:hAnsi="Arial" w:cs="Arial"/>
        <w:sz w:val="16"/>
        <w:szCs w:val="16"/>
      </w:rPr>
      <w:t xml:space="preserve">Page </w:t>
    </w:r>
    <w:r w:rsidRPr="00226EA3">
      <w:rPr>
        <w:rFonts w:ascii="Arial" w:hAnsi="Arial" w:cs="Arial"/>
        <w:sz w:val="16"/>
        <w:szCs w:val="16"/>
      </w:rPr>
      <w:fldChar w:fldCharType="begin"/>
    </w:r>
    <w:r w:rsidRPr="00226EA3">
      <w:rPr>
        <w:rFonts w:ascii="Arial" w:hAnsi="Arial" w:cs="Arial"/>
        <w:sz w:val="16"/>
        <w:szCs w:val="16"/>
      </w:rPr>
      <w:instrText xml:space="preserve"> PAGE  \* MERGEFORMAT </w:instrText>
    </w:r>
    <w:r w:rsidRPr="00226EA3">
      <w:rPr>
        <w:rFonts w:ascii="Arial" w:hAnsi="Arial" w:cs="Arial"/>
        <w:sz w:val="16"/>
        <w:szCs w:val="16"/>
      </w:rPr>
      <w:fldChar w:fldCharType="separate"/>
    </w:r>
    <w:r w:rsidR="00992957">
      <w:rPr>
        <w:rFonts w:ascii="Arial" w:hAnsi="Arial" w:cs="Arial"/>
        <w:noProof/>
        <w:sz w:val="16"/>
        <w:szCs w:val="16"/>
      </w:rPr>
      <w:t>3</w:t>
    </w:r>
    <w:r w:rsidRPr="00226EA3">
      <w:rPr>
        <w:rFonts w:ascii="Arial" w:hAnsi="Arial" w:cs="Arial"/>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5D04184"/>
    <w:lvl w:ilvl="0">
      <w:start w:val="1"/>
      <w:numFmt w:val="decimal"/>
      <w:pStyle w:val="Style1"/>
      <w:lvlText w:val="%1."/>
      <w:lvlJc w:val="left"/>
      <w:pPr>
        <w:tabs>
          <w:tab w:val="num" w:pos="643"/>
        </w:tabs>
        <w:ind w:left="643" w:hanging="360"/>
      </w:pPr>
    </w:lvl>
  </w:abstractNum>
  <w:abstractNum w:abstractNumId="1">
    <w:nsid w:val="FFFFFF83"/>
    <w:multiLevelType w:val="multilevel"/>
    <w:tmpl w:val="BFE69506"/>
    <w:lvl w:ilvl="0">
      <w:start w:val="1"/>
      <w:numFmt w:val="bullet"/>
      <w:lvlText w:val=""/>
      <w:lvlJc w:val="left"/>
      <w:pPr>
        <w:tabs>
          <w:tab w:val="num" w:pos="643"/>
        </w:tabs>
        <w:ind w:left="643"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421B46"/>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2727330"/>
    <w:multiLevelType w:val="multilevel"/>
    <w:tmpl w:val="1A7436B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66456D9"/>
    <w:multiLevelType w:val="hybridMultilevel"/>
    <w:tmpl w:val="B1128A9E"/>
    <w:lvl w:ilvl="0" w:tplc="A4E8E9B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08C80563"/>
    <w:multiLevelType w:val="hybridMultilevel"/>
    <w:tmpl w:val="400EDBD4"/>
    <w:lvl w:ilvl="0" w:tplc="12C8DB8C">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986048A"/>
    <w:multiLevelType w:val="hybridMultilevel"/>
    <w:tmpl w:val="A796C48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0C457817"/>
    <w:multiLevelType w:val="hybridMultilevel"/>
    <w:tmpl w:val="76D8A708"/>
    <w:lvl w:ilvl="0" w:tplc="1316A59A">
      <w:start w:val="1"/>
      <w:numFmt w:val="decimal"/>
      <w:lvlText w:val="%1."/>
      <w:lvlJc w:val="left"/>
      <w:pPr>
        <w:ind w:left="107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0E7F5AE8"/>
    <w:multiLevelType w:val="hybridMultilevel"/>
    <w:tmpl w:val="662640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0FB0797B"/>
    <w:multiLevelType w:val="hybridMultilevel"/>
    <w:tmpl w:val="F7C4C088"/>
    <w:lvl w:ilvl="0" w:tplc="A7029C84">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10">
    <w:nsid w:val="18A1012A"/>
    <w:multiLevelType w:val="hybridMultilevel"/>
    <w:tmpl w:val="345AAA54"/>
    <w:lvl w:ilvl="0" w:tplc="F1DAC93A">
      <w:start w:val="1"/>
      <w:numFmt w:val="decimal"/>
      <w:lvlText w:val="%1."/>
      <w:lvlJc w:val="left"/>
      <w:pPr>
        <w:ind w:left="720" w:hanging="360"/>
      </w:pPr>
      <w:rPr>
        <w:rFonts w:ascii="Helv" w:hAnsi="Helv" w:cs="Helv" w:hint="default"/>
        <w:color w:val="00000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C96F4A"/>
    <w:multiLevelType w:val="multilevel"/>
    <w:tmpl w:val="8E3AD518"/>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1380"/>
        </w:tabs>
        <w:ind w:left="1380" w:hanging="780"/>
      </w:pPr>
      <w:rPr>
        <w:rFonts w:hint="default"/>
      </w:rPr>
    </w:lvl>
    <w:lvl w:ilvl="2">
      <w:start w:val="1"/>
      <w:numFmt w:val="decimal"/>
      <w:lvlText w:val="%1.%2.%3"/>
      <w:lvlJc w:val="left"/>
      <w:pPr>
        <w:tabs>
          <w:tab w:val="num" w:pos="1980"/>
        </w:tabs>
        <w:ind w:left="1980" w:hanging="780"/>
      </w:pPr>
      <w:rPr>
        <w:rFonts w:hint="default"/>
      </w:rPr>
    </w:lvl>
    <w:lvl w:ilvl="3">
      <w:start w:val="1"/>
      <w:numFmt w:val="decimal"/>
      <w:lvlText w:val="%1.%2.%3.%4"/>
      <w:lvlJc w:val="left"/>
      <w:pPr>
        <w:tabs>
          <w:tab w:val="num" w:pos="2580"/>
        </w:tabs>
        <w:ind w:left="2580" w:hanging="7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3">
    <w:nsid w:val="24E94164"/>
    <w:multiLevelType w:val="multilevel"/>
    <w:tmpl w:val="A8A40A2C"/>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29A97F8D"/>
    <w:multiLevelType w:val="multilevel"/>
    <w:tmpl w:val="A4840074"/>
    <w:lvl w:ilvl="0">
      <w:start w:val="8"/>
      <w:numFmt w:val="decimal"/>
      <w:lvlText w:val="%1"/>
      <w:lvlJc w:val="left"/>
      <w:pPr>
        <w:tabs>
          <w:tab w:val="num" w:pos="1200"/>
        </w:tabs>
        <w:ind w:left="1200" w:hanging="1200"/>
      </w:pPr>
      <w:rPr>
        <w:rFonts w:hint="default"/>
        <w:b/>
      </w:rPr>
    </w:lvl>
    <w:lvl w:ilvl="1">
      <w:start w:val="1"/>
      <w:numFmt w:val="decimal"/>
      <w:lvlText w:val="%1.%2"/>
      <w:lvlJc w:val="left"/>
      <w:pPr>
        <w:tabs>
          <w:tab w:val="num" w:pos="1200"/>
        </w:tabs>
        <w:ind w:left="1200" w:hanging="1200"/>
      </w:pPr>
      <w:rPr>
        <w:rFonts w:hint="default"/>
        <w:b/>
      </w:rPr>
    </w:lvl>
    <w:lvl w:ilvl="2">
      <w:start w:val="2"/>
      <w:numFmt w:val="decimal"/>
      <w:lvlText w:val="%1.%2.%3"/>
      <w:lvlJc w:val="left"/>
      <w:pPr>
        <w:tabs>
          <w:tab w:val="num" w:pos="1200"/>
        </w:tabs>
        <w:ind w:left="1200" w:hanging="1200"/>
      </w:pPr>
      <w:rPr>
        <w:rFonts w:hint="default"/>
        <w:b/>
      </w:rPr>
    </w:lvl>
    <w:lvl w:ilvl="3">
      <w:start w:val="8"/>
      <w:numFmt w:val="decimal"/>
      <w:lvlText w:val="%1.%2.%3.%4"/>
      <w:lvlJc w:val="left"/>
      <w:pPr>
        <w:tabs>
          <w:tab w:val="num" w:pos="1200"/>
        </w:tabs>
        <w:ind w:left="1200" w:hanging="1200"/>
      </w:pPr>
      <w:rPr>
        <w:rFonts w:hint="default"/>
        <w:b/>
      </w:rPr>
    </w:lvl>
    <w:lvl w:ilvl="4">
      <w:start w:val="1"/>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2A7512A3"/>
    <w:multiLevelType w:val="hybridMultilevel"/>
    <w:tmpl w:val="2E12B660"/>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nsid w:val="2B3F49C6"/>
    <w:multiLevelType w:val="singleLevel"/>
    <w:tmpl w:val="3CF288AC"/>
    <w:lvl w:ilvl="0">
      <w:start w:val="1"/>
      <w:numFmt w:val="lowerRoman"/>
      <w:pStyle w:val="Rom2"/>
      <w:lvlText w:val="(%1)"/>
      <w:lvlJc w:val="right"/>
      <w:pPr>
        <w:tabs>
          <w:tab w:val="num" w:pos="2160"/>
        </w:tabs>
        <w:ind w:left="2160" w:hanging="516"/>
      </w:pPr>
    </w:lvl>
  </w:abstractNum>
  <w:abstractNum w:abstractNumId="17">
    <w:nsid w:val="2EF80B59"/>
    <w:multiLevelType w:val="hybridMultilevel"/>
    <w:tmpl w:val="6868B7D8"/>
    <w:lvl w:ilvl="0" w:tplc="5C0A3F5C">
      <w:start w:val="1"/>
      <w:numFmt w:val="decimal"/>
      <w:lvlText w:val="%1."/>
      <w:lvlJc w:val="left"/>
      <w:pPr>
        <w:ind w:left="720" w:hanging="360"/>
      </w:pPr>
      <w:rPr>
        <w:rFonts w:hint="default"/>
        <w:b w:val="0"/>
        <w:bCs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3B30EE2"/>
    <w:multiLevelType w:val="hybridMultilevel"/>
    <w:tmpl w:val="75D0445A"/>
    <w:lvl w:ilvl="0" w:tplc="CEDA21BC">
      <w:start w:val="9"/>
      <w:numFmt w:val="bullet"/>
      <w:lvlText w:val="–"/>
      <w:lvlJc w:val="left"/>
      <w:pPr>
        <w:tabs>
          <w:tab w:val="num" w:pos="1440"/>
        </w:tabs>
        <w:ind w:left="1440" w:hanging="360"/>
      </w:pPr>
      <w:rPr>
        <w:rFonts w:ascii="Arial" w:eastAsia="Times New Roman" w:hAnsi="Arial" w:cs="Arial" w:hint="default"/>
      </w:rPr>
    </w:lvl>
    <w:lvl w:ilvl="1" w:tplc="08070003" w:tentative="1">
      <w:start w:val="1"/>
      <w:numFmt w:val="bullet"/>
      <w:lvlText w:val="o"/>
      <w:lvlJc w:val="left"/>
      <w:pPr>
        <w:tabs>
          <w:tab w:val="num" w:pos="2160"/>
        </w:tabs>
        <w:ind w:left="2160" w:hanging="360"/>
      </w:pPr>
      <w:rPr>
        <w:rFonts w:ascii="Courier New" w:hAnsi="Courier New" w:cs="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cs="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cs="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abstractNum w:abstractNumId="20">
    <w:nsid w:val="359B286B"/>
    <w:multiLevelType w:val="hybridMultilevel"/>
    <w:tmpl w:val="AEEE90B6"/>
    <w:lvl w:ilvl="0" w:tplc="760635E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6372B14"/>
    <w:multiLevelType w:val="hybridMultilevel"/>
    <w:tmpl w:val="C9240A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6650F83"/>
    <w:multiLevelType w:val="hybridMultilevel"/>
    <w:tmpl w:val="5CB89710"/>
    <w:lvl w:ilvl="0" w:tplc="B3B484A6">
      <w:start w:val="2"/>
      <w:numFmt w:val="bullet"/>
      <w:lvlText w:val="-"/>
      <w:lvlJc w:val="left"/>
      <w:pPr>
        <w:ind w:left="1494" w:hanging="360"/>
      </w:pPr>
      <w:rPr>
        <w:rFonts w:ascii="Times New Roman" w:eastAsia="Times New Roman" w:hAnsi="Times New Roman" w:cs="Times New Roman" w:hint="default"/>
        <w:sz w:val="20"/>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3">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4">
    <w:nsid w:val="3F916DE8"/>
    <w:multiLevelType w:val="hybridMultilevel"/>
    <w:tmpl w:val="BC580066"/>
    <w:lvl w:ilvl="0" w:tplc="E7BA9182">
      <w:start w:val="1"/>
      <w:numFmt w:val="lowerLetter"/>
      <w:lvlText w:val="%1)"/>
      <w:lvlJc w:val="left"/>
      <w:pPr>
        <w:ind w:left="2203" w:hanging="360"/>
      </w:pPr>
      <w:rPr>
        <w:rFonts w:hint="default"/>
      </w:rPr>
    </w:lvl>
    <w:lvl w:ilvl="1" w:tplc="04070019" w:tentative="1">
      <w:start w:val="1"/>
      <w:numFmt w:val="lowerLetter"/>
      <w:lvlText w:val="%2."/>
      <w:lvlJc w:val="left"/>
      <w:pPr>
        <w:ind w:left="2923" w:hanging="360"/>
      </w:pPr>
    </w:lvl>
    <w:lvl w:ilvl="2" w:tplc="0407001B" w:tentative="1">
      <w:start w:val="1"/>
      <w:numFmt w:val="lowerRoman"/>
      <w:lvlText w:val="%3."/>
      <w:lvlJc w:val="right"/>
      <w:pPr>
        <w:ind w:left="3643" w:hanging="180"/>
      </w:pPr>
    </w:lvl>
    <w:lvl w:ilvl="3" w:tplc="0407000F" w:tentative="1">
      <w:start w:val="1"/>
      <w:numFmt w:val="decimal"/>
      <w:lvlText w:val="%4."/>
      <w:lvlJc w:val="left"/>
      <w:pPr>
        <w:ind w:left="4363" w:hanging="360"/>
      </w:pPr>
    </w:lvl>
    <w:lvl w:ilvl="4" w:tplc="04070019" w:tentative="1">
      <w:start w:val="1"/>
      <w:numFmt w:val="lowerLetter"/>
      <w:lvlText w:val="%5."/>
      <w:lvlJc w:val="left"/>
      <w:pPr>
        <w:ind w:left="5083" w:hanging="360"/>
      </w:pPr>
    </w:lvl>
    <w:lvl w:ilvl="5" w:tplc="0407001B" w:tentative="1">
      <w:start w:val="1"/>
      <w:numFmt w:val="lowerRoman"/>
      <w:lvlText w:val="%6."/>
      <w:lvlJc w:val="right"/>
      <w:pPr>
        <w:ind w:left="5803" w:hanging="180"/>
      </w:pPr>
    </w:lvl>
    <w:lvl w:ilvl="6" w:tplc="0407000F" w:tentative="1">
      <w:start w:val="1"/>
      <w:numFmt w:val="decimal"/>
      <w:lvlText w:val="%7."/>
      <w:lvlJc w:val="left"/>
      <w:pPr>
        <w:ind w:left="6523" w:hanging="360"/>
      </w:pPr>
    </w:lvl>
    <w:lvl w:ilvl="7" w:tplc="04070019" w:tentative="1">
      <w:start w:val="1"/>
      <w:numFmt w:val="lowerLetter"/>
      <w:lvlText w:val="%8."/>
      <w:lvlJc w:val="left"/>
      <w:pPr>
        <w:ind w:left="7243" w:hanging="360"/>
      </w:pPr>
    </w:lvl>
    <w:lvl w:ilvl="8" w:tplc="0407001B" w:tentative="1">
      <w:start w:val="1"/>
      <w:numFmt w:val="lowerRoman"/>
      <w:lvlText w:val="%9."/>
      <w:lvlJc w:val="right"/>
      <w:pPr>
        <w:ind w:left="7963" w:hanging="180"/>
      </w:pPr>
    </w:lvl>
  </w:abstractNum>
  <w:abstractNum w:abstractNumId="25">
    <w:nsid w:val="4CD84C24"/>
    <w:multiLevelType w:val="multilevel"/>
    <w:tmpl w:val="A59E12A8"/>
    <w:lvl w:ilvl="0">
      <w:start w:val="9"/>
      <w:numFmt w:val="decimal"/>
      <w:lvlText w:val="%1"/>
      <w:lvlJc w:val="left"/>
      <w:pPr>
        <w:tabs>
          <w:tab w:val="num" w:pos="1200"/>
        </w:tabs>
        <w:ind w:left="1200" w:hanging="1200"/>
      </w:pPr>
      <w:rPr>
        <w:rFonts w:hint="default"/>
        <w:b/>
      </w:rPr>
    </w:lvl>
    <w:lvl w:ilvl="1">
      <w:start w:val="3"/>
      <w:numFmt w:val="decimal"/>
      <w:lvlText w:val="%1.%2"/>
      <w:lvlJc w:val="left"/>
      <w:pPr>
        <w:tabs>
          <w:tab w:val="num" w:pos="1200"/>
        </w:tabs>
        <w:ind w:left="1200" w:hanging="1200"/>
      </w:pPr>
      <w:rPr>
        <w:rFonts w:hint="default"/>
        <w:b/>
      </w:rPr>
    </w:lvl>
    <w:lvl w:ilvl="2">
      <w:start w:val="1"/>
      <w:numFmt w:val="decimal"/>
      <w:lvlText w:val="%1.%2.%3"/>
      <w:lvlJc w:val="left"/>
      <w:pPr>
        <w:tabs>
          <w:tab w:val="num" w:pos="1200"/>
        </w:tabs>
        <w:ind w:left="1200" w:hanging="1200"/>
      </w:pPr>
      <w:rPr>
        <w:rFonts w:hint="default"/>
        <w:b/>
      </w:rPr>
    </w:lvl>
    <w:lvl w:ilvl="3">
      <w:start w:val="25"/>
      <w:numFmt w:val="decimal"/>
      <w:lvlText w:val="%1.%2.%3.%4"/>
      <w:lvlJc w:val="left"/>
      <w:pPr>
        <w:tabs>
          <w:tab w:val="num" w:pos="1200"/>
        </w:tabs>
        <w:ind w:left="1200" w:hanging="1200"/>
      </w:pPr>
      <w:rPr>
        <w:rFonts w:hint="default"/>
        <w:b/>
      </w:rPr>
    </w:lvl>
    <w:lvl w:ilvl="4">
      <w:start w:val="7"/>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53663371"/>
    <w:multiLevelType w:val="multilevel"/>
    <w:tmpl w:val="040C001D"/>
    <w:numStyleLink w:val="1ai"/>
  </w:abstractNum>
  <w:abstractNum w:abstractNumId="27">
    <w:nsid w:val="67667352"/>
    <w:multiLevelType w:val="hybridMultilevel"/>
    <w:tmpl w:val="9B303026"/>
    <w:lvl w:ilvl="0" w:tplc="8F10C1E2">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8">
    <w:nsid w:val="6E3C35AF"/>
    <w:multiLevelType w:val="hybridMultilevel"/>
    <w:tmpl w:val="65328DF8"/>
    <w:lvl w:ilvl="0" w:tplc="040C0001">
      <w:start w:val="1"/>
      <w:numFmt w:val="bullet"/>
      <w:lvlText w:val=""/>
      <w:lvlJc w:val="left"/>
      <w:pPr>
        <w:ind w:left="1650" w:hanging="360"/>
      </w:pPr>
      <w:rPr>
        <w:rFonts w:ascii="Symbol" w:hAnsi="Symbol" w:hint="default"/>
      </w:rPr>
    </w:lvl>
    <w:lvl w:ilvl="1" w:tplc="040C0003" w:tentative="1">
      <w:start w:val="1"/>
      <w:numFmt w:val="bullet"/>
      <w:lvlText w:val="o"/>
      <w:lvlJc w:val="left"/>
      <w:pPr>
        <w:ind w:left="2370" w:hanging="360"/>
      </w:pPr>
      <w:rPr>
        <w:rFonts w:ascii="Courier New" w:hAnsi="Courier New" w:cs="Courier New" w:hint="default"/>
      </w:rPr>
    </w:lvl>
    <w:lvl w:ilvl="2" w:tplc="040C0005" w:tentative="1">
      <w:start w:val="1"/>
      <w:numFmt w:val="bullet"/>
      <w:lvlText w:val=""/>
      <w:lvlJc w:val="left"/>
      <w:pPr>
        <w:ind w:left="3090" w:hanging="360"/>
      </w:pPr>
      <w:rPr>
        <w:rFonts w:ascii="Wingdings" w:hAnsi="Wingdings" w:hint="default"/>
      </w:rPr>
    </w:lvl>
    <w:lvl w:ilvl="3" w:tplc="040C0001" w:tentative="1">
      <w:start w:val="1"/>
      <w:numFmt w:val="bullet"/>
      <w:lvlText w:val=""/>
      <w:lvlJc w:val="left"/>
      <w:pPr>
        <w:ind w:left="3810" w:hanging="360"/>
      </w:pPr>
      <w:rPr>
        <w:rFonts w:ascii="Symbol" w:hAnsi="Symbol" w:hint="default"/>
      </w:rPr>
    </w:lvl>
    <w:lvl w:ilvl="4" w:tplc="040C0003" w:tentative="1">
      <w:start w:val="1"/>
      <w:numFmt w:val="bullet"/>
      <w:lvlText w:val="o"/>
      <w:lvlJc w:val="left"/>
      <w:pPr>
        <w:ind w:left="4530" w:hanging="360"/>
      </w:pPr>
      <w:rPr>
        <w:rFonts w:ascii="Courier New" w:hAnsi="Courier New" w:cs="Courier New" w:hint="default"/>
      </w:rPr>
    </w:lvl>
    <w:lvl w:ilvl="5" w:tplc="040C0005" w:tentative="1">
      <w:start w:val="1"/>
      <w:numFmt w:val="bullet"/>
      <w:lvlText w:val=""/>
      <w:lvlJc w:val="left"/>
      <w:pPr>
        <w:ind w:left="5250" w:hanging="360"/>
      </w:pPr>
      <w:rPr>
        <w:rFonts w:ascii="Wingdings" w:hAnsi="Wingdings" w:hint="default"/>
      </w:rPr>
    </w:lvl>
    <w:lvl w:ilvl="6" w:tplc="040C0001" w:tentative="1">
      <w:start w:val="1"/>
      <w:numFmt w:val="bullet"/>
      <w:lvlText w:val=""/>
      <w:lvlJc w:val="left"/>
      <w:pPr>
        <w:ind w:left="5970" w:hanging="360"/>
      </w:pPr>
      <w:rPr>
        <w:rFonts w:ascii="Symbol" w:hAnsi="Symbol" w:hint="default"/>
      </w:rPr>
    </w:lvl>
    <w:lvl w:ilvl="7" w:tplc="040C0003" w:tentative="1">
      <w:start w:val="1"/>
      <w:numFmt w:val="bullet"/>
      <w:lvlText w:val="o"/>
      <w:lvlJc w:val="left"/>
      <w:pPr>
        <w:ind w:left="6690" w:hanging="360"/>
      </w:pPr>
      <w:rPr>
        <w:rFonts w:ascii="Courier New" w:hAnsi="Courier New" w:cs="Courier New" w:hint="default"/>
      </w:rPr>
    </w:lvl>
    <w:lvl w:ilvl="8" w:tplc="040C0005" w:tentative="1">
      <w:start w:val="1"/>
      <w:numFmt w:val="bullet"/>
      <w:lvlText w:val=""/>
      <w:lvlJc w:val="left"/>
      <w:pPr>
        <w:ind w:left="7410" w:hanging="360"/>
      </w:pPr>
      <w:rPr>
        <w:rFonts w:ascii="Wingdings" w:hAnsi="Wingdings" w:hint="default"/>
      </w:rPr>
    </w:lvl>
  </w:abstractNum>
  <w:abstractNum w:abstractNumId="29">
    <w:nsid w:val="6E69714E"/>
    <w:multiLevelType w:val="hybridMultilevel"/>
    <w:tmpl w:val="F568547E"/>
    <w:lvl w:ilvl="0" w:tplc="A5647188">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30">
    <w:nsid w:val="6EFB6CBC"/>
    <w:multiLevelType w:val="multilevel"/>
    <w:tmpl w:val="7F66D99A"/>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71B23FD"/>
    <w:multiLevelType w:val="multilevel"/>
    <w:tmpl w:val="CB925166"/>
    <w:lvl w:ilvl="0">
      <w:start w:val="1"/>
      <w:numFmt w:val="decimal"/>
      <w:lvlText w:val="%1"/>
      <w:lvlJc w:val="left"/>
      <w:pPr>
        <w:tabs>
          <w:tab w:val="num" w:pos="1140"/>
        </w:tabs>
        <w:ind w:left="1140" w:hanging="1140"/>
      </w:pPr>
      <w:rPr>
        <w:rFonts w:hint="default"/>
        <w:b/>
      </w:rPr>
    </w:lvl>
    <w:lvl w:ilvl="1">
      <w:start w:val="16"/>
      <w:numFmt w:val="decimal"/>
      <w:lvlText w:val="%1.%2"/>
      <w:lvlJc w:val="left"/>
      <w:pPr>
        <w:tabs>
          <w:tab w:val="num" w:pos="1140"/>
        </w:tabs>
        <w:ind w:left="1140" w:hanging="1140"/>
      </w:pPr>
      <w:rPr>
        <w:rFonts w:hint="default"/>
        <w:b/>
      </w:rPr>
    </w:lvl>
    <w:lvl w:ilvl="2">
      <w:start w:val="1"/>
      <w:numFmt w:val="decimal"/>
      <w:lvlText w:val="%1.%2.%3"/>
      <w:lvlJc w:val="left"/>
      <w:pPr>
        <w:tabs>
          <w:tab w:val="num" w:pos="1140"/>
        </w:tabs>
        <w:ind w:left="1140" w:hanging="1140"/>
      </w:pPr>
      <w:rPr>
        <w:rFonts w:hint="default"/>
        <w:b/>
      </w:rPr>
    </w:lvl>
    <w:lvl w:ilvl="3">
      <w:start w:val="2"/>
      <w:numFmt w:val="decimal"/>
      <w:lvlText w:val="%1.%2.%3.%4"/>
      <w:lvlJc w:val="left"/>
      <w:pPr>
        <w:tabs>
          <w:tab w:val="num" w:pos="1140"/>
        </w:tabs>
        <w:ind w:left="1140" w:hanging="1140"/>
      </w:pPr>
      <w:rPr>
        <w:rFonts w:hint="default"/>
        <w:b/>
      </w:rPr>
    </w:lvl>
    <w:lvl w:ilvl="4">
      <w:start w:val="2"/>
      <w:numFmt w:val="decimal"/>
      <w:lvlText w:val="%1.%2.%3.%4.%5"/>
      <w:lvlJc w:val="left"/>
      <w:pPr>
        <w:tabs>
          <w:tab w:val="num" w:pos="1140"/>
        </w:tabs>
        <w:ind w:left="1140" w:hanging="1140"/>
      </w:pPr>
      <w:rPr>
        <w:rFonts w:hint="default"/>
        <w:b/>
      </w:rPr>
    </w:lvl>
    <w:lvl w:ilvl="5">
      <w:start w:val="1"/>
      <w:numFmt w:val="decimal"/>
      <w:lvlText w:val="%1.%2.%3.%4.%5.%6"/>
      <w:lvlJc w:val="left"/>
      <w:pPr>
        <w:tabs>
          <w:tab w:val="num" w:pos="1140"/>
        </w:tabs>
        <w:ind w:left="1140" w:hanging="11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23"/>
  </w:num>
  <w:num w:numId="2">
    <w:abstractNumId w:val="16"/>
  </w:num>
  <w:num w:numId="3">
    <w:abstractNumId w:val="11"/>
  </w:num>
  <w:num w:numId="4">
    <w:abstractNumId w:val="18"/>
  </w:num>
  <w:num w:numId="5">
    <w:abstractNumId w:val="0"/>
  </w:num>
  <w:num w:numId="6">
    <w:abstractNumId w:val="31"/>
  </w:num>
  <w:num w:numId="7">
    <w:abstractNumId w:val="25"/>
  </w:num>
  <w:num w:numId="8">
    <w:abstractNumId w:val="12"/>
  </w:num>
  <w:num w:numId="9">
    <w:abstractNumId w:val="13"/>
  </w:num>
  <w:num w:numId="10">
    <w:abstractNumId w:val="14"/>
  </w:num>
  <w:num w:numId="11">
    <w:abstractNumId w:val="19"/>
  </w:num>
  <w:num w:numId="12">
    <w:abstractNumId w:val="30"/>
  </w:num>
  <w:num w:numId="13">
    <w:abstractNumId w:val="1"/>
  </w:num>
  <w:num w:numId="14">
    <w:abstractNumId w:val="20"/>
  </w:num>
  <w:num w:numId="15">
    <w:abstractNumId w:val="26"/>
  </w:num>
  <w:num w:numId="16">
    <w:abstractNumId w:val="4"/>
  </w:num>
  <w:num w:numId="17">
    <w:abstractNumId w:val="15"/>
  </w:num>
  <w:num w:numId="18">
    <w:abstractNumId w:val="7"/>
  </w:num>
  <w:num w:numId="19">
    <w:abstractNumId w:val="3"/>
  </w:num>
  <w:num w:numId="20">
    <w:abstractNumId w:val="2"/>
  </w:num>
  <w:num w:numId="21">
    <w:abstractNumId w:val="27"/>
  </w:num>
  <w:num w:numId="22">
    <w:abstractNumId w:val="24"/>
  </w:num>
  <w:num w:numId="23">
    <w:abstractNumId w:val="22"/>
  </w:num>
  <w:num w:numId="24">
    <w:abstractNumId w:val="9"/>
  </w:num>
  <w:num w:numId="25">
    <w:abstractNumId w:val="29"/>
  </w:num>
  <w:num w:numId="26">
    <w:abstractNumId w:val="8"/>
  </w:num>
  <w:num w:numId="27">
    <w:abstractNumId w:val="28"/>
  </w:num>
  <w:num w:numId="28">
    <w:abstractNumId w:val="21"/>
  </w:num>
  <w:num w:numId="29">
    <w:abstractNumId w:val="6"/>
  </w:num>
  <w:num w:numId="30">
    <w:abstractNumId w:val="10"/>
  </w:num>
  <w:num w:numId="31">
    <w:abstractNumId w:val="17"/>
  </w:num>
  <w:num w:numId="3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922"/>
    <w:rsid w:val="00001E90"/>
    <w:rsid w:val="0000299C"/>
    <w:rsid w:val="000063D5"/>
    <w:rsid w:val="00014411"/>
    <w:rsid w:val="000217BA"/>
    <w:rsid w:val="000328A4"/>
    <w:rsid w:val="0004300F"/>
    <w:rsid w:val="00043DCD"/>
    <w:rsid w:val="000442E2"/>
    <w:rsid w:val="00044BFC"/>
    <w:rsid w:val="000500BF"/>
    <w:rsid w:val="000516AA"/>
    <w:rsid w:val="0005197F"/>
    <w:rsid w:val="0005243E"/>
    <w:rsid w:val="00054082"/>
    <w:rsid w:val="00054A90"/>
    <w:rsid w:val="000558EB"/>
    <w:rsid w:val="00061AD3"/>
    <w:rsid w:val="000667CE"/>
    <w:rsid w:val="00070E56"/>
    <w:rsid w:val="00077F19"/>
    <w:rsid w:val="0009006C"/>
    <w:rsid w:val="00093086"/>
    <w:rsid w:val="000946ED"/>
    <w:rsid w:val="000A1F33"/>
    <w:rsid w:val="000B1CC3"/>
    <w:rsid w:val="000B1DCB"/>
    <w:rsid w:val="000B25D0"/>
    <w:rsid w:val="000B2C67"/>
    <w:rsid w:val="000B2FCE"/>
    <w:rsid w:val="000B360C"/>
    <w:rsid w:val="000B3F5E"/>
    <w:rsid w:val="000C100E"/>
    <w:rsid w:val="000C120B"/>
    <w:rsid w:val="000C3D08"/>
    <w:rsid w:val="000C3F0A"/>
    <w:rsid w:val="000C618B"/>
    <w:rsid w:val="000D561F"/>
    <w:rsid w:val="000E06E4"/>
    <w:rsid w:val="000E09F2"/>
    <w:rsid w:val="000E5406"/>
    <w:rsid w:val="000E733E"/>
    <w:rsid w:val="000F2999"/>
    <w:rsid w:val="000F3B3B"/>
    <w:rsid w:val="000F574C"/>
    <w:rsid w:val="00100CAB"/>
    <w:rsid w:val="00101181"/>
    <w:rsid w:val="00103619"/>
    <w:rsid w:val="00106C1B"/>
    <w:rsid w:val="00114717"/>
    <w:rsid w:val="00114C05"/>
    <w:rsid w:val="001162B6"/>
    <w:rsid w:val="001168E3"/>
    <w:rsid w:val="0012049D"/>
    <w:rsid w:val="00122163"/>
    <w:rsid w:val="0012596F"/>
    <w:rsid w:val="001309F5"/>
    <w:rsid w:val="00131898"/>
    <w:rsid w:val="00137616"/>
    <w:rsid w:val="00141BE2"/>
    <w:rsid w:val="00143FA2"/>
    <w:rsid w:val="0014423E"/>
    <w:rsid w:val="00151E1A"/>
    <w:rsid w:val="0015581D"/>
    <w:rsid w:val="00157422"/>
    <w:rsid w:val="00160FD5"/>
    <w:rsid w:val="0016201E"/>
    <w:rsid w:val="00163706"/>
    <w:rsid w:val="00164C45"/>
    <w:rsid w:val="001675D0"/>
    <w:rsid w:val="00172BDF"/>
    <w:rsid w:val="001770A9"/>
    <w:rsid w:val="001811D0"/>
    <w:rsid w:val="001817AF"/>
    <w:rsid w:val="001853A3"/>
    <w:rsid w:val="00186BF8"/>
    <w:rsid w:val="00186CCD"/>
    <w:rsid w:val="00192271"/>
    <w:rsid w:val="00192DC1"/>
    <w:rsid w:val="001A04FA"/>
    <w:rsid w:val="001A6F70"/>
    <w:rsid w:val="001A705C"/>
    <w:rsid w:val="001B387B"/>
    <w:rsid w:val="001B731A"/>
    <w:rsid w:val="001C024F"/>
    <w:rsid w:val="001C6029"/>
    <w:rsid w:val="001D2866"/>
    <w:rsid w:val="001D33BE"/>
    <w:rsid w:val="001F09CC"/>
    <w:rsid w:val="001F1079"/>
    <w:rsid w:val="001F1F05"/>
    <w:rsid w:val="001F42B0"/>
    <w:rsid w:val="001F4523"/>
    <w:rsid w:val="001F52BC"/>
    <w:rsid w:val="001F7C9F"/>
    <w:rsid w:val="002009F7"/>
    <w:rsid w:val="00201C24"/>
    <w:rsid w:val="002021FE"/>
    <w:rsid w:val="002101EC"/>
    <w:rsid w:val="002109A4"/>
    <w:rsid w:val="00211CEC"/>
    <w:rsid w:val="00211D4E"/>
    <w:rsid w:val="00223B06"/>
    <w:rsid w:val="00226EA3"/>
    <w:rsid w:val="00230BAD"/>
    <w:rsid w:val="00245CD7"/>
    <w:rsid w:val="002471F5"/>
    <w:rsid w:val="00252C35"/>
    <w:rsid w:val="00253F77"/>
    <w:rsid w:val="00256038"/>
    <w:rsid w:val="00256D16"/>
    <w:rsid w:val="002613AC"/>
    <w:rsid w:val="0026451D"/>
    <w:rsid w:val="00267650"/>
    <w:rsid w:val="00273EB0"/>
    <w:rsid w:val="0028124B"/>
    <w:rsid w:val="002850A9"/>
    <w:rsid w:val="002925CC"/>
    <w:rsid w:val="00292F26"/>
    <w:rsid w:val="00293A26"/>
    <w:rsid w:val="00294E58"/>
    <w:rsid w:val="002953F1"/>
    <w:rsid w:val="002A00FC"/>
    <w:rsid w:val="002A26E5"/>
    <w:rsid w:val="002A5AC5"/>
    <w:rsid w:val="002B1104"/>
    <w:rsid w:val="002B5575"/>
    <w:rsid w:val="002C34CD"/>
    <w:rsid w:val="002C7136"/>
    <w:rsid w:val="002C7555"/>
    <w:rsid w:val="002D23E2"/>
    <w:rsid w:val="002D43AB"/>
    <w:rsid w:val="002E1922"/>
    <w:rsid w:val="002E274C"/>
    <w:rsid w:val="002E4E6B"/>
    <w:rsid w:val="002E5219"/>
    <w:rsid w:val="002E62E4"/>
    <w:rsid w:val="002F2DBA"/>
    <w:rsid w:val="002F46DA"/>
    <w:rsid w:val="00301EB1"/>
    <w:rsid w:val="00302200"/>
    <w:rsid w:val="00303A9C"/>
    <w:rsid w:val="00303F98"/>
    <w:rsid w:val="003119F2"/>
    <w:rsid w:val="00311C72"/>
    <w:rsid w:val="0031257D"/>
    <w:rsid w:val="00315B3F"/>
    <w:rsid w:val="00315C33"/>
    <w:rsid w:val="0031701F"/>
    <w:rsid w:val="00321463"/>
    <w:rsid w:val="00321655"/>
    <w:rsid w:val="003241E3"/>
    <w:rsid w:val="00325611"/>
    <w:rsid w:val="003311FD"/>
    <w:rsid w:val="003330A3"/>
    <w:rsid w:val="00333424"/>
    <w:rsid w:val="003371B3"/>
    <w:rsid w:val="0034481F"/>
    <w:rsid w:val="0035078B"/>
    <w:rsid w:val="00350F80"/>
    <w:rsid w:val="00357395"/>
    <w:rsid w:val="00357FB2"/>
    <w:rsid w:val="0036658D"/>
    <w:rsid w:val="00377291"/>
    <w:rsid w:val="003775F5"/>
    <w:rsid w:val="00381EBE"/>
    <w:rsid w:val="00385969"/>
    <w:rsid w:val="00385C45"/>
    <w:rsid w:val="00387E5C"/>
    <w:rsid w:val="003927D1"/>
    <w:rsid w:val="00396812"/>
    <w:rsid w:val="00396BD5"/>
    <w:rsid w:val="00396E3E"/>
    <w:rsid w:val="003A103A"/>
    <w:rsid w:val="003A2C42"/>
    <w:rsid w:val="003A410E"/>
    <w:rsid w:val="003A4137"/>
    <w:rsid w:val="003A5CB0"/>
    <w:rsid w:val="003A6B3B"/>
    <w:rsid w:val="003A706A"/>
    <w:rsid w:val="003B1906"/>
    <w:rsid w:val="003B2756"/>
    <w:rsid w:val="003B2AD6"/>
    <w:rsid w:val="003C1B4B"/>
    <w:rsid w:val="003C242B"/>
    <w:rsid w:val="003C2B9A"/>
    <w:rsid w:val="003D3310"/>
    <w:rsid w:val="003D3C1B"/>
    <w:rsid w:val="003D55E0"/>
    <w:rsid w:val="003D605F"/>
    <w:rsid w:val="003D6093"/>
    <w:rsid w:val="003E200E"/>
    <w:rsid w:val="003E2A6D"/>
    <w:rsid w:val="003E3EF1"/>
    <w:rsid w:val="003E45A3"/>
    <w:rsid w:val="003F1078"/>
    <w:rsid w:val="003F42D3"/>
    <w:rsid w:val="00400C64"/>
    <w:rsid w:val="00401556"/>
    <w:rsid w:val="004047B2"/>
    <w:rsid w:val="00404F0D"/>
    <w:rsid w:val="004068A5"/>
    <w:rsid w:val="00413D2B"/>
    <w:rsid w:val="004143AE"/>
    <w:rsid w:val="0041550B"/>
    <w:rsid w:val="004176CD"/>
    <w:rsid w:val="0041778F"/>
    <w:rsid w:val="0042079F"/>
    <w:rsid w:val="00422BE9"/>
    <w:rsid w:val="00423E82"/>
    <w:rsid w:val="00424CC3"/>
    <w:rsid w:val="00425585"/>
    <w:rsid w:val="0042684E"/>
    <w:rsid w:val="004320DB"/>
    <w:rsid w:val="00435606"/>
    <w:rsid w:val="00442372"/>
    <w:rsid w:val="00444CFD"/>
    <w:rsid w:val="004501FF"/>
    <w:rsid w:val="0045513F"/>
    <w:rsid w:val="0045718A"/>
    <w:rsid w:val="00465C4B"/>
    <w:rsid w:val="004669B8"/>
    <w:rsid w:val="00467EB8"/>
    <w:rsid w:val="00470EAF"/>
    <w:rsid w:val="00473011"/>
    <w:rsid w:val="0048327E"/>
    <w:rsid w:val="00484775"/>
    <w:rsid w:val="004867AC"/>
    <w:rsid w:val="0048680A"/>
    <w:rsid w:val="00487574"/>
    <w:rsid w:val="00491BBA"/>
    <w:rsid w:val="00492338"/>
    <w:rsid w:val="00497080"/>
    <w:rsid w:val="004A62A6"/>
    <w:rsid w:val="004A70B5"/>
    <w:rsid w:val="004A712F"/>
    <w:rsid w:val="004B0AC6"/>
    <w:rsid w:val="004B71E1"/>
    <w:rsid w:val="004C1A89"/>
    <w:rsid w:val="004C499D"/>
    <w:rsid w:val="004C6E8E"/>
    <w:rsid w:val="004C7D3E"/>
    <w:rsid w:val="004C7D6F"/>
    <w:rsid w:val="004D290A"/>
    <w:rsid w:val="004E0A12"/>
    <w:rsid w:val="004E1CB7"/>
    <w:rsid w:val="004E39CD"/>
    <w:rsid w:val="004E5AE9"/>
    <w:rsid w:val="004E66A8"/>
    <w:rsid w:val="004F17AC"/>
    <w:rsid w:val="004F669F"/>
    <w:rsid w:val="00504561"/>
    <w:rsid w:val="00510DAE"/>
    <w:rsid w:val="00520195"/>
    <w:rsid w:val="005241F0"/>
    <w:rsid w:val="00524B1D"/>
    <w:rsid w:val="00525173"/>
    <w:rsid w:val="00526388"/>
    <w:rsid w:val="005275C4"/>
    <w:rsid w:val="00530A8E"/>
    <w:rsid w:val="00532AC5"/>
    <w:rsid w:val="00532AFB"/>
    <w:rsid w:val="00532CD7"/>
    <w:rsid w:val="00534113"/>
    <w:rsid w:val="00534523"/>
    <w:rsid w:val="00535D55"/>
    <w:rsid w:val="00540404"/>
    <w:rsid w:val="00550ADC"/>
    <w:rsid w:val="00550D9B"/>
    <w:rsid w:val="005525CA"/>
    <w:rsid w:val="00552F76"/>
    <w:rsid w:val="00556490"/>
    <w:rsid w:val="00556D9C"/>
    <w:rsid w:val="00557DAC"/>
    <w:rsid w:val="00560E53"/>
    <w:rsid w:val="00562BC7"/>
    <w:rsid w:val="0056334B"/>
    <w:rsid w:val="005664DA"/>
    <w:rsid w:val="00571CD2"/>
    <w:rsid w:val="00574037"/>
    <w:rsid w:val="00574966"/>
    <w:rsid w:val="00574F1F"/>
    <w:rsid w:val="00576A92"/>
    <w:rsid w:val="00580650"/>
    <w:rsid w:val="0058091D"/>
    <w:rsid w:val="00584873"/>
    <w:rsid w:val="00591CEB"/>
    <w:rsid w:val="00593BD5"/>
    <w:rsid w:val="005948EF"/>
    <w:rsid w:val="005962CC"/>
    <w:rsid w:val="00597B92"/>
    <w:rsid w:val="005A02C4"/>
    <w:rsid w:val="005A1286"/>
    <w:rsid w:val="005A5A3E"/>
    <w:rsid w:val="005A7E96"/>
    <w:rsid w:val="005B31A6"/>
    <w:rsid w:val="005B4D67"/>
    <w:rsid w:val="005B7895"/>
    <w:rsid w:val="005C042B"/>
    <w:rsid w:val="005C16F4"/>
    <w:rsid w:val="005C44D9"/>
    <w:rsid w:val="005C4896"/>
    <w:rsid w:val="005C742B"/>
    <w:rsid w:val="005D10B8"/>
    <w:rsid w:val="005D1B6E"/>
    <w:rsid w:val="005D3544"/>
    <w:rsid w:val="005D5010"/>
    <w:rsid w:val="005E0960"/>
    <w:rsid w:val="005E09D8"/>
    <w:rsid w:val="005E4558"/>
    <w:rsid w:val="005F5A66"/>
    <w:rsid w:val="005F5BD7"/>
    <w:rsid w:val="005F6C6E"/>
    <w:rsid w:val="006010D9"/>
    <w:rsid w:val="006068D6"/>
    <w:rsid w:val="006071ED"/>
    <w:rsid w:val="00607392"/>
    <w:rsid w:val="00611305"/>
    <w:rsid w:val="0061282B"/>
    <w:rsid w:val="00615BE1"/>
    <w:rsid w:val="00616DFD"/>
    <w:rsid w:val="006177D0"/>
    <w:rsid w:val="00622416"/>
    <w:rsid w:val="006254A7"/>
    <w:rsid w:val="00632B6A"/>
    <w:rsid w:val="0063521C"/>
    <w:rsid w:val="00636D08"/>
    <w:rsid w:val="006414FF"/>
    <w:rsid w:val="00642FC8"/>
    <w:rsid w:val="0064737B"/>
    <w:rsid w:val="006475E7"/>
    <w:rsid w:val="00647AEE"/>
    <w:rsid w:val="006505F6"/>
    <w:rsid w:val="006550C1"/>
    <w:rsid w:val="0065740E"/>
    <w:rsid w:val="00662D1A"/>
    <w:rsid w:val="00670009"/>
    <w:rsid w:val="006710C1"/>
    <w:rsid w:val="00673E42"/>
    <w:rsid w:val="00680D36"/>
    <w:rsid w:val="00681A95"/>
    <w:rsid w:val="0068283F"/>
    <w:rsid w:val="00690BDD"/>
    <w:rsid w:val="00695570"/>
    <w:rsid w:val="006A0B82"/>
    <w:rsid w:val="006A2D07"/>
    <w:rsid w:val="006A37D9"/>
    <w:rsid w:val="006A5635"/>
    <w:rsid w:val="006A583B"/>
    <w:rsid w:val="006A7803"/>
    <w:rsid w:val="006A7E15"/>
    <w:rsid w:val="006B409D"/>
    <w:rsid w:val="006B5828"/>
    <w:rsid w:val="006C6C74"/>
    <w:rsid w:val="006D1C95"/>
    <w:rsid w:val="006D1D2A"/>
    <w:rsid w:val="006D6CC3"/>
    <w:rsid w:val="006E0282"/>
    <w:rsid w:val="006E1DEF"/>
    <w:rsid w:val="006E21E7"/>
    <w:rsid w:val="006E2B98"/>
    <w:rsid w:val="006E4FB2"/>
    <w:rsid w:val="006E6D0B"/>
    <w:rsid w:val="006E6F31"/>
    <w:rsid w:val="006F12ED"/>
    <w:rsid w:val="006F7B0D"/>
    <w:rsid w:val="00701356"/>
    <w:rsid w:val="00703E02"/>
    <w:rsid w:val="00706F92"/>
    <w:rsid w:val="00707151"/>
    <w:rsid w:val="00714E16"/>
    <w:rsid w:val="007151C1"/>
    <w:rsid w:val="007168D1"/>
    <w:rsid w:val="00720BC0"/>
    <w:rsid w:val="00721643"/>
    <w:rsid w:val="00723EB5"/>
    <w:rsid w:val="007242FE"/>
    <w:rsid w:val="007244CD"/>
    <w:rsid w:val="007249A6"/>
    <w:rsid w:val="007256F1"/>
    <w:rsid w:val="0072642F"/>
    <w:rsid w:val="00730EC5"/>
    <w:rsid w:val="00736396"/>
    <w:rsid w:val="007371FA"/>
    <w:rsid w:val="00737F74"/>
    <w:rsid w:val="007533B3"/>
    <w:rsid w:val="00755AD5"/>
    <w:rsid w:val="00765C89"/>
    <w:rsid w:val="00766C3D"/>
    <w:rsid w:val="00767C40"/>
    <w:rsid w:val="007708ED"/>
    <w:rsid w:val="007741AF"/>
    <w:rsid w:val="007771AD"/>
    <w:rsid w:val="0077743D"/>
    <w:rsid w:val="00785F59"/>
    <w:rsid w:val="00790543"/>
    <w:rsid w:val="0079054B"/>
    <w:rsid w:val="00793B03"/>
    <w:rsid w:val="00795A5A"/>
    <w:rsid w:val="00796034"/>
    <w:rsid w:val="007A121E"/>
    <w:rsid w:val="007B2FBB"/>
    <w:rsid w:val="007B3035"/>
    <w:rsid w:val="007B4161"/>
    <w:rsid w:val="007B5F64"/>
    <w:rsid w:val="007B6109"/>
    <w:rsid w:val="007B63AB"/>
    <w:rsid w:val="007B6660"/>
    <w:rsid w:val="007B7475"/>
    <w:rsid w:val="007C5820"/>
    <w:rsid w:val="007C68C9"/>
    <w:rsid w:val="007C76BD"/>
    <w:rsid w:val="007D4FA9"/>
    <w:rsid w:val="007D75CB"/>
    <w:rsid w:val="007D7B56"/>
    <w:rsid w:val="007E0DBD"/>
    <w:rsid w:val="007E2631"/>
    <w:rsid w:val="007E5972"/>
    <w:rsid w:val="007F0624"/>
    <w:rsid w:val="007F6D6C"/>
    <w:rsid w:val="00801740"/>
    <w:rsid w:val="0080210F"/>
    <w:rsid w:val="00802C7E"/>
    <w:rsid w:val="00803493"/>
    <w:rsid w:val="00805BE6"/>
    <w:rsid w:val="00805FA0"/>
    <w:rsid w:val="00812F13"/>
    <w:rsid w:val="008135B4"/>
    <w:rsid w:val="0082034F"/>
    <w:rsid w:val="008210C8"/>
    <w:rsid w:val="00821A94"/>
    <w:rsid w:val="008247C4"/>
    <w:rsid w:val="0082770C"/>
    <w:rsid w:val="00834E6B"/>
    <w:rsid w:val="00835CE3"/>
    <w:rsid w:val="008361DD"/>
    <w:rsid w:val="00843972"/>
    <w:rsid w:val="00845810"/>
    <w:rsid w:val="00845B47"/>
    <w:rsid w:val="00853BD3"/>
    <w:rsid w:val="008548F1"/>
    <w:rsid w:val="008601F4"/>
    <w:rsid w:val="008620F0"/>
    <w:rsid w:val="00862626"/>
    <w:rsid w:val="008645B0"/>
    <w:rsid w:val="00866FEE"/>
    <w:rsid w:val="00871AE4"/>
    <w:rsid w:val="00874A74"/>
    <w:rsid w:val="008757CE"/>
    <w:rsid w:val="00876E72"/>
    <w:rsid w:val="00886550"/>
    <w:rsid w:val="00896461"/>
    <w:rsid w:val="008966F8"/>
    <w:rsid w:val="008A1E11"/>
    <w:rsid w:val="008A2AC3"/>
    <w:rsid w:val="008A67F3"/>
    <w:rsid w:val="008B793E"/>
    <w:rsid w:val="008C0D18"/>
    <w:rsid w:val="008C1BEE"/>
    <w:rsid w:val="008C1E14"/>
    <w:rsid w:val="008C5C0E"/>
    <w:rsid w:val="008C659B"/>
    <w:rsid w:val="008C72C4"/>
    <w:rsid w:val="008D0A17"/>
    <w:rsid w:val="008D6E3E"/>
    <w:rsid w:val="008E0593"/>
    <w:rsid w:val="008E0D8D"/>
    <w:rsid w:val="008E133C"/>
    <w:rsid w:val="008E19D0"/>
    <w:rsid w:val="008E3D2C"/>
    <w:rsid w:val="008E68E5"/>
    <w:rsid w:val="008F0210"/>
    <w:rsid w:val="008F3F20"/>
    <w:rsid w:val="008F5A88"/>
    <w:rsid w:val="008F5EB6"/>
    <w:rsid w:val="008F602B"/>
    <w:rsid w:val="008F73B3"/>
    <w:rsid w:val="008F7EF3"/>
    <w:rsid w:val="00905493"/>
    <w:rsid w:val="00912349"/>
    <w:rsid w:val="0091294F"/>
    <w:rsid w:val="00912DF3"/>
    <w:rsid w:val="00916F16"/>
    <w:rsid w:val="00917269"/>
    <w:rsid w:val="009205FC"/>
    <w:rsid w:val="00924931"/>
    <w:rsid w:val="00924B83"/>
    <w:rsid w:val="009253F7"/>
    <w:rsid w:val="00926D80"/>
    <w:rsid w:val="009345A9"/>
    <w:rsid w:val="009369E2"/>
    <w:rsid w:val="00937007"/>
    <w:rsid w:val="00941577"/>
    <w:rsid w:val="00942BC4"/>
    <w:rsid w:val="009433CF"/>
    <w:rsid w:val="009445A7"/>
    <w:rsid w:val="009468B6"/>
    <w:rsid w:val="00946DBA"/>
    <w:rsid w:val="0095070F"/>
    <w:rsid w:val="00956CE2"/>
    <w:rsid w:val="00957F70"/>
    <w:rsid w:val="00960A55"/>
    <w:rsid w:val="00960EA5"/>
    <w:rsid w:val="00964AF5"/>
    <w:rsid w:val="00972D99"/>
    <w:rsid w:val="00977D9C"/>
    <w:rsid w:val="00980439"/>
    <w:rsid w:val="00985482"/>
    <w:rsid w:val="00992957"/>
    <w:rsid w:val="009A1515"/>
    <w:rsid w:val="009A166B"/>
    <w:rsid w:val="009A65C7"/>
    <w:rsid w:val="009A72CF"/>
    <w:rsid w:val="009A7511"/>
    <w:rsid w:val="009A7EF7"/>
    <w:rsid w:val="009B000B"/>
    <w:rsid w:val="009B271F"/>
    <w:rsid w:val="009B4B28"/>
    <w:rsid w:val="009B517A"/>
    <w:rsid w:val="009B58F1"/>
    <w:rsid w:val="009B6193"/>
    <w:rsid w:val="009C1299"/>
    <w:rsid w:val="009C6A78"/>
    <w:rsid w:val="009C7262"/>
    <w:rsid w:val="009E0D70"/>
    <w:rsid w:val="009E366C"/>
    <w:rsid w:val="009F0F05"/>
    <w:rsid w:val="009F1136"/>
    <w:rsid w:val="009F5181"/>
    <w:rsid w:val="009F6412"/>
    <w:rsid w:val="00A02C8A"/>
    <w:rsid w:val="00A0702A"/>
    <w:rsid w:val="00A115CD"/>
    <w:rsid w:val="00A12385"/>
    <w:rsid w:val="00A151F0"/>
    <w:rsid w:val="00A20B30"/>
    <w:rsid w:val="00A24DD5"/>
    <w:rsid w:val="00A25F3A"/>
    <w:rsid w:val="00A27BA8"/>
    <w:rsid w:val="00A30A34"/>
    <w:rsid w:val="00A3778C"/>
    <w:rsid w:val="00A407F3"/>
    <w:rsid w:val="00A472DE"/>
    <w:rsid w:val="00A5282A"/>
    <w:rsid w:val="00A540B2"/>
    <w:rsid w:val="00A57B14"/>
    <w:rsid w:val="00A65A4D"/>
    <w:rsid w:val="00A72BED"/>
    <w:rsid w:val="00A73820"/>
    <w:rsid w:val="00A80734"/>
    <w:rsid w:val="00A832D0"/>
    <w:rsid w:val="00A836B9"/>
    <w:rsid w:val="00A83CAE"/>
    <w:rsid w:val="00A861EE"/>
    <w:rsid w:val="00A909D8"/>
    <w:rsid w:val="00A95548"/>
    <w:rsid w:val="00A9588A"/>
    <w:rsid w:val="00AA1B28"/>
    <w:rsid w:val="00AA3F46"/>
    <w:rsid w:val="00AA701B"/>
    <w:rsid w:val="00AB4E9E"/>
    <w:rsid w:val="00AB4F31"/>
    <w:rsid w:val="00AC1BD0"/>
    <w:rsid w:val="00AC3915"/>
    <w:rsid w:val="00AC3C04"/>
    <w:rsid w:val="00AC4E86"/>
    <w:rsid w:val="00AC5637"/>
    <w:rsid w:val="00AC5C8D"/>
    <w:rsid w:val="00AD41D1"/>
    <w:rsid w:val="00AD4555"/>
    <w:rsid w:val="00AD644A"/>
    <w:rsid w:val="00AD78EA"/>
    <w:rsid w:val="00AD798E"/>
    <w:rsid w:val="00AE3FD6"/>
    <w:rsid w:val="00AE57B0"/>
    <w:rsid w:val="00AE5E93"/>
    <w:rsid w:val="00AF08C3"/>
    <w:rsid w:val="00AF1323"/>
    <w:rsid w:val="00AF2DFF"/>
    <w:rsid w:val="00AF42C7"/>
    <w:rsid w:val="00AF5664"/>
    <w:rsid w:val="00AF5917"/>
    <w:rsid w:val="00AF5CEB"/>
    <w:rsid w:val="00B0003E"/>
    <w:rsid w:val="00B00151"/>
    <w:rsid w:val="00B00518"/>
    <w:rsid w:val="00B03987"/>
    <w:rsid w:val="00B072D2"/>
    <w:rsid w:val="00B1098C"/>
    <w:rsid w:val="00B13AEA"/>
    <w:rsid w:val="00B1574C"/>
    <w:rsid w:val="00B170AC"/>
    <w:rsid w:val="00B227B1"/>
    <w:rsid w:val="00B23143"/>
    <w:rsid w:val="00B33376"/>
    <w:rsid w:val="00B342FC"/>
    <w:rsid w:val="00B34BCD"/>
    <w:rsid w:val="00B42D6F"/>
    <w:rsid w:val="00B44E07"/>
    <w:rsid w:val="00B46E1F"/>
    <w:rsid w:val="00B47455"/>
    <w:rsid w:val="00B47D03"/>
    <w:rsid w:val="00B47EFD"/>
    <w:rsid w:val="00B5116B"/>
    <w:rsid w:val="00B557B5"/>
    <w:rsid w:val="00B558A8"/>
    <w:rsid w:val="00B57D23"/>
    <w:rsid w:val="00B6062C"/>
    <w:rsid w:val="00B60E0C"/>
    <w:rsid w:val="00B6534B"/>
    <w:rsid w:val="00B65E73"/>
    <w:rsid w:val="00B66C12"/>
    <w:rsid w:val="00B67C7E"/>
    <w:rsid w:val="00B71577"/>
    <w:rsid w:val="00B7519D"/>
    <w:rsid w:val="00B82146"/>
    <w:rsid w:val="00B83833"/>
    <w:rsid w:val="00B85FED"/>
    <w:rsid w:val="00B92130"/>
    <w:rsid w:val="00B946CB"/>
    <w:rsid w:val="00B94D10"/>
    <w:rsid w:val="00B95A24"/>
    <w:rsid w:val="00BA244D"/>
    <w:rsid w:val="00BA5BE3"/>
    <w:rsid w:val="00BB0C5F"/>
    <w:rsid w:val="00BB3BBC"/>
    <w:rsid w:val="00BB4FB3"/>
    <w:rsid w:val="00BB58FA"/>
    <w:rsid w:val="00BB6AED"/>
    <w:rsid w:val="00BB6AFD"/>
    <w:rsid w:val="00BB72F0"/>
    <w:rsid w:val="00BC4CA8"/>
    <w:rsid w:val="00BC51C3"/>
    <w:rsid w:val="00BD16FE"/>
    <w:rsid w:val="00BD59DC"/>
    <w:rsid w:val="00BD6395"/>
    <w:rsid w:val="00BD7858"/>
    <w:rsid w:val="00BE2C7B"/>
    <w:rsid w:val="00BE2CDA"/>
    <w:rsid w:val="00BE349B"/>
    <w:rsid w:val="00BE4E88"/>
    <w:rsid w:val="00BE70A3"/>
    <w:rsid w:val="00BE7C1A"/>
    <w:rsid w:val="00BF29F9"/>
    <w:rsid w:val="00BF38CF"/>
    <w:rsid w:val="00BF5C9B"/>
    <w:rsid w:val="00C006CF"/>
    <w:rsid w:val="00C00BF4"/>
    <w:rsid w:val="00C03CFF"/>
    <w:rsid w:val="00C05571"/>
    <w:rsid w:val="00C10D7E"/>
    <w:rsid w:val="00C10EE6"/>
    <w:rsid w:val="00C16EA7"/>
    <w:rsid w:val="00C21497"/>
    <w:rsid w:val="00C223CA"/>
    <w:rsid w:val="00C316AB"/>
    <w:rsid w:val="00C33785"/>
    <w:rsid w:val="00C33955"/>
    <w:rsid w:val="00C36298"/>
    <w:rsid w:val="00C438C5"/>
    <w:rsid w:val="00C470CF"/>
    <w:rsid w:val="00C473BA"/>
    <w:rsid w:val="00C50CBF"/>
    <w:rsid w:val="00C54F79"/>
    <w:rsid w:val="00C5649B"/>
    <w:rsid w:val="00C56BCF"/>
    <w:rsid w:val="00C720F6"/>
    <w:rsid w:val="00C7413C"/>
    <w:rsid w:val="00C74715"/>
    <w:rsid w:val="00C74837"/>
    <w:rsid w:val="00C7486B"/>
    <w:rsid w:val="00C76318"/>
    <w:rsid w:val="00C867FC"/>
    <w:rsid w:val="00C90459"/>
    <w:rsid w:val="00C91506"/>
    <w:rsid w:val="00C976A9"/>
    <w:rsid w:val="00CA1DEE"/>
    <w:rsid w:val="00CA47C6"/>
    <w:rsid w:val="00CB3215"/>
    <w:rsid w:val="00CB3E88"/>
    <w:rsid w:val="00CB427F"/>
    <w:rsid w:val="00CC29FA"/>
    <w:rsid w:val="00CC32DC"/>
    <w:rsid w:val="00CC43C2"/>
    <w:rsid w:val="00CC6BFE"/>
    <w:rsid w:val="00CD3889"/>
    <w:rsid w:val="00CD79B5"/>
    <w:rsid w:val="00CD7D14"/>
    <w:rsid w:val="00CE2F6E"/>
    <w:rsid w:val="00CE4118"/>
    <w:rsid w:val="00CF33C1"/>
    <w:rsid w:val="00CF4752"/>
    <w:rsid w:val="00CF663F"/>
    <w:rsid w:val="00D001AA"/>
    <w:rsid w:val="00D0089A"/>
    <w:rsid w:val="00D056AE"/>
    <w:rsid w:val="00D1071A"/>
    <w:rsid w:val="00D11D63"/>
    <w:rsid w:val="00D153DB"/>
    <w:rsid w:val="00D23030"/>
    <w:rsid w:val="00D23132"/>
    <w:rsid w:val="00D23770"/>
    <w:rsid w:val="00D30588"/>
    <w:rsid w:val="00D31EF3"/>
    <w:rsid w:val="00D32E7D"/>
    <w:rsid w:val="00D34DCA"/>
    <w:rsid w:val="00D36570"/>
    <w:rsid w:val="00D40213"/>
    <w:rsid w:val="00D41287"/>
    <w:rsid w:val="00D41B8A"/>
    <w:rsid w:val="00D504FE"/>
    <w:rsid w:val="00D50501"/>
    <w:rsid w:val="00D510E4"/>
    <w:rsid w:val="00D518FB"/>
    <w:rsid w:val="00D529B9"/>
    <w:rsid w:val="00D67709"/>
    <w:rsid w:val="00D679E1"/>
    <w:rsid w:val="00D71CC4"/>
    <w:rsid w:val="00D721D6"/>
    <w:rsid w:val="00D72B62"/>
    <w:rsid w:val="00D73AA1"/>
    <w:rsid w:val="00D742DF"/>
    <w:rsid w:val="00D756B7"/>
    <w:rsid w:val="00D75AB7"/>
    <w:rsid w:val="00D77120"/>
    <w:rsid w:val="00D77430"/>
    <w:rsid w:val="00D77E63"/>
    <w:rsid w:val="00D82A95"/>
    <w:rsid w:val="00D84809"/>
    <w:rsid w:val="00D90476"/>
    <w:rsid w:val="00D91F4B"/>
    <w:rsid w:val="00D9417E"/>
    <w:rsid w:val="00D943B2"/>
    <w:rsid w:val="00DA2184"/>
    <w:rsid w:val="00DA2BF7"/>
    <w:rsid w:val="00DA7296"/>
    <w:rsid w:val="00DB3A90"/>
    <w:rsid w:val="00DB53F5"/>
    <w:rsid w:val="00DB620A"/>
    <w:rsid w:val="00DC1F07"/>
    <w:rsid w:val="00DC3526"/>
    <w:rsid w:val="00DC6FCA"/>
    <w:rsid w:val="00DC7409"/>
    <w:rsid w:val="00DD4465"/>
    <w:rsid w:val="00DD5852"/>
    <w:rsid w:val="00DE018E"/>
    <w:rsid w:val="00DE1210"/>
    <w:rsid w:val="00DE6D0C"/>
    <w:rsid w:val="00DF51C5"/>
    <w:rsid w:val="00E00440"/>
    <w:rsid w:val="00E033C0"/>
    <w:rsid w:val="00E03D0D"/>
    <w:rsid w:val="00E04E96"/>
    <w:rsid w:val="00E11917"/>
    <w:rsid w:val="00E158B0"/>
    <w:rsid w:val="00E22CB6"/>
    <w:rsid w:val="00E23447"/>
    <w:rsid w:val="00E255D2"/>
    <w:rsid w:val="00E25BF2"/>
    <w:rsid w:val="00E27F28"/>
    <w:rsid w:val="00E3740A"/>
    <w:rsid w:val="00E46234"/>
    <w:rsid w:val="00E46E69"/>
    <w:rsid w:val="00E510CC"/>
    <w:rsid w:val="00E56E07"/>
    <w:rsid w:val="00E56EA9"/>
    <w:rsid w:val="00E5797E"/>
    <w:rsid w:val="00E61C68"/>
    <w:rsid w:val="00E63287"/>
    <w:rsid w:val="00E65629"/>
    <w:rsid w:val="00E6568B"/>
    <w:rsid w:val="00E65763"/>
    <w:rsid w:val="00E66CE2"/>
    <w:rsid w:val="00E73729"/>
    <w:rsid w:val="00E75272"/>
    <w:rsid w:val="00E768A2"/>
    <w:rsid w:val="00E76DBB"/>
    <w:rsid w:val="00E81F25"/>
    <w:rsid w:val="00E8388B"/>
    <w:rsid w:val="00E84B69"/>
    <w:rsid w:val="00E965BF"/>
    <w:rsid w:val="00E96CE0"/>
    <w:rsid w:val="00E97A29"/>
    <w:rsid w:val="00EA3DFE"/>
    <w:rsid w:val="00EA47D9"/>
    <w:rsid w:val="00EA701B"/>
    <w:rsid w:val="00EB17CF"/>
    <w:rsid w:val="00EB4B80"/>
    <w:rsid w:val="00EB589A"/>
    <w:rsid w:val="00EB6CDE"/>
    <w:rsid w:val="00EC296E"/>
    <w:rsid w:val="00ED41E1"/>
    <w:rsid w:val="00ED6D59"/>
    <w:rsid w:val="00EE351C"/>
    <w:rsid w:val="00EE3786"/>
    <w:rsid w:val="00EF1AA4"/>
    <w:rsid w:val="00EF5115"/>
    <w:rsid w:val="00EF771E"/>
    <w:rsid w:val="00EF798B"/>
    <w:rsid w:val="00F04031"/>
    <w:rsid w:val="00F046BD"/>
    <w:rsid w:val="00F046C5"/>
    <w:rsid w:val="00F0659D"/>
    <w:rsid w:val="00F1213F"/>
    <w:rsid w:val="00F122E2"/>
    <w:rsid w:val="00F20225"/>
    <w:rsid w:val="00F23E4D"/>
    <w:rsid w:val="00F23FAB"/>
    <w:rsid w:val="00F253B3"/>
    <w:rsid w:val="00F25B2F"/>
    <w:rsid w:val="00F26AD9"/>
    <w:rsid w:val="00F27152"/>
    <w:rsid w:val="00F34976"/>
    <w:rsid w:val="00F35183"/>
    <w:rsid w:val="00F36099"/>
    <w:rsid w:val="00F36C92"/>
    <w:rsid w:val="00F46340"/>
    <w:rsid w:val="00F4711A"/>
    <w:rsid w:val="00F529CD"/>
    <w:rsid w:val="00F532FA"/>
    <w:rsid w:val="00F53F96"/>
    <w:rsid w:val="00F54000"/>
    <w:rsid w:val="00F6259B"/>
    <w:rsid w:val="00F62CF1"/>
    <w:rsid w:val="00F63F69"/>
    <w:rsid w:val="00F64728"/>
    <w:rsid w:val="00F72932"/>
    <w:rsid w:val="00F773D1"/>
    <w:rsid w:val="00F822DF"/>
    <w:rsid w:val="00F82426"/>
    <w:rsid w:val="00F82632"/>
    <w:rsid w:val="00F86C97"/>
    <w:rsid w:val="00F91B5E"/>
    <w:rsid w:val="00F925E6"/>
    <w:rsid w:val="00F92B25"/>
    <w:rsid w:val="00F94D1A"/>
    <w:rsid w:val="00F95C6C"/>
    <w:rsid w:val="00FA13DC"/>
    <w:rsid w:val="00FA2F43"/>
    <w:rsid w:val="00FA380B"/>
    <w:rsid w:val="00FA39DC"/>
    <w:rsid w:val="00FA51D5"/>
    <w:rsid w:val="00FA73EC"/>
    <w:rsid w:val="00FA7E9D"/>
    <w:rsid w:val="00FB1EA2"/>
    <w:rsid w:val="00FB65A3"/>
    <w:rsid w:val="00FC36A8"/>
    <w:rsid w:val="00FC60ED"/>
    <w:rsid w:val="00FC6E22"/>
    <w:rsid w:val="00FD0932"/>
    <w:rsid w:val="00FD4FD7"/>
    <w:rsid w:val="00FE06B0"/>
    <w:rsid w:val="00FE1460"/>
    <w:rsid w:val="00FE15B7"/>
    <w:rsid w:val="00FE2519"/>
    <w:rsid w:val="00FE54C8"/>
    <w:rsid w:val="00FF20BF"/>
    <w:rsid w:val="00FF21DE"/>
    <w:rsid w:val="00FF64AF"/>
    <w:rsid w:val="00FF6B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style>
  <w:style w:type="paragraph" w:customStyle="1" w:styleId="Rom2">
    <w:name w:val="Rom2"/>
    <w:basedOn w:val="Normal"/>
    <w:pPr>
      <w:numPr>
        <w:numId w:val="2"/>
      </w:numPr>
      <w:tabs>
        <w:tab w:val="clear" w:pos="2160"/>
      </w:tabs>
      <w:ind w:left="1702" w:hanging="284"/>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aliases w:val="Footnote Reference/"/>
    <w:rPr>
      <w:b/>
      <w:sz w:val="24"/>
      <w:vertAlign w:val="superscript"/>
    </w:rPr>
  </w:style>
  <w:style w:type="paragraph" w:styleId="FootnoteText">
    <w:name w:val="footnote text"/>
    <w:basedOn w:val="Normal"/>
    <w:link w:val="FootnoteTextChar"/>
  </w:style>
  <w:style w:type="character" w:styleId="PageNumber">
    <w:name w:val="page number"/>
    <w:basedOn w:val="DefaultParagraphFont"/>
  </w:style>
  <w:style w:type="paragraph" w:styleId="BodyTextIndent">
    <w:name w:val="Body Text Indent"/>
    <w:basedOn w:val="Normal"/>
    <w:next w:val="Normal"/>
    <w:rsid w:val="003A103A"/>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3A103A"/>
    <w:pPr>
      <w:numPr>
        <w:numId w:val="3"/>
      </w:numPr>
    </w:pPr>
  </w:style>
  <w:style w:type="paragraph" w:customStyle="1" w:styleId="Dash">
    <w:name w:val="Dash"/>
    <w:basedOn w:val="Normal"/>
    <w:rsid w:val="003A103A"/>
    <w:pPr>
      <w:numPr>
        <w:numId w:val="4"/>
      </w:numPr>
      <w:adjustRightInd w:val="0"/>
      <w:snapToGrid w:val="0"/>
    </w:pPr>
  </w:style>
  <w:style w:type="paragraph" w:customStyle="1" w:styleId="N3">
    <w:name w:val="N3"/>
    <w:basedOn w:val="Normal"/>
    <w:rsid w:val="00E5797E"/>
    <w:pPr>
      <w:widowControl w:val="0"/>
      <w:tabs>
        <w:tab w:val="left" w:pos="170"/>
      </w:tabs>
      <w:overflowPunct w:val="0"/>
      <w:autoSpaceDE w:val="0"/>
      <w:autoSpaceDN w:val="0"/>
      <w:adjustRightInd w:val="0"/>
      <w:spacing w:after="0"/>
      <w:jc w:val="both"/>
      <w:textAlignment w:val="baseline"/>
    </w:pPr>
    <w:rPr>
      <w:rFonts w:ascii="Tms Rmn" w:hAnsi="Tms Rmn" w:cs="Tms Rmn"/>
      <w:snapToGrid w:val="0"/>
      <w:sz w:val="22"/>
      <w:szCs w:val="22"/>
      <w:lang w:val="fr-FR" w:eastAsia="de-DE"/>
    </w:rPr>
  </w:style>
  <w:style w:type="paragraph" w:styleId="BodyTextIndent2">
    <w:name w:val="Body Text Indent 2"/>
    <w:basedOn w:val="Normal"/>
    <w:rsid w:val="00615BE1"/>
    <w:pPr>
      <w:spacing w:after="120" w:line="480" w:lineRule="auto"/>
      <w:ind w:left="283"/>
    </w:pPr>
  </w:style>
  <w:style w:type="paragraph" w:styleId="BodyText">
    <w:name w:val="Body Text"/>
    <w:basedOn w:val="Normal"/>
    <w:rsid w:val="00615BE1"/>
    <w:pPr>
      <w:spacing w:after="120"/>
    </w:pPr>
  </w:style>
  <w:style w:type="paragraph" w:customStyle="1" w:styleId="Index">
    <w:name w:val="Index"/>
    <w:basedOn w:val="Normal"/>
    <w:rsid w:val="007B5F64"/>
    <w:pPr>
      <w:widowControl w:val="0"/>
      <w:suppressLineNumbers/>
      <w:suppressAutoHyphens/>
      <w:overflowPunct w:val="0"/>
      <w:autoSpaceDE w:val="0"/>
      <w:autoSpaceDN w:val="0"/>
      <w:adjustRightInd w:val="0"/>
      <w:spacing w:after="0"/>
      <w:jc w:val="both"/>
      <w:textAlignment w:val="baseline"/>
    </w:pPr>
    <w:rPr>
      <w:lang w:val="en-US"/>
    </w:rPr>
  </w:style>
  <w:style w:type="paragraph" w:customStyle="1" w:styleId="Style1">
    <w:name w:val="Style1"/>
    <w:basedOn w:val="Normal"/>
    <w:rsid w:val="00357FB2"/>
    <w:pPr>
      <w:numPr>
        <w:numId w:val="5"/>
      </w:numPr>
      <w:spacing w:after="0"/>
    </w:pPr>
    <w:rPr>
      <w:sz w:val="22"/>
      <w:szCs w:val="24"/>
    </w:rPr>
  </w:style>
  <w:style w:type="paragraph" w:styleId="BalloonText">
    <w:name w:val="Balloon Text"/>
    <w:basedOn w:val="Normal"/>
    <w:semiHidden/>
    <w:rsid w:val="00D504FE"/>
    <w:rPr>
      <w:rFonts w:ascii="Tahoma" w:hAnsi="Tahoma" w:cs="Tahoma"/>
      <w:sz w:val="16"/>
      <w:szCs w:val="16"/>
    </w:rPr>
  </w:style>
  <w:style w:type="character" w:customStyle="1" w:styleId="Heading5Char">
    <w:name w:val="Heading 5 Char"/>
    <w:link w:val="Heading5"/>
    <w:rsid w:val="00A909D8"/>
    <w:rPr>
      <w:b/>
      <w:i/>
      <w:sz w:val="24"/>
      <w:lang w:val="en-GB" w:eastAsia="en-US"/>
    </w:rPr>
  </w:style>
  <w:style w:type="character" w:customStyle="1" w:styleId="HeaderChar">
    <w:name w:val="Header Char"/>
    <w:link w:val="Header"/>
    <w:rsid w:val="00A909D8"/>
    <w:rPr>
      <w:sz w:val="24"/>
      <w:lang w:val="en-GB" w:eastAsia="en-US"/>
    </w:rPr>
  </w:style>
  <w:style w:type="character" w:customStyle="1" w:styleId="FootnoteTextChar">
    <w:name w:val="Footnote Text Char"/>
    <w:link w:val="FootnoteText"/>
    <w:rsid w:val="00A909D8"/>
    <w:rPr>
      <w:sz w:val="24"/>
      <w:lang w:val="en-GB" w:eastAsia="en-US"/>
    </w:rPr>
  </w:style>
  <w:style w:type="table" w:styleId="TableGrid">
    <w:name w:val="Table Grid"/>
    <w:basedOn w:val="TableNormal"/>
    <w:rsid w:val="00070E56"/>
    <w:pPr>
      <w:tabs>
        <w:tab w:val="left" w:pos="425"/>
        <w:tab w:val="left" w:pos="851"/>
        <w:tab w:val="left" w:pos="1276"/>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070E56"/>
    <w:pPr>
      <w:tabs>
        <w:tab w:val="left" w:pos="425"/>
        <w:tab w:val="left" w:pos="851"/>
        <w:tab w:val="left" w:pos="1276"/>
      </w:tabs>
      <w:spacing w:after="0"/>
      <w:jc w:val="both"/>
    </w:pPr>
    <w:rPr>
      <w:rFonts w:ascii="Arial" w:hAnsi="Arial"/>
      <w:color w:val="000000"/>
      <w:sz w:val="20"/>
      <w:lang w:val="de-DE" w:eastAsia="de-DE"/>
    </w:rPr>
  </w:style>
  <w:style w:type="character" w:customStyle="1" w:styleId="CommentTextChar">
    <w:name w:val="Comment Text Char"/>
    <w:link w:val="CommentText"/>
    <w:rsid w:val="00070E56"/>
    <w:rPr>
      <w:rFonts w:ascii="Arial" w:hAnsi="Arial"/>
      <w:color w:val="000000"/>
      <w:lang w:val="de-DE" w:eastAsia="de-DE"/>
    </w:rPr>
  </w:style>
  <w:style w:type="character" w:styleId="CommentReference">
    <w:name w:val="annotation reference"/>
    <w:rsid w:val="00070E56"/>
    <w:rPr>
      <w:rFonts w:ascii="Arial" w:hAnsi="Arial"/>
      <w:sz w:val="16"/>
    </w:rPr>
  </w:style>
  <w:style w:type="paragraph" w:customStyle="1" w:styleId="NormaltextSpalte">
    <w:name w:val="Normaltext Spalte"/>
    <w:basedOn w:val="Normal"/>
    <w:rsid w:val="00070E56"/>
    <w:pPr>
      <w:tabs>
        <w:tab w:val="left" w:pos="425"/>
        <w:tab w:val="left" w:pos="851"/>
        <w:tab w:val="left" w:pos="1276"/>
      </w:tabs>
      <w:spacing w:before="180" w:after="0"/>
      <w:jc w:val="both"/>
    </w:pPr>
    <w:rPr>
      <w:rFonts w:ascii="Arial" w:hAnsi="Arial"/>
      <w:color w:val="000000"/>
      <w:sz w:val="18"/>
      <w:lang w:val="de-DE" w:eastAsia="de-DE"/>
    </w:rPr>
  </w:style>
  <w:style w:type="paragraph" w:customStyle="1" w:styleId="NormalListSpalte">
    <w:name w:val="Normal List Spalte"/>
    <w:basedOn w:val="Normal"/>
    <w:link w:val="NormalListSpalteChar"/>
    <w:rsid w:val="00070E56"/>
    <w:pPr>
      <w:tabs>
        <w:tab w:val="left" w:pos="215"/>
        <w:tab w:val="left" w:pos="425"/>
        <w:tab w:val="left" w:pos="851"/>
        <w:tab w:val="left" w:pos="1276"/>
      </w:tabs>
      <w:spacing w:before="60" w:after="0"/>
      <w:ind w:left="215" w:hanging="215"/>
      <w:jc w:val="both"/>
    </w:pPr>
    <w:rPr>
      <w:rFonts w:ascii="Arial" w:hAnsi="Arial"/>
      <w:color w:val="000000"/>
      <w:sz w:val="18"/>
      <w:lang w:val="de-DE" w:eastAsia="de-DE"/>
    </w:rPr>
  </w:style>
  <w:style w:type="paragraph" w:styleId="CommentSubject">
    <w:name w:val="annotation subject"/>
    <w:basedOn w:val="CommentText"/>
    <w:next w:val="CommentText"/>
    <w:link w:val="CommentSubjectChar"/>
    <w:rsid w:val="00070E56"/>
    <w:rPr>
      <w:b/>
      <w:bCs/>
    </w:rPr>
  </w:style>
  <w:style w:type="character" w:customStyle="1" w:styleId="CommentSubjectChar">
    <w:name w:val="Comment Subject Char"/>
    <w:link w:val="CommentSubject"/>
    <w:rsid w:val="00070E56"/>
    <w:rPr>
      <w:rFonts w:ascii="Arial" w:hAnsi="Arial"/>
      <w:b/>
      <w:bCs/>
      <w:color w:val="000000"/>
      <w:lang w:val="de-DE" w:eastAsia="de-DE"/>
    </w:rPr>
  </w:style>
  <w:style w:type="paragraph" w:customStyle="1" w:styleId="Randnummer">
    <w:name w:val="Randnummer"/>
    <w:basedOn w:val="Normal"/>
    <w:rsid w:val="00070E56"/>
    <w:pPr>
      <w:tabs>
        <w:tab w:val="left" w:pos="580"/>
        <w:tab w:val="left" w:pos="1100"/>
      </w:tabs>
      <w:spacing w:before="180" w:after="0"/>
      <w:ind w:left="1080" w:hanging="1080"/>
      <w:jc w:val="both"/>
    </w:pPr>
    <w:rPr>
      <w:rFonts w:ascii="Arial" w:hAnsi="Arial"/>
      <w:color w:val="000000"/>
      <w:sz w:val="18"/>
      <w:lang w:val="de-DE" w:eastAsia="de-DE"/>
    </w:rPr>
  </w:style>
  <w:style w:type="paragraph" w:customStyle="1" w:styleId="NormalBemerkung123">
    <w:name w:val="Normal Bemerkung123"/>
    <w:basedOn w:val="Normal"/>
    <w:rsid w:val="00070E56"/>
    <w:pPr>
      <w:tabs>
        <w:tab w:val="left" w:pos="1700"/>
        <w:tab w:val="left" w:pos="1980"/>
      </w:tabs>
      <w:spacing w:before="60" w:after="0"/>
      <w:ind w:left="1680" w:hanging="600"/>
      <w:jc w:val="both"/>
    </w:pPr>
    <w:rPr>
      <w:rFonts w:ascii="Arial" w:hAnsi="Arial"/>
      <w:color w:val="000000"/>
      <w:sz w:val="18"/>
      <w:lang w:val="de-DE" w:eastAsia="de-DE"/>
    </w:rPr>
  </w:style>
  <w:style w:type="paragraph" w:customStyle="1" w:styleId="NormalBemerkung">
    <w:name w:val="Normal Bemerkung"/>
    <w:basedOn w:val="Normal"/>
    <w:rsid w:val="00070E56"/>
    <w:pPr>
      <w:tabs>
        <w:tab w:val="left" w:pos="1700"/>
      </w:tabs>
      <w:spacing w:before="60" w:after="0"/>
      <w:ind w:left="1680" w:hanging="600"/>
      <w:jc w:val="both"/>
    </w:pPr>
    <w:rPr>
      <w:rFonts w:ascii="Arial" w:hAnsi="Arial"/>
      <w:color w:val="000000"/>
      <w:sz w:val="18"/>
      <w:lang w:val="de-DE" w:eastAsia="de-DE"/>
    </w:rPr>
  </w:style>
  <w:style w:type="paragraph" w:customStyle="1" w:styleId="TabelleAnhangVI">
    <w:name w:val="Tabelle Anhang VI"/>
    <w:rsid w:val="00070E56"/>
    <w:pPr>
      <w:keepLines/>
      <w:tabs>
        <w:tab w:val="right" w:pos="1191"/>
      </w:tabs>
      <w:spacing w:before="80" w:after="80" w:line="180" w:lineRule="atLeast"/>
    </w:pPr>
    <w:rPr>
      <w:rFonts w:ascii="Arial" w:hAnsi="Arial"/>
      <w:color w:val="000000"/>
      <w:sz w:val="18"/>
      <w:lang w:val="en-US" w:eastAsia="de-DE"/>
    </w:rPr>
  </w:style>
  <w:style w:type="paragraph" w:customStyle="1" w:styleId="Normaltext">
    <w:name w:val="Normaltext"/>
    <w:basedOn w:val="Normal"/>
    <w:rsid w:val="00070E56"/>
    <w:pPr>
      <w:spacing w:before="180" w:after="0"/>
      <w:ind w:left="1080"/>
      <w:jc w:val="both"/>
    </w:pPr>
    <w:rPr>
      <w:rFonts w:ascii="Arial" w:hAnsi="Arial"/>
      <w:color w:val="000000"/>
      <w:sz w:val="18"/>
      <w:lang w:val="de-DE" w:eastAsia="de-DE"/>
    </w:rPr>
  </w:style>
  <w:style w:type="paragraph" w:customStyle="1" w:styleId="NormalList">
    <w:name w:val="Normal List"/>
    <w:basedOn w:val="Normal"/>
    <w:link w:val="NormalListChar"/>
    <w:rsid w:val="00070E56"/>
    <w:pPr>
      <w:tabs>
        <w:tab w:val="left" w:pos="1400"/>
      </w:tabs>
      <w:spacing w:before="60" w:after="0"/>
      <w:ind w:left="1380" w:hanging="300"/>
      <w:jc w:val="both"/>
    </w:pPr>
    <w:rPr>
      <w:rFonts w:ascii="Arial" w:hAnsi="Arial"/>
      <w:color w:val="000000"/>
      <w:sz w:val="18"/>
      <w:lang w:val="de-DE" w:eastAsia="de-DE"/>
    </w:rPr>
  </w:style>
  <w:style w:type="character" w:customStyle="1" w:styleId="NormalListChar">
    <w:name w:val="Normal List Char"/>
    <w:link w:val="NormalList"/>
    <w:rsid w:val="00070E56"/>
    <w:rPr>
      <w:rFonts w:ascii="Arial" w:hAnsi="Arial"/>
      <w:color w:val="000000"/>
      <w:sz w:val="18"/>
      <w:lang w:val="de-DE" w:eastAsia="de-DE"/>
    </w:rPr>
  </w:style>
  <w:style w:type="paragraph" w:customStyle="1" w:styleId="TabellenformatKlasse2">
    <w:name w:val="Tabellenformat Klasse 2"/>
    <w:basedOn w:val="Normal"/>
    <w:rsid w:val="00070E56"/>
    <w:pPr>
      <w:tabs>
        <w:tab w:val="left" w:pos="567"/>
      </w:tabs>
      <w:spacing w:after="0"/>
      <w:ind w:left="567" w:hanging="567"/>
    </w:pPr>
    <w:rPr>
      <w:rFonts w:ascii="Arial" w:hAnsi="Arial"/>
      <w:color w:val="000000"/>
      <w:sz w:val="18"/>
      <w:lang w:val="de-DE" w:eastAsia="de-DE"/>
    </w:rPr>
  </w:style>
  <w:style w:type="paragraph" w:customStyle="1" w:styleId="NormaltextSpalte0">
    <w:name w:val="Normaltext_Spalte"/>
    <w:basedOn w:val="Normal"/>
    <w:rsid w:val="00070E56"/>
    <w:pPr>
      <w:spacing w:before="180" w:after="0"/>
      <w:jc w:val="both"/>
    </w:pPr>
    <w:rPr>
      <w:rFonts w:ascii="Arial" w:hAnsi="Arial"/>
      <w:sz w:val="18"/>
      <w:lang w:val="de-DE" w:eastAsia="de-DE"/>
    </w:rPr>
  </w:style>
  <w:style w:type="character" w:customStyle="1" w:styleId="NormalListSpalteChar">
    <w:name w:val="Normal List Spalte Char"/>
    <w:link w:val="NormalListSpalte"/>
    <w:rsid w:val="00070E56"/>
    <w:rPr>
      <w:rFonts w:ascii="Arial" w:hAnsi="Arial"/>
      <w:color w:val="000000"/>
      <w:sz w:val="18"/>
      <w:lang w:val="de-DE" w:eastAsia="de-DE"/>
    </w:rPr>
  </w:style>
  <w:style w:type="paragraph" w:styleId="BodyText2">
    <w:name w:val="Body Text 2"/>
    <w:basedOn w:val="Normal"/>
    <w:link w:val="BodyText2Char"/>
    <w:rsid w:val="00070E56"/>
    <w:pPr>
      <w:tabs>
        <w:tab w:val="left" w:pos="425"/>
        <w:tab w:val="left" w:pos="851"/>
        <w:tab w:val="left" w:pos="1276"/>
      </w:tabs>
      <w:spacing w:after="120" w:line="480" w:lineRule="auto"/>
      <w:jc w:val="both"/>
    </w:pPr>
    <w:rPr>
      <w:rFonts w:ascii="Arial" w:hAnsi="Arial"/>
      <w:color w:val="000000"/>
      <w:sz w:val="22"/>
      <w:lang w:val="de-DE" w:eastAsia="de-DE"/>
    </w:rPr>
  </w:style>
  <w:style w:type="character" w:customStyle="1" w:styleId="BodyText2Char">
    <w:name w:val="Body Text 2 Char"/>
    <w:link w:val="BodyText2"/>
    <w:rsid w:val="00070E56"/>
    <w:rPr>
      <w:rFonts w:ascii="Arial" w:hAnsi="Arial"/>
      <w:color w:val="000000"/>
      <w:sz w:val="22"/>
      <w:lang w:val="de-DE" w:eastAsia="de-DE"/>
    </w:rPr>
  </w:style>
  <w:style w:type="paragraph" w:customStyle="1" w:styleId="Standardowy">
    <w:name w:val="Standardowy"/>
    <w:rsid w:val="00070E56"/>
    <w:rPr>
      <w:rFonts w:ascii="Arial" w:hAnsi="Arial"/>
      <w:snapToGrid w:val="0"/>
      <w:sz w:val="24"/>
      <w:lang w:val="en-GB" w:eastAsia="en-US"/>
    </w:rPr>
  </w:style>
  <w:style w:type="paragraph" w:customStyle="1" w:styleId="NumDocPara">
    <w:name w:val="Num©Doc Para"/>
    <w:basedOn w:val="Normal"/>
    <w:rsid w:val="00070E56"/>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after="0"/>
    </w:pPr>
    <w:rPr>
      <w:snapToGrid w:val="0"/>
      <w:sz w:val="22"/>
      <w:lang w:val="en-US"/>
    </w:rPr>
  </w:style>
  <w:style w:type="paragraph" w:customStyle="1" w:styleId="TabelleAnhangVII">
    <w:name w:val="Tabelle Anhang VII"/>
    <w:basedOn w:val="Normal"/>
    <w:rsid w:val="00070E56"/>
    <w:pPr>
      <w:tabs>
        <w:tab w:val="left" w:pos="140"/>
      </w:tabs>
      <w:spacing w:after="0"/>
      <w:ind w:right="23"/>
    </w:pPr>
    <w:rPr>
      <w:rFonts w:ascii="Arial" w:hAnsi="Arial"/>
      <w:color w:val="000000"/>
      <w:sz w:val="18"/>
      <w:lang w:val="de-DE" w:eastAsia="de-DE"/>
    </w:rPr>
  </w:style>
  <w:style w:type="paragraph" w:styleId="BodyText3">
    <w:name w:val="Body Text 3"/>
    <w:basedOn w:val="Normal"/>
    <w:link w:val="BodyText3Char"/>
    <w:rsid w:val="00070E56"/>
    <w:pPr>
      <w:spacing w:after="120"/>
    </w:pPr>
    <w:rPr>
      <w:sz w:val="16"/>
      <w:szCs w:val="16"/>
    </w:rPr>
  </w:style>
  <w:style w:type="character" w:customStyle="1" w:styleId="BodyText3Char">
    <w:name w:val="Body Text 3 Char"/>
    <w:link w:val="BodyText3"/>
    <w:rsid w:val="00070E56"/>
    <w:rPr>
      <w:sz w:val="16"/>
      <w:szCs w:val="16"/>
      <w:lang w:val="en-GB" w:eastAsia="en-US"/>
    </w:rPr>
  </w:style>
  <w:style w:type="paragraph" w:customStyle="1" w:styleId="TabelleAnhangV">
    <w:name w:val="Tabelle Anhang V"/>
    <w:basedOn w:val="Normal"/>
    <w:rsid w:val="00070E56"/>
    <w:pPr>
      <w:tabs>
        <w:tab w:val="left" w:pos="140"/>
      </w:tabs>
      <w:spacing w:before="60" w:after="60"/>
      <w:ind w:right="20"/>
    </w:pPr>
    <w:rPr>
      <w:rFonts w:ascii="Arial" w:hAnsi="Arial"/>
      <w:color w:val="000000"/>
      <w:sz w:val="18"/>
      <w:lang w:val="de-DE" w:eastAsia="de-DE"/>
    </w:rPr>
  </w:style>
  <w:style w:type="paragraph" w:styleId="BodyTextIndent3">
    <w:name w:val="Body Text Indent 3"/>
    <w:basedOn w:val="Normal"/>
    <w:link w:val="BodyTextIndent3Char"/>
    <w:rsid w:val="00525173"/>
    <w:pPr>
      <w:spacing w:after="120"/>
      <w:ind w:left="283"/>
    </w:pPr>
    <w:rPr>
      <w:sz w:val="16"/>
      <w:szCs w:val="16"/>
    </w:rPr>
  </w:style>
  <w:style w:type="character" w:customStyle="1" w:styleId="BodyTextIndent3Char">
    <w:name w:val="Body Text Indent 3 Char"/>
    <w:link w:val="BodyTextIndent3"/>
    <w:rsid w:val="00525173"/>
    <w:rPr>
      <w:sz w:val="16"/>
      <w:szCs w:val="16"/>
      <w:lang w:val="en-GB" w:eastAsia="en-US"/>
    </w:rPr>
  </w:style>
  <w:style w:type="paragraph" w:customStyle="1" w:styleId="N20">
    <w:name w:val="N20"/>
    <w:basedOn w:val="Normal"/>
    <w:link w:val="N20Car"/>
    <w:rsid w:val="00525173"/>
    <w:pPr>
      <w:widowControl w:val="0"/>
      <w:spacing w:after="0"/>
      <w:ind w:left="1134"/>
      <w:jc w:val="both"/>
    </w:pPr>
    <w:rPr>
      <w:rFonts w:ascii="Arial" w:hAnsi="Arial"/>
      <w:color w:val="000000"/>
      <w:sz w:val="20"/>
      <w:szCs w:val="22"/>
      <w:lang w:val="de-DE" w:eastAsia="de-DE"/>
    </w:rPr>
  </w:style>
  <w:style w:type="character" w:customStyle="1" w:styleId="N20Car">
    <w:name w:val="N20 Car"/>
    <w:link w:val="N20"/>
    <w:rsid w:val="00525173"/>
    <w:rPr>
      <w:rFonts w:ascii="Arial" w:hAnsi="Arial" w:cs="Arial"/>
      <w:color w:val="000000"/>
      <w:szCs w:val="22"/>
      <w:lang w:val="de-DE" w:eastAsia="de-DE"/>
    </w:rPr>
  </w:style>
  <w:style w:type="paragraph" w:styleId="ListParagraph">
    <w:name w:val="List Paragraph"/>
    <w:basedOn w:val="Normal"/>
    <w:uiPriority w:val="34"/>
    <w:qFormat/>
    <w:rsid w:val="00AF08C3"/>
    <w:pPr>
      <w:ind w:left="708"/>
    </w:pPr>
  </w:style>
  <w:style w:type="numbering" w:styleId="1ai">
    <w:name w:val="Outline List 1"/>
    <w:basedOn w:val="NoList"/>
    <w:rsid w:val="00442372"/>
    <w:pPr>
      <w:numPr>
        <w:numId w:val="20"/>
      </w:numPr>
    </w:pPr>
  </w:style>
  <w:style w:type="paragraph" w:customStyle="1" w:styleId="HChG">
    <w:name w:val="_ H _Ch_G"/>
    <w:basedOn w:val="Normal"/>
    <w:next w:val="Normal"/>
    <w:rsid w:val="00992957"/>
    <w:pPr>
      <w:keepNext/>
      <w:keepLines/>
      <w:tabs>
        <w:tab w:val="right" w:pos="851"/>
      </w:tabs>
      <w:suppressAutoHyphens/>
      <w:spacing w:before="360" w:line="300" w:lineRule="exact"/>
      <w:ind w:left="1134" w:right="1134" w:hanging="1134"/>
    </w:pPr>
    <w:rPr>
      <w:b/>
      <w:snapToGrid w:val="0"/>
      <w:sz w:val="28"/>
      <w:lang w:eastAsia="fr-FR"/>
    </w:rPr>
  </w:style>
  <w:style w:type="paragraph" w:customStyle="1" w:styleId="H1G">
    <w:name w:val="_ H_1_G"/>
    <w:basedOn w:val="Normal"/>
    <w:next w:val="Normal"/>
    <w:rsid w:val="00992957"/>
    <w:pPr>
      <w:keepNext/>
      <w:keepLines/>
      <w:tabs>
        <w:tab w:val="right" w:pos="851"/>
      </w:tabs>
      <w:suppressAutoHyphens/>
      <w:spacing w:before="360" w:line="270" w:lineRule="exact"/>
      <w:ind w:left="1134" w:right="1134" w:hanging="1134"/>
    </w:pPr>
    <w:rPr>
      <w:b/>
      <w:snapToGrid w:val="0"/>
      <w:lang w:eastAsia="fr-FR"/>
    </w:rPr>
  </w:style>
  <w:style w:type="paragraph" w:customStyle="1" w:styleId="SingleTxtG">
    <w:name w:val="_ Single Txt_G"/>
    <w:basedOn w:val="Normal"/>
    <w:rsid w:val="00992957"/>
    <w:pPr>
      <w:suppressAutoHyphens/>
      <w:spacing w:after="120" w:line="240" w:lineRule="atLeast"/>
      <w:ind w:left="1134" w:right="1134"/>
      <w:jc w:val="both"/>
    </w:pPr>
    <w:rPr>
      <w:snapToGrid w:val="0"/>
      <w:sz w:val="20"/>
      <w:lang w:eastAsia="fr-FR"/>
    </w:rPr>
  </w:style>
  <w:style w:type="paragraph" w:customStyle="1" w:styleId="H23G">
    <w:name w:val="_ H_2/3_G"/>
    <w:basedOn w:val="Normal"/>
    <w:next w:val="Normal"/>
    <w:rsid w:val="00992957"/>
    <w:pPr>
      <w:keepNext/>
      <w:keepLines/>
      <w:tabs>
        <w:tab w:val="right" w:pos="851"/>
      </w:tabs>
      <w:suppressAutoHyphens/>
      <w:spacing w:before="240" w:after="120" w:line="240" w:lineRule="exact"/>
      <w:ind w:left="1134" w:right="1134" w:hanging="1134"/>
    </w:pPr>
    <w:rPr>
      <w:b/>
      <w:snapToGrid w:val="0"/>
      <w:sz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style>
  <w:style w:type="paragraph" w:customStyle="1" w:styleId="Rom2">
    <w:name w:val="Rom2"/>
    <w:basedOn w:val="Normal"/>
    <w:pPr>
      <w:numPr>
        <w:numId w:val="2"/>
      </w:numPr>
      <w:tabs>
        <w:tab w:val="clear" w:pos="2160"/>
      </w:tabs>
      <w:ind w:left="1702" w:hanging="284"/>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aliases w:val="Footnote Reference/"/>
    <w:rPr>
      <w:b/>
      <w:sz w:val="24"/>
      <w:vertAlign w:val="superscript"/>
    </w:rPr>
  </w:style>
  <w:style w:type="paragraph" w:styleId="FootnoteText">
    <w:name w:val="footnote text"/>
    <w:basedOn w:val="Normal"/>
    <w:link w:val="FootnoteTextChar"/>
  </w:style>
  <w:style w:type="character" w:styleId="PageNumber">
    <w:name w:val="page number"/>
    <w:basedOn w:val="DefaultParagraphFont"/>
  </w:style>
  <w:style w:type="paragraph" w:styleId="BodyTextIndent">
    <w:name w:val="Body Text Indent"/>
    <w:basedOn w:val="Normal"/>
    <w:next w:val="Normal"/>
    <w:rsid w:val="003A103A"/>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3A103A"/>
    <w:pPr>
      <w:numPr>
        <w:numId w:val="3"/>
      </w:numPr>
    </w:pPr>
  </w:style>
  <w:style w:type="paragraph" w:customStyle="1" w:styleId="Dash">
    <w:name w:val="Dash"/>
    <w:basedOn w:val="Normal"/>
    <w:rsid w:val="003A103A"/>
    <w:pPr>
      <w:numPr>
        <w:numId w:val="4"/>
      </w:numPr>
      <w:adjustRightInd w:val="0"/>
      <w:snapToGrid w:val="0"/>
    </w:pPr>
  </w:style>
  <w:style w:type="paragraph" w:customStyle="1" w:styleId="N3">
    <w:name w:val="N3"/>
    <w:basedOn w:val="Normal"/>
    <w:rsid w:val="00E5797E"/>
    <w:pPr>
      <w:widowControl w:val="0"/>
      <w:tabs>
        <w:tab w:val="left" w:pos="170"/>
      </w:tabs>
      <w:overflowPunct w:val="0"/>
      <w:autoSpaceDE w:val="0"/>
      <w:autoSpaceDN w:val="0"/>
      <w:adjustRightInd w:val="0"/>
      <w:spacing w:after="0"/>
      <w:jc w:val="both"/>
      <w:textAlignment w:val="baseline"/>
    </w:pPr>
    <w:rPr>
      <w:rFonts w:ascii="Tms Rmn" w:hAnsi="Tms Rmn" w:cs="Tms Rmn"/>
      <w:snapToGrid w:val="0"/>
      <w:sz w:val="22"/>
      <w:szCs w:val="22"/>
      <w:lang w:val="fr-FR" w:eastAsia="de-DE"/>
    </w:rPr>
  </w:style>
  <w:style w:type="paragraph" w:styleId="BodyTextIndent2">
    <w:name w:val="Body Text Indent 2"/>
    <w:basedOn w:val="Normal"/>
    <w:rsid w:val="00615BE1"/>
    <w:pPr>
      <w:spacing w:after="120" w:line="480" w:lineRule="auto"/>
      <w:ind w:left="283"/>
    </w:pPr>
  </w:style>
  <w:style w:type="paragraph" w:styleId="BodyText">
    <w:name w:val="Body Text"/>
    <w:basedOn w:val="Normal"/>
    <w:rsid w:val="00615BE1"/>
    <w:pPr>
      <w:spacing w:after="120"/>
    </w:pPr>
  </w:style>
  <w:style w:type="paragraph" w:customStyle="1" w:styleId="Index">
    <w:name w:val="Index"/>
    <w:basedOn w:val="Normal"/>
    <w:rsid w:val="007B5F64"/>
    <w:pPr>
      <w:widowControl w:val="0"/>
      <w:suppressLineNumbers/>
      <w:suppressAutoHyphens/>
      <w:overflowPunct w:val="0"/>
      <w:autoSpaceDE w:val="0"/>
      <w:autoSpaceDN w:val="0"/>
      <w:adjustRightInd w:val="0"/>
      <w:spacing w:after="0"/>
      <w:jc w:val="both"/>
      <w:textAlignment w:val="baseline"/>
    </w:pPr>
    <w:rPr>
      <w:lang w:val="en-US"/>
    </w:rPr>
  </w:style>
  <w:style w:type="paragraph" w:customStyle="1" w:styleId="Style1">
    <w:name w:val="Style1"/>
    <w:basedOn w:val="Normal"/>
    <w:rsid w:val="00357FB2"/>
    <w:pPr>
      <w:numPr>
        <w:numId w:val="5"/>
      </w:numPr>
      <w:spacing w:after="0"/>
    </w:pPr>
    <w:rPr>
      <w:sz w:val="22"/>
      <w:szCs w:val="24"/>
    </w:rPr>
  </w:style>
  <w:style w:type="paragraph" w:styleId="BalloonText">
    <w:name w:val="Balloon Text"/>
    <w:basedOn w:val="Normal"/>
    <w:semiHidden/>
    <w:rsid w:val="00D504FE"/>
    <w:rPr>
      <w:rFonts w:ascii="Tahoma" w:hAnsi="Tahoma" w:cs="Tahoma"/>
      <w:sz w:val="16"/>
      <w:szCs w:val="16"/>
    </w:rPr>
  </w:style>
  <w:style w:type="character" w:customStyle="1" w:styleId="Heading5Char">
    <w:name w:val="Heading 5 Char"/>
    <w:link w:val="Heading5"/>
    <w:rsid w:val="00A909D8"/>
    <w:rPr>
      <w:b/>
      <w:i/>
      <w:sz w:val="24"/>
      <w:lang w:val="en-GB" w:eastAsia="en-US"/>
    </w:rPr>
  </w:style>
  <w:style w:type="character" w:customStyle="1" w:styleId="HeaderChar">
    <w:name w:val="Header Char"/>
    <w:link w:val="Header"/>
    <w:rsid w:val="00A909D8"/>
    <w:rPr>
      <w:sz w:val="24"/>
      <w:lang w:val="en-GB" w:eastAsia="en-US"/>
    </w:rPr>
  </w:style>
  <w:style w:type="character" w:customStyle="1" w:styleId="FootnoteTextChar">
    <w:name w:val="Footnote Text Char"/>
    <w:link w:val="FootnoteText"/>
    <w:rsid w:val="00A909D8"/>
    <w:rPr>
      <w:sz w:val="24"/>
      <w:lang w:val="en-GB" w:eastAsia="en-US"/>
    </w:rPr>
  </w:style>
  <w:style w:type="table" w:styleId="TableGrid">
    <w:name w:val="Table Grid"/>
    <w:basedOn w:val="TableNormal"/>
    <w:rsid w:val="00070E56"/>
    <w:pPr>
      <w:tabs>
        <w:tab w:val="left" w:pos="425"/>
        <w:tab w:val="left" w:pos="851"/>
        <w:tab w:val="left" w:pos="1276"/>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070E56"/>
    <w:pPr>
      <w:tabs>
        <w:tab w:val="left" w:pos="425"/>
        <w:tab w:val="left" w:pos="851"/>
        <w:tab w:val="left" w:pos="1276"/>
      </w:tabs>
      <w:spacing w:after="0"/>
      <w:jc w:val="both"/>
    </w:pPr>
    <w:rPr>
      <w:rFonts w:ascii="Arial" w:hAnsi="Arial"/>
      <w:color w:val="000000"/>
      <w:sz w:val="20"/>
      <w:lang w:val="de-DE" w:eastAsia="de-DE"/>
    </w:rPr>
  </w:style>
  <w:style w:type="character" w:customStyle="1" w:styleId="CommentTextChar">
    <w:name w:val="Comment Text Char"/>
    <w:link w:val="CommentText"/>
    <w:rsid w:val="00070E56"/>
    <w:rPr>
      <w:rFonts w:ascii="Arial" w:hAnsi="Arial"/>
      <w:color w:val="000000"/>
      <w:lang w:val="de-DE" w:eastAsia="de-DE"/>
    </w:rPr>
  </w:style>
  <w:style w:type="character" w:styleId="CommentReference">
    <w:name w:val="annotation reference"/>
    <w:rsid w:val="00070E56"/>
    <w:rPr>
      <w:rFonts w:ascii="Arial" w:hAnsi="Arial"/>
      <w:sz w:val="16"/>
    </w:rPr>
  </w:style>
  <w:style w:type="paragraph" w:customStyle="1" w:styleId="NormaltextSpalte">
    <w:name w:val="Normaltext Spalte"/>
    <w:basedOn w:val="Normal"/>
    <w:rsid w:val="00070E56"/>
    <w:pPr>
      <w:tabs>
        <w:tab w:val="left" w:pos="425"/>
        <w:tab w:val="left" w:pos="851"/>
        <w:tab w:val="left" w:pos="1276"/>
      </w:tabs>
      <w:spacing w:before="180" w:after="0"/>
      <w:jc w:val="both"/>
    </w:pPr>
    <w:rPr>
      <w:rFonts w:ascii="Arial" w:hAnsi="Arial"/>
      <w:color w:val="000000"/>
      <w:sz w:val="18"/>
      <w:lang w:val="de-DE" w:eastAsia="de-DE"/>
    </w:rPr>
  </w:style>
  <w:style w:type="paragraph" w:customStyle="1" w:styleId="NormalListSpalte">
    <w:name w:val="Normal List Spalte"/>
    <w:basedOn w:val="Normal"/>
    <w:link w:val="NormalListSpalteChar"/>
    <w:rsid w:val="00070E56"/>
    <w:pPr>
      <w:tabs>
        <w:tab w:val="left" w:pos="215"/>
        <w:tab w:val="left" w:pos="425"/>
        <w:tab w:val="left" w:pos="851"/>
        <w:tab w:val="left" w:pos="1276"/>
      </w:tabs>
      <w:spacing w:before="60" w:after="0"/>
      <w:ind w:left="215" w:hanging="215"/>
      <w:jc w:val="both"/>
    </w:pPr>
    <w:rPr>
      <w:rFonts w:ascii="Arial" w:hAnsi="Arial"/>
      <w:color w:val="000000"/>
      <w:sz w:val="18"/>
      <w:lang w:val="de-DE" w:eastAsia="de-DE"/>
    </w:rPr>
  </w:style>
  <w:style w:type="paragraph" w:styleId="CommentSubject">
    <w:name w:val="annotation subject"/>
    <w:basedOn w:val="CommentText"/>
    <w:next w:val="CommentText"/>
    <w:link w:val="CommentSubjectChar"/>
    <w:rsid w:val="00070E56"/>
    <w:rPr>
      <w:b/>
      <w:bCs/>
    </w:rPr>
  </w:style>
  <w:style w:type="character" w:customStyle="1" w:styleId="CommentSubjectChar">
    <w:name w:val="Comment Subject Char"/>
    <w:link w:val="CommentSubject"/>
    <w:rsid w:val="00070E56"/>
    <w:rPr>
      <w:rFonts w:ascii="Arial" w:hAnsi="Arial"/>
      <w:b/>
      <w:bCs/>
      <w:color w:val="000000"/>
      <w:lang w:val="de-DE" w:eastAsia="de-DE"/>
    </w:rPr>
  </w:style>
  <w:style w:type="paragraph" w:customStyle="1" w:styleId="Randnummer">
    <w:name w:val="Randnummer"/>
    <w:basedOn w:val="Normal"/>
    <w:rsid w:val="00070E56"/>
    <w:pPr>
      <w:tabs>
        <w:tab w:val="left" w:pos="580"/>
        <w:tab w:val="left" w:pos="1100"/>
      </w:tabs>
      <w:spacing w:before="180" w:after="0"/>
      <w:ind w:left="1080" w:hanging="1080"/>
      <w:jc w:val="both"/>
    </w:pPr>
    <w:rPr>
      <w:rFonts w:ascii="Arial" w:hAnsi="Arial"/>
      <w:color w:val="000000"/>
      <w:sz w:val="18"/>
      <w:lang w:val="de-DE" w:eastAsia="de-DE"/>
    </w:rPr>
  </w:style>
  <w:style w:type="paragraph" w:customStyle="1" w:styleId="NormalBemerkung123">
    <w:name w:val="Normal Bemerkung123"/>
    <w:basedOn w:val="Normal"/>
    <w:rsid w:val="00070E56"/>
    <w:pPr>
      <w:tabs>
        <w:tab w:val="left" w:pos="1700"/>
        <w:tab w:val="left" w:pos="1980"/>
      </w:tabs>
      <w:spacing w:before="60" w:after="0"/>
      <w:ind w:left="1680" w:hanging="600"/>
      <w:jc w:val="both"/>
    </w:pPr>
    <w:rPr>
      <w:rFonts w:ascii="Arial" w:hAnsi="Arial"/>
      <w:color w:val="000000"/>
      <w:sz w:val="18"/>
      <w:lang w:val="de-DE" w:eastAsia="de-DE"/>
    </w:rPr>
  </w:style>
  <w:style w:type="paragraph" w:customStyle="1" w:styleId="NormalBemerkung">
    <w:name w:val="Normal Bemerkung"/>
    <w:basedOn w:val="Normal"/>
    <w:rsid w:val="00070E56"/>
    <w:pPr>
      <w:tabs>
        <w:tab w:val="left" w:pos="1700"/>
      </w:tabs>
      <w:spacing w:before="60" w:after="0"/>
      <w:ind w:left="1680" w:hanging="600"/>
      <w:jc w:val="both"/>
    </w:pPr>
    <w:rPr>
      <w:rFonts w:ascii="Arial" w:hAnsi="Arial"/>
      <w:color w:val="000000"/>
      <w:sz w:val="18"/>
      <w:lang w:val="de-DE" w:eastAsia="de-DE"/>
    </w:rPr>
  </w:style>
  <w:style w:type="paragraph" w:customStyle="1" w:styleId="TabelleAnhangVI">
    <w:name w:val="Tabelle Anhang VI"/>
    <w:rsid w:val="00070E56"/>
    <w:pPr>
      <w:keepLines/>
      <w:tabs>
        <w:tab w:val="right" w:pos="1191"/>
      </w:tabs>
      <w:spacing w:before="80" w:after="80" w:line="180" w:lineRule="atLeast"/>
    </w:pPr>
    <w:rPr>
      <w:rFonts w:ascii="Arial" w:hAnsi="Arial"/>
      <w:color w:val="000000"/>
      <w:sz w:val="18"/>
      <w:lang w:val="en-US" w:eastAsia="de-DE"/>
    </w:rPr>
  </w:style>
  <w:style w:type="paragraph" w:customStyle="1" w:styleId="Normaltext">
    <w:name w:val="Normaltext"/>
    <w:basedOn w:val="Normal"/>
    <w:rsid w:val="00070E56"/>
    <w:pPr>
      <w:spacing w:before="180" w:after="0"/>
      <w:ind w:left="1080"/>
      <w:jc w:val="both"/>
    </w:pPr>
    <w:rPr>
      <w:rFonts w:ascii="Arial" w:hAnsi="Arial"/>
      <w:color w:val="000000"/>
      <w:sz w:val="18"/>
      <w:lang w:val="de-DE" w:eastAsia="de-DE"/>
    </w:rPr>
  </w:style>
  <w:style w:type="paragraph" w:customStyle="1" w:styleId="NormalList">
    <w:name w:val="Normal List"/>
    <w:basedOn w:val="Normal"/>
    <w:link w:val="NormalListChar"/>
    <w:rsid w:val="00070E56"/>
    <w:pPr>
      <w:tabs>
        <w:tab w:val="left" w:pos="1400"/>
      </w:tabs>
      <w:spacing w:before="60" w:after="0"/>
      <w:ind w:left="1380" w:hanging="300"/>
      <w:jc w:val="both"/>
    </w:pPr>
    <w:rPr>
      <w:rFonts w:ascii="Arial" w:hAnsi="Arial"/>
      <w:color w:val="000000"/>
      <w:sz w:val="18"/>
      <w:lang w:val="de-DE" w:eastAsia="de-DE"/>
    </w:rPr>
  </w:style>
  <w:style w:type="character" w:customStyle="1" w:styleId="NormalListChar">
    <w:name w:val="Normal List Char"/>
    <w:link w:val="NormalList"/>
    <w:rsid w:val="00070E56"/>
    <w:rPr>
      <w:rFonts w:ascii="Arial" w:hAnsi="Arial"/>
      <w:color w:val="000000"/>
      <w:sz w:val="18"/>
      <w:lang w:val="de-DE" w:eastAsia="de-DE"/>
    </w:rPr>
  </w:style>
  <w:style w:type="paragraph" w:customStyle="1" w:styleId="TabellenformatKlasse2">
    <w:name w:val="Tabellenformat Klasse 2"/>
    <w:basedOn w:val="Normal"/>
    <w:rsid w:val="00070E56"/>
    <w:pPr>
      <w:tabs>
        <w:tab w:val="left" w:pos="567"/>
      </w:tabs>
      <w:spacing w:after="0"/>
      <w:ind w:left="567" w:hanging="567"/>
    </w:pPr>
    <w:rPr>
      <w:rFonts w:ascii="Arial" w:hAnsi="Arial"/>
      <w:color w:val="000000"/>
      <w:sz w:val="18"/>
      <w:lang w:val="de-DE" w:eastAsia="de-DE"/>
    </w:rPr>
  </w:style>
  <w:style w:type="paragraph" w:customStyle="1" w:styleId="NormaltextSpalte0">
    <w:name w:val="Normaltext_Spalte"/>
    <w:basedOn w:val="Normal"/>
    <w:rsid w:val="00070E56"/>
    <w:pPr>
      <w:spacing w:before="180" w:after="0"/>
      <w:jc w:val="both"/>
    </w:pPr>
    <w:rPr>
      <w:rFonts w:ascii="Arial" w:hAnsi="Arial"/>
      <w:sz w:val="18"/>
      <w:lang w:val="de-DE" w:eastAsia="de-DE"/>
    </w:rPr>
  </w:style>
  <w:style w:type="character" w:customStyle="1" w:styleId="NormalListSpalteChar">
    <w:name w:val="Normal List Spalte Char"/>
    <w:link w:val="NormalListSpalte"/>
    <w:rsid w:val="00070E56"/>
    <w:rPr>
      <w:rFonts w:ascii="Arial" w:hAnsi="Arial"/>
      <w:color w:val="000000"/>
      <w:sz w:val="18"/>
      <w:lang w:val="de-DE" w:eastAsia="de-DE"/>
    </w:rPr>
  </w:style>
  <w:style w:type="paragraph" w:styleId="BodyText2">
    <w:name w:val="Body Text 2"/>
    <w:basedOn w:val="Normal"/>
    <w:link w:val="BodyText2Char"/>
    <w:rsid w:val="00070E56"/>
    <w:pPr>
      <w:tabs>
        <w:tab w:val="left" w:pos="425"/>
        <w:tab w:val="left" w:pos="851"/>
        <w:tab w:val="left" w:pos="1276"/>
      </w:tabs>
      <w:spacing w:after="120" w:line="480" w:lineRule="auto"/>
      <w:jc w:val="both"/>
    </w:pPr>
    <w:rPr>
      <w:rFonts w:ascii="Arial" w:hAnsi="Arial"/>
      <w:color w:val="000000"/>
      <w:sz w:val="22"/>
      <w:lang w:val="de-DE" w:eastAsia="de-DE"/>
    </w:rPr>
  </w:style>
  <w:style w:type="character" w:customStyle="1" w:styleId="BodyText2Char">
    <w:name w:val="Body Text 2 Char"/>
    <w:link w:val="BodyText2"/>
    <w:rsid w:val="00070E56"/>
    <w:rPr>
      <w:rFonts w:ascii="Arial" w:hAnsi="Arial"/>
      <w:color w:val="000000"/>
      <w:sz w:val="22"/>
      <w:lang w:val="de-DE" w:eastAsia="de-DE"/>
    </w:rPr>
  </w:style>
  <w:style w:type="paragraph" w:customStyle="1" w:styleId="Standardowy">
    <w:name w:val="Standardowy"/>
    <w:rsid w:val="00070E56"/>
    <w:rPr>
      <w:rFonts w:ascii="Arial" w:hAnsi="Arial"/>
      <w:snapToGrid w:val="0"/>
      <w:sz w:val="24"/>
      <w:lang w:val="en-GB" w:eastAsia="en-US"/>
    </w:rPr>
  </w:style>
  <w:style w:type="paragraph" w:customStyle="1" w:styleId="NumDocPara">
    <w:name w:val="Num©Doc Para"/>
    <w:basedOn w:val="Normal"/>
    <w:rsid w:val="00070E56"/>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after="0"/>
    </w:pPr>
    <w:rPr>
      <w:snapToGrid w:val="0"/>
      <w:sz w:val="22"/>
      <w:lang w:val="en-US"/>
    </w:rPr>
  </w:style>
  <w:style w:type="paragraph" w:customStyle="1" w:styleId="TabelleAnhangVII">
    <w:name w:val="Tabelle Anhang VII"/>
    <w:basedOn w:val="Normal"/>
    <w:rsid w:val="00070E56"/>
    <w:pPr>
      <w:tabs>
        <w:tab w:val="left" w:pos="140"/>
      </w:tabs>
      <w:spacing w:after="0"/>
      <w:ind w:right="23"/>
    </w:pPr>
    <w:rPr>
      <w:rFonts w:ascii="Arial" w:hAnsi="Arial"/>
      <w:color w:val="000000"/>
      <w:sz w:val="18"/>
      <w:lang w:val="de-DE" w:eastAsia="de-DE"/>
    </w:rPr>
  </w:style>
  <w:style w:type="paragraph" w:styleId="BodyText3">
    <w:name w:val="Body Text 3"/>
    <w:basedOn w:val="Normal"/>
    <w:link w:val="BodyText3Char"/>
    <w:rsid w:val="00070E56"/>
    <w:pPr>
      <w:spacing w:after="120"/>
    </w:pPr>
    <w:rPr>
      <w:sz w:val="16"/>
      <w:szCs w:val="16"/>
    </w:rPr>
  </w:style>
  <w:style w:type="character" w:customStyle="1" w:styleId="BodyText3Char">
    <w:name w:val="Body Text 3 Char"/>
    <w:link w:val="BodyText3"/>
    <w:rsid w:val="00070E56"/>
    <w:rPr>
      <w:sz w:val="16"/>
      <w:szCs w:val="16"/>
      <w:lang w:val="en-GB" w:eastAsia="en-US"/>
    </w:rPr>
  </w:style>
  <w:style w:type="paragraph" w:customStyle="1" w:styleId="TabelleAnhangV">
    <w:name w:val="Tabelle Anhang V"/>
    <w:basedOn w:val="Normal"/>
    <w:rsid w:val="00070E56"/>
    <w:pPr>
      <w:tabs>
        <w:tab w:val="left" w:pos="140"/>
      </w:tabs>
      <w:spacing w:before="60" w:after="60"/>
      <w:ind w:right="20"/>
    </w:pPr>
    <w:rPr>
      <w:rFonts w:ascii="Arial" w:hAnsi="Arial"/>
      <w:color w:val="000000"/>
      <w:sz w:val="18"/>
      <w:lang w:val="de-DE" w:eastAsia="de-DE"/>
    </w:rPr>
  </w:style>
  <w:style w:type="paragraph" w:styleId="BodyTextIndent3">
    <w:name w:val="Body Text Indent 3"/>
    <w:basedOn w:val="Normal"/>
    <w:link w:val="BodyTextIndent3Char"/>
    <w:rsid w:val="00525173"/>
    <w:pPr>
      <w:spacing w:after="120"/>
      <w:ind w:left="283"/>
    </w:pPr>
    <w:rPr>
      <w:sz w:val="16"/>
      <w:szCs w:val="16"/>
    </w:rPr>
  </w:style>
  <w:style w:type="character" w:customStyle="1" w:styleId="BodyTextIndent3Char">
    <w:name w:val="Body Text Indent 3 Char"/>
    <w:link w:val="BodyTextIndent3"/>
    <w:rsid w:val="00525173"/>
    <w:rPr>
      <w:sz w:val="16"/>
      <w:szCs w:val="16"/>
      <w:lang w:val="en-GB" w:eastAsia="en-US"/>
    </w:rPr>
  </w:style>
  <w:style w:type="paragraph" w:customStyle="1" w:styleId="N20">
    <w:name w:val="N20"/>
    <w:basedOn w:val="Normal"/>
    <w:link w:val="N20Car"/>
    <w:rsid w:val="00525173"/>
    <w:pPr>
      <w:widowControl w:val="0"/>
      <w:spacing w:after="0"/>
      <w:ind w:left="1134"/>
      <w:jc w:val="both"/>
    </w:pPr>
    <w:rPr>
      <w:rFonts w:ascii="Arial" w:hAnsi="Arial"/>
      <w:color w:val="000000"/>
      <w:sz w:val="20"/>
      <w:szCs w:val="22"/>
      <w:lang w:val="de-DE" w:eastAsia="de-DE"/>
    </w:rPr>
  </w:style>
  <w:style w:type="character" w:customStyle="1" w:styleId="N20Car">
    <w:name w:val="N20 Car"/>
    <w:link w:val="N20"/>
    <w:rsid w:val="00525173"/>
    <w:rPr>
      <w:rFonts w:ascii="Arial" w:hAnsi="Arial" w:cs="Arial"/>
      <w:color w:val="000000"/>
      <w:szCs w:val="22"/>
      <w:lang w:val="de-DE" w:eastAsia="de-DE"/>
    </w:rPr>
  </w:style>
  <w:style w:type="paragraph" w:styleId="ListParagraph">
    <w:name w:val="List Paragraph"/>
    <w:basedOn w:val="Normal"/>
    <w:uiPriority w:val="34"/>
    <w:qFormat/>
    <w:rsid w:val="00AF08C3"/>
    <w:pPr>
      <w:ind w:left="708"/>
    </w:pPr>
  </w:style>
  <w:style w:type="numbering" w:styleId="1ai">
    <w:name w:val="Outline List 1"/>
    <w:basedOn w:val="NoList"/>
    <w:rsid w:val="00442372"/>
    <w:pPr>
      <w:numPr>
        <w:numId w:val="20"/>
      </w:numPr>
    </w:pPr>
  </w:style>
  <w:style w:type="paragraph" w:customStyle="1" w:styleId="HChG">
    <w:name w:val="_ H _Ch_G"/>
    <w:basedOn w:val="Normal"/>
    <w:next w:val="Normal"/>
    <w:rsid w:val="00992957"/>
    <w:pPr>
      <w:keepNext/>
      <w:keepLines/>
      <w:tabs>
        <w:tab w:val="right" w:pos="851"/>
      </w:tabs>
      <w:suppressAutoHyphens/>
      <w:spacing w:before="360" w:line="300" w:lineRule="exact"/>
      <w:ind w:left="1134" w:right="1134" w:hanging="1134"/>
    </w:pPr>
    <w:rPr>
      <w:b/>
      <w:snapToGrid w:val="0"/>
      <w:sz w:val="28"/>
      <w:lang w:eastAsia="fr-FR"/>
    </w:rPr>
  </w:style>
  <w:style w:type="paragraph" w:customStyle="1" w:styleId="H1G">
    <w:name w:val="_ H_1_G"/>
    <w:basedOn w:val="Normal"/>
    <w:next w:val="Normal"/>
    <w:rsid w:val="00992957"/>
    <w:pPr>
      <w:keepNext/>
      <w:keepLines/>
      <w:tabs>
        <w:tab w:val="right" w:pos="851"/>
      </w:tabs>
      <w:suppressAutoHyphens/>
      <w:spacing w:before="360" w:line="270" w:lineRule="exact"/>
      <w:ind w:left="1134" w:right="1134" w:hanging="1134"/>
    </w:pPr>
    <w:rPr>
      <w:b/>
      <w:snapToGrid w:val="0"/>
      <w:lang w:eastAsia="fr-FR"/>
    </w:rPr>
  </w:style>
  <w:style w:type="paragraph" w:customStyle="1" w:styleId="SingleTxtG">
    <w:name w:val="_ Single Txt_G"/>
    <w:basedOn w:val="Normal"/>
    <w:rsid w:val="00992957"/>
    <w:pPr>
      <w:suppressAutoHyphens/>
      <w:spacing w:after="120" w:line="240" w:lineRule="atLeast"/>
      <w:ind w:left="1134" w:right="1134"/>
      <w:jc w:val="both"/>
    </w:pPr>
    <w:rPr>
      <w:snapToGrid w:val="0"/>
      <w:sz w:val="20"/>
      <w:lang w:eastAsia="fr-FR"/>
    </w:rPr>
  </w:style>
  <w:style w:type="paragraph" w:customStyle="1" w:styleId="H23G">
    <w:name w:val="_ H_2/3_G"/>
    <w:basedOn w:val="Normal"/>
    <w:next w:val="Normal"/>
    <w:rsid w:val="00992957"/>
    <w:pPr>
      <w:keepNext/>
      <w:keepLines/>
      <w:tabs>
        <w:tab w:val="right" w:pos="851"/>
      </w:tabs>
      <w:suppressAutoHyphens/>
      <w:spacing w:before="240" w:after="120" w:line="240" w:lineRule="exact"/>
      <w:ind w:left="1134" w:right="1134" w:hanging="1134"/>
    </w:pPr>
    <w:rPr>
      <w:b/>
      <w:snapToGrid w:val="0"/>
      <w:sz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90869">
      <w:bodyDiv w:val="1"/>
      <w:marLeft w:val="0"/>
      <w:marRight w:val="0"/>
      <w:marTop w:val="0"/>
      <w:marBottom w:val="0"/>
      <w:divBdr>
        <w:top w:val="none" w:sz="0" w:space="0" w:color="auto"/>
        <w:left w:val="none" w:sz="0" w:space="0" w:color="auto"/>
        <w:bottom w:val="none" w:sz="0" w:space="0" w:color="auto"/>
        <w:right w:val="none" w:sz="0" w:space="0" w:color="auto"/>
      </w:divBdr>
    </w:div>
    <w:div w:id="1004940262">
      <w:bodyDiv w:val="1"/>
      <w:marLeft w:val="0"/>
      <w:marRight w:val="0"/>
      <w:marTop w:val="0"/>
      <w:marBottom w:val="0"/>
      <w:divBdr>
        <w:top w:val="none" w:sz="0" w:space="0" w:color="auto"/>
        <w:left w:val="none" w:sz="0" w:space="0" w:color="auto"/>
        <w:bottom w:val="none" w:sz="0" w:space="0" w:color="auto"/>
        <w:right w:val="none" w:sz="0" w:space="0" w:color="auto"/>
      </w:divBdr>
    </w:div>
    <w:div w:id="1680616192">
      <w:bodyDiv w:val="1"/>
      <w:marLeft w:val="0"/>
      <w:marRight w:val="0"/>
      <w:marTop w:val="0"/>
      <w:marBottom w:val="0"/>
      <w:divBdr>
        <w:top w:val="none" w:sz="0" w:space="0" w:color="auto"/>
        <w:left w:val="none" w:sz="0" w:space="0" w:color="auto"/>
        <w:bottom w:val="none" w:sz="0" w:space="0" w:color="auto"/>
        <w:right w:val="none" w:sz="0" w:space="0" w:color="auto"/>
      </w:divBdr>
    </w:div>
    <w:div w:id="171654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6EE04A-C409-4203-8ED1-0A783C58E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3677</Characters>
  <Application>Microsoft Office Word</Application>
  <DocSecurity>0</DocSecurity>
  <Lines>30</Lines>
  <Paragraphs>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Heizöl schwer</vt:lpstr>
      <vt:lpstr>Heizöl schwer</vt:lpstr>
      <vt:lpstr>Heizöl schwer</vt:lpstr>
    </vt:vector>
  </TitlesOfParts>
  <Company>ECE-ISU</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Heizöl schwer</dc:title>
  <dc:creator>fk</dc:creator>
  <cp:lastModifiedBy>Caillot</cp:lastModifiedBy>
  <cp:revision>4</cp:revision>
  <cp:lastPrinted>2014-12-19T13:03:00Z</cp:lastPrinted>
  <dcterms:created xsi:type="dcterms:W3CDTF">2015-01-23T15:22:00Z</dcterms:created>
  <dcterms:modified xsi:type="dcterms:W3CDTF">2015-01-23T15:23:00Z</dcterms:modified>
</cp:coreProperties>
</file>