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51210" w:rsidRPr="00992957" w:rsidTr="00751210">
        <w:trPr>
          <w:cantSplit/>
          <w:trHeight w:hRule="exact" w:val="429"/>
        </w:trPr>
        <w:tc>
          <w:tcPr>
            <w:tcW w:w="1276" w:type="dxa"/>
            <w:tcBorders>
              <w:bottom w:val="single" w:sz="4" w:space="0" w:color="auto"/>
            </w:tcBorders>
            <w:vAlign w:val="bottom"/>
          </w:tcPr>
          <w:p w:rsidR="00751210" w:rsidRPr="00992957" w:rsidRDefault="00751210" w:rsidP="00751210">
            <w:pPr>
              <w:suppressAutoHyphens/>
              <w:spacing w:after="0" w:line="240" w:lineRule="atLeast"/>
              <w:rPr>
                <w:snapToGrid w:val="0"/>
                <w:sz w:val="20"/>
                <w:lang w:eastAsia="fr-FR"/>
              </w:rPr>
            </w:pPr>
            <w:bookmarkStart w:id="0" w:name="OLE_LINK1"/>
            <w:bookmarkStart w:id="1" w:name="OLE_LINK2"/>
          </w:p>
        </w:tc>
        <w:tc>
          <w:tcPr>
            <w:tcW w:w="8363" w:type="dxa"/>
            <w:gridSpan w:val="2"/>
            <w:tcBorders>
              <w:bottom w:val="single" w:sz="4" w:space="0" w:color="auto"/>
            </w:tcBorders>
            <w:vAlign w:val="bottom"/>
          </w:tcPr>
          <w:p w:rsidR="00751210" w:rsidRPr="00992957" w:rsidRDefault="00751210" w:rsidP="00751210">
            <w:pPr>
              <w:suppressAutoHyphens/>
              <w:spacing w:after="0" w:line="240" w:lineRule="atLeast"/>
              <w:jc w:val="right"/>
              <w:rPr>
                <w:snapToGrid w:val="0"/>
                <w:sz w:val="20"/>
                <w:lang w:eastAsia="fr-FR"/>
              </w:rPr>
            </w:pPr>
            <w:r w:rsidRPr="00992957">
              <w:rPr>
                <w:b/>
                <w:snapToGrid w:val="0"/>
                <w:sz w:val="40"/>
                <w:szCs w:val="40"/>
                <w:lang w:eastAsia="fr-FR"/>
              </w:rPr>
              <w:t>INF.</w:t>
            </w:r>
            <w:r>
              <w:rPr>
                <w:b/>
                <w:snapToGrid w:val="0"/>
                <w:sz w:val="40"/>
                <w:szCs w:val="40"/>
                <w:lang w:eastAsia="fr-FR"/>
              </w:rPr>
              <w:t>33</w:t>
            </w:r>
          </w:p>
        </w:tc>
      </w:tr>
      <w:tr w:rsidR="00751210" w:rsidRPr="00992957" w:rsidTr="00751210">
        <w:trPr>
          <w:cantSplit/>
          <w:trHeight w:hRule="exact" w:val="3833"/>
        </w:trPr>
        <w:tc>
          <w:tcPr>
            <w:tcW w:w="6804" w:type="dxa"/>
            <w:gridSpan w:val="2"/>
            <w:tcBorders>
              <w:top w:val="single" w:sz="4" w:space="0" w:color="auto"/>
              <w:bottom w:val="single" w:sz="12" w:space="0" w:color="auto"/>
            </w:tcBorders>
          </w:tcPr>
          <w:p w:rsidR="00751210" w:rsidRPr="00992957" w:rsidRDefault="00751210" w:rsidP="00751210">
            <w:pPr>
              <w:suppressAutoHyphens/>
              <w:spacing w:before="120" w:after="0" w:line="240" w:lineRule="atLeast"/>
              <w:rPr>
                <w:b/>
                <w:snapToGrid w:val="0"/>
                <w:sz w:val="28"/>
                <w:szCs w:val="28"/>
                <w:lang w:val="fr-CH" w:eastAsia="fr-FR"/>
              </w:rPr>
            </w:pPr>
            <w:r w:rsidRPr="00992957">
              <w:rPr>
                <w:b/>
                <w:snapToGrid w:val="0"/>
                <w:sz w:val="28"/>
                <w:szCs w:val="28"/>
                <w:lang w:val="fr-CH" w:eastAsia="fr-FR"/>
              </w:rPr>
              <w:t>Commission économique pour l’Europe</w:t>
            </w:r>
          </w:p>
          <w:p w:rsidR="00751210" w:rsidRPr="00992957" w:rsidRDefault="00751210" w:rsidP="00751210">
            <w:pPr>
              <w:suppressAutoHyphens/>
              <w:spacing w:before="120" w:after="0" w:line="240" w:lineRule="atLeast"/>
              <w:rPr>
                <w:snapToGrid w:val="0"/>
                <w:sz w:val="28"/>
                <w:szCs w:val="28"/>
                <w:lang w:val="fr-CH" w:eastAsia="fr-FR"/>
              </w:rPr>
            </w:pPr>
            <w:r w:rsidRPr="00992957">
              <w:rPr>
                <w:snapToGrid w:val="0"/>
                <w:sz w:val="28"/>
                <w:szCs w:val="28"/>
                <w:lang w:val="fr-CH" w:eastAsia="fr-FR"/>
              </w:rPr>
              <w:t>Comité des transports intérieurs</w:t>
            </w:r>
          </w:p>
          <w:p w:rsidR="00751210" w:rsidRPr="00992957" w:rsidRDefault="00751210" w:rsidP="00751210">
            <w:pPr>
              <w:suppressAutoHyphens/>
              <w:spacing w:before="120" w:after="0" w:line="240" w:lineRule="atLeast"/>
              <w:rPr>
                <w:b/>
                <w:snapToGrid w:val="0"/>
                <w:szCs w:val="24"/>
                <w:lang w:val="fr-CH" w:eastAsia="fr-FR"/>
              </w:rPr>
            </w:pPr>
            <w:r w:rsidRPr="00992957">
              <w:rPr>
                <w:b/>
                <w:snapToGrid w:val="0"/>
                <w:szCs w:val="24"/>
                <w:lang w:val="fr-CH" w:eastAsia="fr-FR"/>
              </w:rPr>
              <w:t>Groupe de travail des transports de marchandises dangereuses</w:t>
            </w:r>
          </w:p>
          <w:p w:rsidR="00751210" w:rsidRPr="00992957" w:rsidRDefault="00751210" w:rsidP="00751210">
            <w:pPr>
              <w:suppressAutoHyphens/>
              <w:spacing w:before="120" w:after="0" w:line="240" w:lineRule="atLeast"/>
              <w:rPr>
                <w:b/>
                <w:snapToGrid w:val="0"/>
                <w:sz w:val="20"/>
                <w:lang w:val="fr-CH" w:eastAsia="fr-FR"/>
              </w:rPr>
            </w:pPr>
            <w:r w:rsidRPr="00992957">
              <w:rPr>
                <w:b/>
                <w:snapToGrid w:val="0"/>
                <w:sz w:val="20"/>
                <w:lang w:val="fr-FR" w:eastAsia="fr-FR"/>
              </w:rPr>
              <w:t>Réunion commune d’experts sur le Règlement annexé</w:t>
            </w:r>
            <w:r w:rsidRPr="00992957">
              <w:rPr>
                <w:b/>
                <w:snapToGrid w:val="0"/>
                <w:sz w:val="20"/>
                <w:lang w:val="fr-FR" w:eastAsia="fr-FR"/>
              </w:rPr>
              <w:br/>
              <w:t>à l’Accord européen relatif au transport international</w:t>
            </w:r>
            <w:r w:rsidRPr="00992957">
              <w:rPr>
                <w:b/>
                <w:snapToGrid w:val="0"/>
                <w:sz w:val="20"/>
                <w:lang w:val="fr-FR" w:eastAsia="fr-FR"/>
              </w:rPr>
              <w:br/>
              <w:t xml:space="preserve">des marchandises </w:t>
            </w:r>
            <w:r w:rsidRPr="00992957">
              <w:rPr>
                <w:b/>
                <w:bCs/>
                <w:iCs/>
                <w:snapToGrid w:val="0"/>
                <w:sz w:val="20"/>
                <w:lang w:val="fr-FR" w:eastAsia="fr-FR"/>
              </w:rPr>
              <w:t>dangereuses par voies de navigation</w:t>
            </w:r>
            <w:r w:rsidRPr="00992957">
              <w:rPr>
                <w:b/>
                <w:bCs/>
                <w:iCs/>
                <w:snapToGrid w:val="0"/>
                <w:sz w:val="20"/>
                <w:lang w:val="fr-FR" w:eastAsia="fr-FR"/>
              </w:rPr>
              <w:br/>
              <w:t xml:space="preserve">intérieures (ADN) </w:t>
            </w:r>
            <w:r w:rsidRPr="00992957">
              <w:rPr>
                <w:b/>
                <w:bCs/>
                <w:snapToGrid w:val="0"/>
                <w:sz w:val="20"/>
                <w:lang w:val="fr-FR" w:eastAsia="fr-FR"/>
              </w:rPr>
              <w:t>(Comité de sécurité de l’ADN)</w:t>
            </w:r>
          </w:p>
          <w:p w:rsidR="00751210" w:rsidRPr="00992957" w:rsidRDefault="00751210" w:rsidP="00751210">
            <w:pPr>
              <w:suppressAutoHyphens/>
              <w:spacing w:before="120" w:after="0" w:line="240" w:lineRule="atLeast"/>
              <w:rPr>
                <w:b/>
                <w:snapToGrid w:val="0"/>
                <w:sz w:val="20"/>
                <w:lang w:val="fr-CH" w:eastAsia="fr-FR"/>
              </w:rPr>
            </w:pPr>
            <w:r w:rsidRPr="00992957">
              <w:rPr>
                <w:b/>
                <w:snapToGrid w:val="0"/>
                <w:sz w:val="20"/>
                <w:lang w:val="fr-CH" w:eastAsia="fr-FR"/>
              </w:rPr>
              <w:t>Vingt-sixième session</w:t>
            </w:r>
          </w:p>
          <w:p w:rsidR="00751210" w:rsidRPr="00992957" w:rsidRDefault="00751210" w:rsidP="00751210">
            <w:pPr>
              <w:suppressAutoHyphens/>
              <w:spacing w:after="0" w:line="240" w:lineRule="atLeast"/>
              <w:rPr>
                <w:snapToGrid w:val="0"/>
                <w:sz w:val="20"/>
                <w:lang w:val="fr-CH" w:eastAsia="fr-FR"/>
              </w:rPr>
            </w:pPr>
            <w:r w:rsidRPr="00992957">
              <w:rPr>
                <w:snapToGrid w:val="0"/>
                <w:sz w:val="20"/>
                <w:lang w:val="fr-CH" w:eastAsia="fr-FR"/>
              </w:rPr>
              <w:t>Genève, 27-30 janvier 2015</w:t>
            </w:r>
          </w:p>
          <w:p w:rsidR="00751210" w:rsidRPr="00992957" w:rsidRDefault="00751210" w:rsidP="00751210">
            <w:pPr>
              <w:suppressAutoHyphens/>
              <w:spacing w:after="0" w:line="240" w:lineRule="atLeast"/>
              <w:rPr>
                <w:snapToGrid w:val="0"/>
                <w:sz w:val="20"/>
                <w:lang w:val="fr-CH" w:eastAsia="fr-FR"/>
              </w:rPr>
            </w:pPr>
            <w:r w:rsidRPr="00992957">
              <w:rPr>
                <w:snapToGrid w:val="0"/>
                <w:sz w:val="20"/>
                <w:lang w:val="fr-CH" w:eastAsia="fr-FR"/>
              </w:rPr>
              <w:t>Point 5 b) de l’ordre du jour provisoire</w:t>
            </w:r>
          </w:p>
          <w:p w:rsidR="00751210" w:rsidRPr="00992957" w:rsidRDefault="00751210" w:rsidP="00751210">
            <w:pPr>
              <w:suppressAutoHyphens/>
              <w:spacing w:after="0" w:line="240" w:lineRule="atLeast"/>
              <w:rPr>
                <w:b/>
                <w:snapToGrid w:val="0"/>
                <w:sz w:val="20"/>
                <w:lang w:val="fr-CH" w:eastAsia="fr-FR"/>
              </w:rPr>
            </w:pPr>
            <w:r w:rsidRPr="00992957">
              <w:rPr>
                <w:b/>
                <w:snapToGrid w:val="0"/>
                <w:sz w:val="20"/>
                <w:lang w:val="fr-CH" w:eastAsia="fr-FR"/>
              </w:rPr>
              <w:t>Propositions d’amendements au Règlement annexé à l’ADN:</w:t>
            </w:r>
          </w:p>
          <w:p w:rsidR="00751210" w:rsidRPr="00992957" w:rsidRDefault="00751210" w:rsidP="00751210">
            <w:pPr>
              <w:suppressAutoHyphens/>
              <w:spacing w:after="0" w:line="240" w:lineRule="atLeast"/>
              <w:rPr>
                <w:b/>
                <w:snapToGrid w:val="0"/>
                <w:sz w:val="20"/>
                <w:lang w:val="fr-CH" w:eastAsia="fr-FR"/>
              </w:rPr>
            </w:pPr>
            <w:r w:rsidRPr="00992957">
              <w:rPr>
                <w:b/>
                <w:snapToGrid w:val="0"/>
                <w:sz w:val="20"/>
                <w:lang w:val="fr-CH" w:eastAsia="fr-FR"/>
              </w:rPr>
              <w:t>Autres propositions</w:t>
            </w:r>
          </w:p>
        </w:tc>
        <w:tc>
          <w:tcPr>
            <w:tcW w:w="2835" w:type="dxa"/>
            <w:tcBorders>
              <w:top w:val="single" w:sz="4" w:space="0" w:color="auto"/>
              <w:bottom w:val="single" w:sz="12" w:space="0" w:color="auto"/>
            </w:tcBorders>
          </w:tcPr>
          <w:p w:rsidR="00751210" w:rsidRPr="00992957" w:rsidRDefault="00751210" w:rsidP="00751210">
            <w:pPr>
              <w:suppressAutoHyphens/>
              <w:spacing w:before="120" w:after="0" w:line="240" w:lineRule="atLeast"/>
              <w:rPr>
                <w:snapToGrid w:val="0"/>
                <w:sz w:val="20"/>
                <w:lang w:eastAsia="fr-FR"/>
              </w:rPr>
            </w:pPr>
          </w:p>
          <w:p w:rsidR="00751210" w:rsidRPr="00992957" w:rsidRDefault="00751210" w:rsidP="00751210">
            <w:pPr>
              <w:suppressAutoHyphens/>
              <w:spacing w:before="120" w:after="0" w:line="240" w:lineRule="atLeast"/>
              <w:rPr>
                <w:snapToGrid w:val="0"/>
                <w:sz w:val="20"/>
                <w:lang w:eastAsia="fr-FR"/>
              </w:rPr>
            </w:pPr>
            <w:proofErr w:type="spellStart"/>
            <w:r w:rsidRPr="00992957">
              <w:rPr>
                <w:snapToGrid w:val="0"/>
                <w:sz w:val="20"/>
                <w:lang w:eastAsia="fr-FR"/>
              </w:rPr>
              <w:t>Français</w:t>
            </w:r>
            <w:proofErr w:type="spellEnd"/>
          </w:p>
          <w:p w:rsidR="00751210" w:rsidRPr="00992957" w:rsidRDefault="00751210" w:rsidP="00751210">
            <w:pPr>
              <w:suppressAutoHyphens/>
              <w:spacing w:before="120" w:after="0" w:line="240" w:lineRule="atLeast"/>
              <w:rPr>
                <w:snapToGrid w:val="0"/>
                <w:sz w:val="20"/>
                <w:lang w:eastAsia="fr-FR"/>
              </w:rPr>
            </w:pPr>
            <w:r w:rsidRPr="00992957">
              <w:rPr>
                <w:snapToGrid w:val="0"/>
                <w:sz w:val="20"/>
                <w:lang w:eastAsia="fr-FR"/>
              </w:rPr>
              <w:t>2</w:t>
            </w:r>
            <w:r>
              <w:rPr>
                <w:snapToGrid w:val="0"/>
                <w:sz w:val="20"/>
                <w:lang w:eastAsia="fr-FR"/>
              </w:rPr>
              <w:t>3</w:t>
            </w:r>
            <w:r w:rsidRPr="00992957">
              <w:rPr>
                <w:snapToGrid w:val="0"/>
                <w:sz w:val="20"/>
                <w:lang w:eastAsia="fr-FR"/>
              </w:rPr>
              <w:t xml:space="preserve"> </w:t>
            </w:r>
            <w:proofErr w:type="spellStart"/>
            <w:r w:rsidRPr="00992957">
              <w:rPr>
                <w:snapToGrid w:val="0"/>
                <w:sz w:val="20"/>
                <w:lang w:eastAsia="fr-FR"/>
              </w:rPr>
              <w:t>janvier</w:t>
            </w:r>
            <w:proofErr w:type="spellEnd"/>
            <w:r w:rsidRPr="00992957">
              <w:rPr>
                <w:snapToGrid w:val="0"/>
                <w:sz w:val="20"/>
                <w:lang w:eastAsia="fr-FR"/>
              </w:rPr>
              <w:t xml:space="preserve"> 2015</w:t>
            </w:r>
          </w:p>
        </w:tc>
      </w:tr>
    </w:tbl>
    <w:bookmarkEnd w:id="0"/>
    <w:bookmarkEnd w:id="1"/>
    <w:p w:rsidR="00AA701B" w:rsidRPr="00595917" w:rsidRDefault="00751210" w:rsidP="00751210">
      <w:pPr>
        <w:pStyle w:val="HChG"/>
        <w:rPr>
          <w:b w:val="0"/>
          <w:lang w:val="fr-FR"/>
        </w:rPr>
      </w:pPr>
      <w:r>
        <w:tab/>
      </w:r>
      <w:r>
        <w:tab/>
      </w:r>
      <w:r w:rsidR="00B92130" w:rsidRPr="00751210">
        <w:t>Prise</w:t>
      </w:r>
      <w:r w:rsidR="00B92130" w:rsidRPr="00595917">
        <w:rPr>
          <w:noProof/>
          <w:lang w:val="fr-FR"/>
        </w:rPr>
        <w:t xml:space="preserve"> de position</w:t>
      </w:r>
    </w:p>
    <w:p w:rsidR="00A909D8" w:rsidRPr="00595917" w:rsidRDefault="00751210" w:rsidP="00751210">
      <w:pPr>
        <w:pStyle w:val="HChG"/>
        <w:rPr>
          <w:lang w:val="fr-FR"/>
        </w:rPr>
      </w:pPr>
      <w:r>
        <w:rPr>
          <w:lang w:val="fr-FR"/>
        </w:rPr>
        <w:tab/>
      </w:r>
      <w:r>
        <w:rPr>
          <w:lang w:val="fr-FR"/>
        </w:rPr>
        <w:tab/>
      </w:r>
      <w:r w:rsidR="00662D1A" w:rsidRPr="00595917">
        <w:rPr>
          <w:lang w:val="fr-FR"/>
        </w:rPr>
        <w:t>Logiciels de calcul pour le chargement</w:t>
      </w:r>
    </w:p>
    <w:p w:rsidR="00BC51C3" w:rsidRPr="00595917" w:rsidRDefault="00751210" w:rsidP="00751210">
      <w:pPr>
        <w:pStyle w:val="H1G"/>
        <w:rPr>
          <w:b w:val="0"/>
          <w:bCs/>
          <w:sz w:val="22"/>
          <w:szCs w:val="22"/>
          <w:vertAlign w:val="superscript"/>
          <w:lang w:val="fr-FR"/>
        </w:rPr>
      </w:pPr>
      <w:r>
        <w:rPr>
          <w:sz w:val="22"/>
          <w:szCs w:val="22"/>
          <w:lang w:val="fr-FR"/>
        </w:rPr>
        <w:tab/>
      </w:r>
      <w:r>
        <w:rPr>
          <w:sz w:val="22"/>
          <w:szCs w:val="22"/>
          <w:lang w:val="fr-FR"/>
        </w:rPr>
        <w:tab/>
      </w:r>
      <w:r w:rsidR="00905493" w:rsidRPr="00595917">
        <w:rPr>
          <w:sz w:val="22"/>
          <w:szCs w:val="22"/>
          <w:lang w:val="fr-FR"/>
        </w:rPr>
        <w:t>Soumis par le CEFIC (Conseil européen de l'industrie chimique)</w:t>
      </w:r>
    </w:p>
    <w:p w:rsidR="007F6D6C" w:rsidRPr="00CB0F1D" w:rsidRDefault="007F6D6C" w:rsidP="00CB0F1D">
      <w:pPr>
        <w:pStyle w:val="SingleTxtG"/>
        <w:rPr>
          <w:b/>
          <w:noProof/>
          <w:lang w:val="fr-FR"/>
        </w:rPr>
      </w:pPr>
      <w:r w:rsidRPr="00CB0F1D">
        <w:rPr>
          <w:b/>
          <w:lang w:val="fr-FR"/>
        </w:rPr>
        <w:t>Nous référant au document INF soumis par l'UENF, CCNR-ZKR/ADN/WP.15/AC.2/26/INF4, nous souhaitons soumettre la prise de position suivante :</w:t>
      </w:r>
    </w:p>
    <w:p w:rsidR="008532EC" w:rsidRPr="00595917" w:rsidRDefault="008C72C4" w:rsidP="00751210">
      <w:pPr>
        <w:pStyle w:val="SingleTxtG"/>
        <w:rPr>
          <w:lang w:val="fr-FR"/>
        </w:rPr>
      </w:pPr>
      <w:r w:rsidRPr="00595917">
        <w:rPr>
          <w:lang w:val="fr-FR"/>
        </w:rPr>
        <w:t>1.</w:t>
      </w:r>
      <w:r w:rsidR="008D0A17" w:rsidRPr="00595917">
        <w:rPr>
          <w:lang w:val="fr-FR"/>
        </w:rPr>
        <w:tab/>
      </w:r>
      <w:r w:rsidR="007F6D6C" w:rsidRPr="00595917">
        <w:rPr>
          <w:lang w:val="fr-FR"/>
        </w:rPr>
        <w:t xml:space="preserve">Dans le 9.3.2.13.3, l'ADN prescrit pour la navigation l'utilisation de calculateurs de chargement certifiés pour le calcul de la stabilité </w:t>
      </w:r>
      <w:r w:rsidR="00D30588" w:rsidRPr="00595917">
        <w:rPr>
          <w:u w:val="single"/>
          <w:lang w:val="fr-FR"/>
        </w:rPr>
        <w:t>seulement</w:t>
      </w:r>
      <w:r w:rsidR="00D30588" w:rsidRPr="00595917">
        <w:rPr>
          <w:lang w:val="fr-FR"/>
        </w:rPr>
        <w:t xml:space="preserve"> lorsque toutes les situations de chargement et de ballastage ne peuvent pas être prises en compte concrètement.</w:t>
      </w:r>
    </w:p>
    <w:p w:rsidR="008532EC" w:rsidRPr="00595917" w:rsidRDefault="007F6D6C" w:rsidP="00CB0F1D">
      <w:pPr>
        <w:pStyle w:val="SingleTxtG"/>
        <w:rPr>
          <w:lang w:val="fr-FR"/>
        </w:rPr>
      </w:pPr>
      <w:r w:rsidRPr="00595917">
        <w:rPr>
          <w:lang w:val="fr-FR"/>
        </w:rPr>
        <w:t xml:space="preserve">Le calcul de la stabilité peut également être </w:t>
      </w:r>
      <w:r w:rsidR="00595917" w:rsidRPr="00595917">
        <w:rPr>
          <w:lang w:val="fr-FR"/>
        </w:rPr>
        <w:t>effectué</w:t>
      </w:r>
      <w:r w:rsidRPr="00595917">
        <w:rPr>
          <w:lang w:val="fr-FR"/>
        </w:rPr>
        <w:t xml:space="preserve"> manuellement. Cette tâche étant relativement comp</w:t>
      </w:r>
      <w:bookmarkStart w:id="2" w:name="_GoBack"/>
      <w:bookmarkEnd w:id="2"/>
      <w:r w:rsidRPr="00595917">
        <w:rPr>
          <w:lang w:val="fr-FR"/>
        </w:rPr>
        <w:t>lexe, elle est généralement effectuée par les sociétés de classification.</w:t>
      </w:r>
    </w:p>
    <w:p w:rsidR="003B1906" w:rsidRPr="00595917" w:rsidRDefault="003B1906" w:rsidP="00CB0F1D">
      <w:pPr>
        <w:pStyle w:val="SingleTxtG"/>
        <w:rPr>
          <w:lang w:val="fr-FR"/>
        </w:rPr>
      </w:pPr>
      <w:r w:rsidRPr="00595917">
        <w:rPr>
          <w:lang w:val="fr-FR"/>
        </w:rPr>
        <w:t>Le calculateur de chargement certifié n'est prévu qu'en tant que moyen auxiliaire pour le conducteur, afin d'évaluer les différentes conditions de chargement dans les citernes du point de vue de la stabilité et de la solidité, dès lors que celles-ci ne figurent pas dans les manuels relatifs à la stabilité.</w:t>
      </w:r>
    </w:p>
    <w:p w:rsidR="00A83880" w:rsidRPr="00595917" w:rsidRDefault="008C72C4" w:rsidP="00CB0F1D">
      <w:pPr>
        <w:pStyle w:val="SingleTxtG"/>
        <w:rPr>
          <w:lang w:val="fr-FR"/>
        </w:rPr>
      </w:pPr>
      <w:r w:rsidRPr="00595917">
        <w:rPr>
          <w:lang w:val="fr-FR"/>
        </w:rPr>
        <w:t>2.</w:t>
      </w:r>
      <w:r w:rsidR="008D0A17" w:rsidRPr="00595917">
        <w:rPr>
          <w:lang w:val="fr-FR"/>
        </w:rPr>
        <w:tab/>
      </w:r>
      <w:r w:rsidR="008532EC" w:rsidRPr="00595917">
        <w:rPr>
          <w:lang w:val="fr-FR"/>
        </w:rPr>
        <w:t>Dans la situation actuelle, les conducteurs ne peuvent généralement utiliser que les conditions de chargement décrites dans les manuels relatifs à la stabilité. Selon nous, une prolongation du délai transitoire ne serait par conséquent pas pertinente. La priorité devrait au contraire être accordée à la solution rapide des problèmes.</w:t>
      </w:r>
    </w:p>
    <w:p w:rsidR="00FA51D5" w:rsidRPr="00595917" w:rsidRDefault="008532EC" w:rsidP="00CB0F1D">
      <w:pPr>
        <w:pStyle w:val="SingleTxtG"/>
        <w:rPr>
          <w:lang w:val="fr-FR"/>
        </w:rPr>
      </w:pPr>
      <w:r w:rsidRPr="00595917">
        <w:rPr>
          <w:lang w:val="fr-FR"/>
        </w:rPr>
        <w:t>3.</w:t>
      </w:r>
      <w:r w:rsidR="008D0A17" w:rsidRPr="00595917">
        <w:rPr>
          <w:lang w:val="fr-FR"/>
        </w:rPr>
        <w:tab/>
      </w:r>
      <w:r w:rsidR="00B92130" w:rsidRPr="00595917">
        <w:rPr>
          <w:lang w:val="fr-FR"/>
        </w:rPr>
        <w:t>Nos réserves concernant l'extension du délai transitoire sont également motivées par l'avarie du "</w:t>
      </w:r>
      <w:proofErr w:type="spellStart"/>
      <w:r w:rsidR="00B92130" w:rsidRPr="00595917">
        <w:rPr>
          <w:lang w:val="fr-FR"/>
        </w:rPr>
        <w:t>Waldhof</w:t>
      </w:r>
      <w:proofErr w:type="spellEnd"/>
      <w:r w:rsidR="00B92130" w:rsidRPr="00595917">
        <w:rPr>
          <w:lang w:val="fr-FR"/>
        </w:rPr>
        <w:t xml:space="preserve">". </w:t>
      </w:r>
    </w:p>
    <w:p w:rsidR="00FF20BF" w:rsidRPr="00CB0F1D" w:rsidRDefault="00CB0F1D" w:rsidP="00BF110C">
      <w:pPr>
        <w:suppressAutoHyphens/>
        <w:spacing w:before="240" w:after="0" w:line="240" w:lineRule="atLeast"/>
        <w:ind w:left="1134" w:right="1134"/>
        <w:jc w:val="center"/>
        <w:rPr>
          <w:sz w:val="20"/>
          <w:u w:val="single"/>
          <w:lang w:val="de-DE"/>
        </w:rPr>
      </w:pPr>
      <w:r>
        <w:rPr>
          <w:sz w:val="20"/>
          <w:u w:val="single"/>
          <w:lang w:val="de-DE"/>
        </w:rPr>
        <w:tab/>
      </w:r>
      <w:r>
        <w:rPr>
          <w:sz w:val="20"/>
          <w:u w:val="single"/>
          <w:lang w:val="de-DE"/>
        </w:rPr>
        <w:tab/>
      </w:r>
      <w:r>
        <w:rPr>
          <w:sz w:val="20"/>
          <w:u w:val="single"/>
          <w:lang w:val="de-DE"/>
        </w:rPr>
        <w:tab/>
      </w:r>
    </w:p>
    <w:sectPr w:rsidR="00FF20BF" w:rsidRPr="00CB0F1D" w:rsidSect="003D6093">
      <w:headerReference w:type="even" r:id="rId9"/>
      <w:headerReference w:type="default" r:id="rId10"/>
      <w:footerReference w:type="even" r:id="rId11"/>
      <w:footerReference w:type="default" r:id="rId12"/>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10" w:rsidRDefault="00751210">
      <w:pPr>
        <w:pStyle w:val="Footer"/>
      </w:pPr>
    </w:p>
  </w:endnote>
  <w:endnote w:type="continuationSeparator" w:id="0">
    <w:p w:rsidR="00751210" w:rsidRDefault="00751210">
      <w:pPr>
        <w:spacing w:after="0"/>
      </w:pPr>
    </w:p>
  </w:endnote>
  <w:endnote w:type="continuationNotice" w:id="1">
    <w:p w:rsidR="00751210" w:rsidRDefault="007512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0" w:rsidRDefault="00751210" w:rsidP="009433CF">
    <w:pPr>
      <w:suppressAutoHyphens/>
      <w:spacing w:after="0"/>
      <w:jc w:val="right"/>
    </w:pPr>
    <w:r w:rsidRPr="009433CF">
      <w:rPr>
        <w:rFonts w:ascii="Arial" w:hAnsi="Arial"/>
        <w:noProof/>
        <w:sz w:val="12"/>
        <w:szCs w:val="24"/>
        <w:lang w:val="fr-FR" w:eastAsia="fr-FR"/>
      </w:rPr>
      <w:t>mm/adn_wp15_ac2_2</w:t>
    </w:r>
    <w:r>
      <w:rPr>
        <w:rFonts w:ascii="Arial" w:hAnsi="Arial"/>
        <w:noProof/>
        <w:sz w:val="12"/>
        <w:szCs w:val="24"/>
        <w:lang w:val="fr-FR" w:eastAsia="fr-FR"/>
      </w:rPr>
      <w:t>6</w:t>
    </w:r>
    <w:r w:rsidRPr="009433CF">
      <w:rPr>
        <w:rFonts w:ascii="Arial" w:hAnsi="Arial"/>
        <w:noProof/>
        <w:sz w:val="12"/>
        <w:szCs w:val="24"/>
        <w:lang w:val="fr-FR" w:eastAsia="fr-FR"/>
      </w:rPr>
      <w:t>_inf</w:t>
    </w:r>
    <w:r>
      <w:rPr>
        <w:rFonts w:ascii="Arial" w:hAnsi="Arial"/>
        <w:noProof/>
        <w:sz w:val="12"/>
        <w:szCs w:val="24"/>
        <w:lang w:val="fr-FR" w:eastAsia="fr-FR"/>
      </w:rPr>
      <w:t>4</w:t>
    </w:r>
    <w:r w:rsidRPr="009433CF">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0" w:rsidRDefault="00751210" w:rsidP="008D0A17">
    <w:pPr>
      <w:suppressAutoHyphens/>
      <w:spacing w:after="0"/>
      <w:jc w:val="right"/>
    </w:pPr>
    <w:r w:rsidRPr="009433CF">
      <w:rPr>
        <w:rFonts w:ascii="Arial" w:hAnsi="Arial"/>
        <w:noProof/>
        <w:sz w:val="12"/>
        <w:szCs w:val="24"/>
        <w:lang w:val="fr-FR" w:eastAsia="fr-FR"/>
      </w:rPr>
      <w:t>mm/adn_wp15_ac2_2</w:t>
    </w:r>
    <w:r>
      <w:rPr>
        <w:rFonts w:ascii="Arial" w:hAnsi="Arial"/>
        <w:noProof/>
        <w:sz w:val="12"/>
        <w:szCs w:val="24"/>
        <w:lang w:val="fr-FR" w:eastAsia="fr-FR"/>
      </w:rPr>
      <w:t>6</w:t>
    </w:r>
    <w:r w:rsidRPr="009433CF">
      <w:rPr>
        <w:rFonts w:ascii="Arial" w:hAnsi="Arial"/>
        <w:noProof/>
        <w:sz w:val="12"/>
        <w:szCs w:val="24"/>
        <w:lang w:val="fr-FR" w:eastAsia="fr-FR"/>
      </w:rPr>
      <w:t>_inf</w:t>
    </w:r>
    <w:r>
      <w:rPr>
        <w:rFonts w:ascii="Arial" w:hAnsi="Arial"/>
        <w:noProof/>
        <w:sz w:val="12"/>
        <w:szCs w:val="24"/>
        <w:lang w:val="fr-FR" w:eastAsia="fr-FR"/>
      </w:rPr>
      <w:t>4</w:t>
    </w:r>
    <w:r w:rsidRPr="009433CF">
      <w:rPr>
        <w:rFonts w:ascii="Arial" w:hAnsi="Arial"/>
        <w:noProof/>
        <w:sz w:val="12"/>
        <w:szCs w:val="24"/>
        <w:lang w:val="fr-FR"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10" w:rsidRDefault="00751210">
      <w:pPr>
        <w:spacing w:after="0"/>
      </w:pPr>
      <w:r>
        <w:separator/>
      </w:r>
    </w:p>
  </w:footnote>
  <w:footnote w:type="continuationSeparator" w:id="0">
    <w:p w:rsidR="00751210" w:rsidRDefault="00751210">
      <w:pPr>
        <w:spacing w:after="0"/>
        <w:rPr>
          <w:u w:val="single"/>
        </w:rPr>
      </w:pPr>
      <w:r>
        <w:rPr>
          <w:u w:val="single"/>
        </w:rPr>
        <w:tab/>
      </w:r>
      <w:r>
        <w:rPr>
          <w:u w:val="single"/>
        </w:rPr>
        <w:tab/>
      </w:r>
      <w:r>
        <w:rPr>
          <w:u w:val="single"/>
        </w:rPr>
        <w:tab/>
      </w:r>
      <w:r>
        <w:rPr>
          <w:u w:val="single"/>
        </w:rPr>
        <w:tab/>
      </w:r>
    </w:p>
  </w:footnote>
  <w:footnote w:type="continuationNotice" w:id="1">
    <w:p w:rsidR="00751210" w:rsidRDefault="0075121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0" w:rsidRPr="00805FA0" w:rsidRDefault="00751210"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CCNR-ZKR/ADN/WP.15/AC.2/26/INF.4</w:t>
    </w:r>
  </w:p>
  <w:p w:rsidR="00751210" w:rsidRPr="00226EA3" w:rsidRDefault="00751210" w:rsidP="00F20225">
    <w:pPr>
      <w:pStyle w:val="Header"/>
      <w:spacing w:after="0"/>
      <w:rPr>
        <w:rFonts w:ascii="Arial" w:hAnsi="Arial" w:cs="Arial"/>
        <w:sz w:val="16"/>
        <w:szCs w:val="16"/>
      </w:rPr>
    </w:pPr>
    <w:r>
      <w:rPr>
        <w:rFonts w:ascii="Arial" w:hAnsi="Arial" w:cs="Arial"/>
        <w:sz w:val="16"/>
        <w:szCs w:val="16"/>
      </w:rPr>
      <w:t xml:space="preserve">Page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10" w:rsidRPr="00805FA0" w:rsidRDefault="00751210" w:rsidP="008D0A17">
    <w:pPr>
      <w:pStyle w:val="Header"/>
      <w:spacing w:after="0"/>
      <w:jc w:val="right"/>
      <w:rPr>
        <w:rFonts w:ascii="Arial" w:hAnsi="Arial" w:cs="Arial"/>
        <w:sz w:val="16"/>
        <w:szCs w:val="16"/>
        <w:lang w:val="en-US"/>
      </w:rPr>
    </w:pPr>
    <w:r w:rsidRPr="00805FA0">
      <w:rPr>
        <w:rFonts w:ascii="Arial" w:hAnsi="Arial" w:cs="Arial"/>
        <w:sz w:val="16"/>
        <w:szCs w:val="16"/>
        <w:lang w:val="en-US"/>
      </w:rPr>
      <w:t>CCNR-ZKR/ADN/WP.15/AC.2/26/INF.4</w:t>
    </w:r>
  </w:p>
  <w:p w:rsidR="00751210" w:rsidRPr="00226EA3" w:rsidRDefault="00751210" w:rsidP="008D0A17">
    <w:pPr>
      <w:pStyle w:val="Header"/>
      <w:spacing w:after="0"/>
      <w:jc w:val="right"/>
      <w:rPr>
        <w:rFonts w:ascii="Arial" w:hAnsi="Arial" w:cs="Arial"/>
        <w:sz w:val="16"/>
        <w:szCs w:val="16"/>
      </w:rPr>
    </w:pPr>
    <w:r>
      <w:rPr>
        <w:rFonts w:ascii="Arial" w:hAnsi="Arial" w:cs="Arial"/>
        <w:sz w:val="16"/>
        <w:szCs w:val="16"/>
      </w:rPr>
      <w:t xml:space="preserve">Page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986048A"/>
    <w:multiLevelType w:val="hybridMultilevel"/>
    <w:tmpl w:val="A796C48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E7F5AE8"/>
    <w:multiLevelType w:val="hybridMultilevel"/>
    <w:tmpl w:val="66264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5">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7">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372B14"/>
    <w:multiLevelType w:val="hybridMultilevel"/>
    <w:tmpl w:val="C9240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2">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3663371"/>
    <w:multiLevelType w:val="multilevel"/>
    <w:tmpl w:val="040C001D"/>
    <w:numStyleLink w:val="1ai"/>
  </w:abstractNum>
  <w:abstractNum w:abstractNumId="24">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nsid w:val="6E3C35AF"/>
    <w:multiLevelType w:val="hybridMultilevel"/>
    <w:tmpl w:val="65328DF8"/>
    <w:lvl w:ilvl="0" w:tplc="040C0001">
      <w:start w:val="1"/>
      <w:numFmt w:val="bullet"/>
      <w:lvlText w:val=""/>
      <w:lvlJc w:val="left"/>
      <w:pPr>
        <w:ind w:left="1650" w:hanging="360"/>
      </w:pPr>
      <w:rPr>
        <w:rFonts w:ascii="Symbol" w:hAnsi="Symbol" w:hint="default"/>
      </w:rPr>
    </w:lvl>
    <w:lvl w:ilvl="1" w:tplc="040C0003" w:tentative="1">
      <w:start w:val="1"/>
      <w:numFmt w:val="bullet"/>
      <w:lvlText w:val="o"/>
      <w:lvlJc w:val="left"/>
      <w:pPr>
        <w:ind w:left="2370" w:hanging="360"/>
      </w:pPr>
      <w:rPr>
        <w:rFonts w:ascii="Courier New" w:hAnsi="Courier New" w:cs="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cs="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cs="Courier New" w:hint="default"/>
      </w:rPr>
    </w:lvl>
    <w:lvl w:ilvl="8" w:tplc="040C0005" w:tentative="1">
      <w:start w:val="1"/>
      <w:numFmt w:val="bullet"/>
      <w:lvlText w:val=""/>
      <w:lvlJc w:val="left"/>
      <w:pPr>
        <w:ind w:left="7410" w:hanging="360"/>
      </w:pPr>
      <w:rPr>
        <w:rFonts w:ascii="Wingdings" w:hAnsi="Wingdings" w:hint="default"/>
      </w:rPr>
    </w:lvl>
  </w:abstractNum>
  <w:abstractNum w:abstractNumId="26">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0"/>
  </w:num>
  <w:num w:numId="2">
    <w:abstractNumId w:val="14"/>
  </w:num>
  <w:num w:numId="3">
    <w:abstractNumId w:val="9"/>
  </w:num>
  <w:num w:numId="4">
    <w:abstractNumId w:val="15"/>
  </w:num>
  <w:num w:numId="5">
    <w:abstractNumId w:val="0"/>
  </w:num>
  <w:num w:numId="6">
    <w:abstractNumId w:val="28"/>
  </w:num>
  <w:num w:numId="7">
    <w:abstractNumId w:val="22"/>
  </w:num>
  <w:num w:numId="8">
    <w:abstractNumId w:val="10"/>
  </w:num>
  <w:num w:numId="9">
    <w:abstractNumId w:val="11"/>
  </w:num>
  <w:num w:numId="10">
    <w:abstractNumId w:val="12"/>
  </w:num>
  <w:num w:numId="11">
    <w:abstractNumId w:val="16"/>
  </w:num>
  <w:num w:numId="12">
    <w:abstractNumId w:val="27"/>
  </w:num>
  <w:num w:numId="13">
    <w:abstractNumId w:val="1"/>
  </w:num>
  <w:num w:numId="14">
    <w:abstractNumId w:val="17"/>
  </w:num>
  <w:num w:numId="15">
    <w:abstractNumId w:val="23"/>
  </w:num>
  <w:num w:numId="16">
    <w:abstractNumId w:val="4"/>
  </w:num>
  <w:num w:numId="17">
    <w:abstractNumId w:val="13"/>
  </w:num>
  <w:num w:numId="18">
    <w:abstractNumId w:val="6"/>
  </w:num>
  <w:num w:numId="19">
    <w:abstractNumId w:val="3"/>
  </w:num>
  <w:num w:numId="20">
    <w:abstractNumId w:val="2"/>
  </w:num>
  <w:num w:numId="21">
    <w:abstractNumId w:val="24"/>
  </w:num>
  <w:num w:numId="22">
    <w:abstractNumId w:val="21"/>
  </w:num>
  <w:num w:numId="23">
    <w:abstractNumId w:val="19"/>
  </w:num>
  <w:num w:numId="24">
    <w:abstractNumId w:val="8"/>
  </w:num>
  <w:num w:numId="25">
    <w:abstractNumId w:val="26"/>
  </w:num>
  <w:num w:numId="26">
    <w:abstractNumId w:val="7"/>
  </w:num>
  <w:num w:numId="27">
    <w:abstractNumId w:val="25"/>
  </w:num>
  <w:num w:numId="28">
    <w:abstractNumId w:val="18"/>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063D5"/>
    <w:rsid w:val="00014411"/>
    <w:rsid w:val="000217BA"/>
    <w:rsid w:val="000328A4"/>
    <w:rsid w:val="0004300F"/>
    <w:rsid w:val="00043DCD"/>
    <w:rsid w:val="000442E2"/>
    <w:rsid w:val="00044BFC"/>
    <w:rsid w:val="000500BF"/>
    <w:rsid w:val="000516AA"/>
    <w:rsid w:val="0005197F"/>
    <w:rsid w:val="0005243E"/>
    <w:rsid w:val="00054082"/>
    <w:rsid w:val="00054A90"/>
    <w:rsid w:val="000558EB"/>
    <w:rsid w:val="00061AD3"/>
    <w:rsid w:val="000667CE"/>
    <w:rsid w:val="00070E56"/>
    <w:rsid w:val="0007793C"/>
    <w:rsid w:val="00077F19"/>
    <w:rsid w:val="00093086"/>
    <w:rsid w:val="000946ED"/>
    <w:rsid w:val="000A1F33"/>
    <w:rsid w:val="000B1CC3"/>
    <w:rsid w:val="000B1DCB"/>
    <w:rsid w:val="000B25D0"/>
    <w:rsid w:val="000B2C67"/>
    <w:rsid w:val="000B2FCE"/>
    <w:rsid w:val="000B360C"/>
    <w:rsid w:val="000B3F5E"/>
    <w:rsid w:val="000C100E"/>
    <w:rsid w:val="000C120B"/>
    <w:rsid w:val="000C3D08"/>
    <w:rsid w:val="000C3F0A"/>
    <w:rsid w:val="000C618B"/>
    <w:rsid w:val="000D561F"/>
    <w:rsid w:val="000E06E4"/>
    <w:rsid w:val="000E09F2"/>
    <w:rsid w:val="000E5406"/>
    <w:rsid w:val="000E733E"/>
    <w:rsid w:val="000F2999"/>
    <w:rsid w:val="000F3B3B"/>
    <w:rsid w:val="000F574C"/>
    <w:rsid w:val="00100CAB"/>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653F"/>
    <w:rsid w:val="002101EC"/>
    <w:rsid w:val="002109A4"/>
    <w:rsid w:val="00211CEC"/>
    <w:rsid w:val="00211D4E"/>
    <w:rsid w:val="00223B06"/>
    <w:rsid w:val="00226EA3"/>
    <w:rsid w:val="00230BAD"/>
    <w:rsid w:val="00245CD7"/>
    <w:rsid w:val="002471F5"/>
    <w:rsid w:val="00252C35"/>
    <w:rsid w:val="00253F77"/>
    <w:rsid w:val="00256038"/>
    <w:rsid w:val="00256D16"/>
    <w:rsid w:val="002613AC"/>
    <w:rsid w:val="0026451D"/>
    <w:rsid w:val="00267650"/>
    <w:rsid w:val="00273EB0"/>
    <w:rsid w:val="0028124B"/>
    <w:rsid w:val="002850A9"/>
    <w:rsid w:val="002925CC"/>
    <w:rsid w:val="00292F26"/>
    <w:rsid w:val="00293A26"/>
    <w:rsid w:val="00294E58"/>
    <w:rsid w:val="002953F1"/>
    <w:rsid w:val="002A00FC"/>
    <w:rsid w:val="002A26E5"/>
    <w:rsid w:val="002A5AC5"/>
    <w:rsid w:val="002B1104"/>
    <w:rsid w:val="002B5575"/>
    <w:rsid w:val="002C34CD"/>
    <w:rsid w:val="002C7136"/>
    <w:rsid w:val="002C7555"/>
    <w:rsid w:val="002D23E2"/>
    <w:rsid w:val="002D43AB"/>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B3F"/>
    <w:rsid w:val="00315C33"/>
    <w:rsid w:val="0031701F"/>
    <w:rsid w:val="00321463"/>
    <w:rsid w:val="00321655"/>
    <w:rsid w:val="003241E3"/>
    <w:rsid w:val="00325611"/>
    <w:rsid w:val="003311FD"/>
    <w:rsid w:val="003330A3"/>
    <w:rsid w:val="00333424"/>
    <w:rsid w:val="003371B3"/>
    <w:rsid w:val="0034481F"/>
    <w:rsid w:val="0035078B"/>
    <w:rsid w:val="00350F80"/>
    <w:rsid w:val="00357395"/>
    <w:rsid w:val="00357FB2"/>
    <w:rsid w:val="0036658D"/>
    <w:rsid w:val="00377291"/>
    <w:rsid w:val="003775F5"/>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A706A"/>
    <w:rsid w:val="003B1906"/>
    <w:rsid w:val="003B2756"/>
    <w:rsid w:val="003B2AD6"/>
    <w:rsid w:val="003C1B4B"/>
    <w:rsid w:val="003C242B"/>
    <w:rsid w:val="003C2B9A"/>
    <w:rsid w:val="003D3310"/>
    <w:rsid w:val="003D3C1B"/>
    <w:rsid w:val="003D55E0"/>
    <w:rsid w:val="003D605F"/>
    <w:rsid w:val="003D6093"/>
    <w:rsid w:val="003E200E"/>
    <w:rsid w:val="003E2A6D"/>
    <w:rsid w:val="003E3EF1"/>
    <w:rsid w:val="003E45A3"/>
    <w:rsid w:val="003F1078"/>
    <w:rsid w:val="003F42D3"/>
    <w:rsid w:val="00400C64"/>
    <w:rsid w:val="00401556"/>
    <w:rsid w:val="004047B2"/>
    <w:rsid w:val="00404F0D"/>
    <w:rsid w:val="004068A5"/>
    <w:rsid w:val="00413D2B"/>
    <w:rsid w:val="004143AE"/>
    <w:rsid w:val="0041550B"/>
    <w:rsid w:val="0041778F"/>
    <w:rsid w:val="00422BE9"/>
    <w:rsid w:val="00423E82"/>
    <w:rsid w:val="00424CC3"/>
    <w:rsid w:val="00425585"/>
    <w:rsid w:val="0042684E"/>
    <w:rsid w:val="004320DB"/>
    <w:rsid w:val="00435606"/>
    <w:rsid w:val="004356AE"/>
    <w:rsid w:val="00442372"/>
    <w:rsid w:val="00444CFD"/>
    <w:rsid w:val="0045718A"/>
    <w:rsid w:val="00465C4B"/>
    <w:rsid w:val="004669B8"/>
    <w:rsid w:val="00467EB8"/>
    <w:rsid w:val="00470EAF"/>
    <w:rsid w:val="00473011"/>
    <w:rsid w:val="0048327E"/>
    <w:rsid w:val="00484775"/>
    <w:rsid w:val="004867AC"/>
    <w:rsid w:val="0048680A"/>
    <w:rsid w:val="00487574"/>
    <w:rsid w:val="00491BBA"/>
    <w:rsid w:val="00492338"/>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9CD"/>
    <w:rsid w:val="004E5AE9"/>
    <w:rsid w:val="004E66A8"/>
    <w:rsid w:val="004F17AC"/>
    <w:rsid w:val="004F669F"/>
    <w:rsid w:val="00504561"/>
    <w:rsid w:val="00510DAE"/>
    <w:rsid w:val="00520195"/>
    <w:rsid w:val="005241F0"/>
    <w:rsid w:val="00525173"/>
    <w:rsid w:val="00526388"/>
    <w:rsid w:val="005275C4"/>
    <w:rsid w:val="00530A8E"/>
    <w:rsid w:val="00532AC5"/>
    <w:rsid w:val="00532AFB"/>
    <w:rsid w:val="00532CD7"/>
    <w:rsid w:val="00534113"/>
    <w:rsid w:val="00534523"/>
    <w:rsid w:val="00535D55"/>
    <w:rsid w:val="00540404"/>
    <w:rsid w:val="00550ADC"/>
    <w:rsid w:val="00550D9B"/>
    <w:rsid w:val="005525CA"/>
    <w:rsid w:val="00552F76"/>
    <w:rsid w:val="00556D9C"/>
    <w:rsid w:val="00557DAC"/>
    <w:rsid w:val="00560E53"/>
    <w:rsid w:val="00562BC7"/>
    <w:rsid w:val="0056334B"/>
    <w:rsid w:val="005664DA"/>
    <w:rsid w:val="00571CD2"/>
    <w:rsid w:val="00574037"/>
    <w:rsid w:val="00574966"/>
    <w:rsid w:val="00574F1F"/>
    <w:rsid w:val="00576A92"/>
    <w:rsid w:val="00580650"/>
    <w:rsid w:val="0058091D"/>
    <w:rsid w:val="00584873"/>
    <w:rsid w:val="00591CEB"/>
    <w:rsid w:val="00593BD5"/>
    <w:rsid w:val="005948EF"/>
    <w:rsid w:val="00595917"/>
    <w:rsid w:val="005962CC"/>
    <w:rsid w:val="00597B92"/>
    <w:rsid w:val="005A02C4"/>
    <w:rsid w:val="005A1286"/>
    <w:rsid w:val="005A5A3E"/>
    <w:rsid w:val="005A7E96"/>
    <w:rsid w:val="005B31A6"/>
    <w:rsid w:val="005B4D67"/>
    <w:rsid w:val="005B7895"/>
    <w:rsid w:val="005C042B"/>
    <w:rsid w:val="005C16F4"/>
    <w:rsid w:val="005C44D9"/>
    <w:rsid w:val="005C4896"/>
    <w:rsid w:val="005C742B"/>
    <w:rsid w:val="005D10B8"/>
    <w:rsid w:val="005D1B6E"/>
    <w:rsid w:val="005D2C7B"/>
    <w:rsid w:val="005D3544"/>
    <w:rsid w:val="005D5010"/>
    <w:rsid w:val="005E0960"/>
    <w:rsid w:val="005E09D8"/>
    <w:rsid w:val="005E4558"/>
    <w:rsid w:val="005F5A66"/>
    <w:rsid w:val="005F6C6E"/>
    <w:rsid w:val="006010D9"/>
    <w:rsid w:val="006068D6"/>
    <w:rsid w:val="006071ED"/>
    <w:rsid w:val="00607392"/>
    <w:rsid w:val="00611305"/>
    <w:rsid w:val="0061282B"/>
    <w:rsid w:val="00615BE1"/>
    <w:rsid w:val="00616DFD"/>
    <w:rsid w:val="006177D0"/>
    <w:rsid w:val="00622416"/>
    <w:rsid w:val="006254A7"/>
    <w:rsid w:val="00632B6A"/>
    <w:rsid w:val="0063521C"/>
    <w:rsid w:val="00636D08"/>
    <w:rsid w:val="00642FC8"/>
    <w:rsid w:val="0064737B"/>
    <w:rsid w:val="006475E7"/>
    <w:rsid w:val="00647AEE"/>
    <w:rsid w:val="006505F6"/>
    <w:rsid w:val="006550C1"/>
    <w:rsid w:val="0065740E"/>
    <w:rsid w:val="00662D1A"/>
    <w:rsid w:val="00670009"/>
    <w:rsid w:val="006710C1"/>
    <w:rsid w:val="00673E42"/>
    <w:rsid w:val="00680D36"/>
    <w:rsid w:val="00681A95"/>
    <w:rsid w:val="0068283F"/>
    <w:rsid w:val="00690BDD"/>
    <w:rsid w:val="00695570"/>
    <w:rsid w:val="006A2D07"/>
    <w:rsid w:val="006A37D9"/>
    <w:rsid w:val="006A5635"/>
    <w:rsid w:val="006A583B"/>
    <w:rsid w:val="006A7803"/>
    <w:rsid w:val="006A7E15"/>
    <w:rsid w:val="006B409D"/>
    <w:rsid w:val="006B5828"/>
    <w:rsid w:val="006C2187"/>
    <w:rsid w:val="006C6C74"/>
    <w:rsid w:val="006D1C95"/>
    <w:rsid w:val="006D1D2A"/>
    <w:rsid w:val="006D6CC3"/>
    <w:rsid w:val="006E0282"/>
    <w:rsid w:val="006E1DEF"/>
    <w:rsid w:val="006E21E7"/>
    <w:rsid w:val="006E2B98"/>
    <w:rsid w:val="006E4FB2"/>
    <w:rsid w:val="006E6D0B"/>
    <w:rsid w:val="006F12ED"/>
    <w:rsid w:val="006F7B0D"/>
    <w:rsid w:val="00701356"/>
    <w:rsid w:val="00703E02"/>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1210"/>
    <w:rsid w:val="00755AD5"/>
    <w:rsid w:val="00765C89"/>
    <w:rsid w:val="00766C3D"/>
    <w:rsid w:val="00767C40"/>
    <w:rsid w:val="007708ED"/>
    <w:rsid w:val="00770B84"/>
    <w:rsid w:val="007741AF"/>
    <w:rsid w:val="007771AD"/>
    <w:rsid w:val="0077743D"/>
    <w:rsid w:val="0078421E"/>
    <w:rsid w:val="00785F59"/>
    <w:rsid w:val="00790543"/>
    <w:rsid w:val="0079054B"/>
    <w:rsid w:val="00793B03"/>
    <w:rsid w:val="00795A5A"/>
    <w:rsid w:val="00796034"/>
    <w:rsid w:val="007A121E"/>
    <w:rsid w:val="007B3035"/>
    <w:rsid w:val="007B4161"/>
    <w:rsid w:val="007B5F64"/>
    <w:rsid w:val="007B6109"/>
    <w:rsid w:val="007B63AB"/>
    <w:rsid w:val="007B6660"/>
    <w:rsid w:val="007B7475"/>
    <w:rsid w:val="007C5820"/>
    <w:rsid w:val="007C68C9"/>
    <w:rsid w:val="007C76BD"/>
    <w:rsid w:val="007D4FA9"/>
    <w:rsid w:val="007D75CB"/>
    <w:rsid w:val="007D7B56"/>
    <w:rsid w:val="007E0DBD"/>
    <w:rsid w:val="007E2631"/>
    <w:rsid w:val="007E5972"/>
    <w:rsid w:val="007F6D6C"/>
    <w:rsid w:val="00801740"/>
    <w:rsid w:val="0080210F"/>
    <w:rsid w:val="00802C7E"/>
    <w:rsid w:val="00803493"/>
    <w:rsid w:val="00805BE6"/>
    <w:rsid w:val="00805FA0"/>
    <w:rsid w:val="00812F13"/>
    <w:rsid w:val="008135B4"/>
    <w:rsid w:val="0082034F"/>
    <w:rsid w:val="008210C8"/>
    <w:rsid w:val="00821A12"/>
    <w:rsid w:val="00821A94"/>
    <w:rsid w:val="008247C4"/>
    <w:rsid w:val="0082770C"/>
    <w:rsid w:val="00834E6B"/>
    <w:rsid w:val="00835CE3"/>
    <w:rsid w:val="008361DD"/>
    <w:rsid w:val="00843972"/>
    <w:rsid w:val="00845810"/>
    <w:rsid w:val="00845B47"/>
    <w:rsid w:val="008532EC"/>
    <w:rsid w:val="00853BD3"/>
    <w:rsid w:val="008548F1"/>
    <w:rsid w:val="008601F4"/>
    <w:rsid w:val="008620F0"/>
    <w:rsid w:val="00862626"/>
    <w:rsid w:val="00866FEE"/>
    <w:rsid w:val="00871AE4"/>
    <w:rsid w:val="008757CE"/>
    <w:rsid w:val="00876E72"/>
    <w:rsid w:val="00886550"/>
    <w:rsid w:val="00896461"/>
    <w:rsid w:val="008966F8"/>
    <w:rsid w:val="008A1E11"/>
    <w:rsid w:val="008A2AC3"/>
    <w:rsid w:val="008A67F3"/>
    <w:rsid w:val="008B793E"/>
    <w:rsid w:val="008C0D18"/>
    <w:rsid w:val="008C1BEE"/>
    <w:rsid w:val="008C1E14"/>
    <w:rsid w:val="008C5C0E"/>
    <w:rsid w:val="008C659B"/>
    <w:rsid w:val="008C72C4"/>
    <w:rsid w:val="008D0A17"/>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6F16"/>
    <w:rsid w:val="00917269"/>
    <w:rsid w:val="009205FC"/>
    <w:rsid w:val="00924B83"/>
    <w:rsid w:val="009253F7"/>
    <w:rsid w:val="00926D80"/>
    <w:rsid w:val="009345A9"/>
    <w:rsid w:val="009369E2"/>
    <w:rsid w:val="00937007"/>
    <w:rsid w:val="00941577"/>
    <w:rsid w:val="00942BC4"/>
    <w:rsid w:val="009433CF"/>
    <w:rsid w:val="009445A7"/>
    <w:rsid w:val="009468B6"/>
    <w:rsid w:val="00946DBA"/>
    <w:rsid w:val="0095070F"/>
    <w:rsid w:val="00956CE2"/>
    <w:rsid w:val="00957F70"/>
    <w:rsid w:val="00960A55"/>
    <w:rsid w:val="00960EA5"/>
    <w:rsid w:val="009625E3"/>
    <w:rsid w:val="00964AF5"/>
    <w:rsid w:val="00972D99"/>
    <w:rsid w:val="00973413"/>
    <w:rsid w:val="00977789"/>
    <w:rsid w:val="00977D9C"/>
    <w:rsid w:val="00980439"/>
    <w:rsid w:val="00985482"/>
    <w:rsid w:val="009A1515"/>
    <w:rsid w:val="009A166B"/>
    <w:rsid w:val="009A65C7"/>
    <w:rsid w:val="009A72CF"/>
    <w:rsid w:val="009A7511"/>
    <w:rsid w:val="009A7EF7"/>
    <w:rsid w:val="009B000B"/>
    <w:rsid w:val="009B271F"/>
    <w:rsid w:val="009B4B28"/>
    <w:rsid w:val="009B517A"/>
    <w:rsid w:val="009B6193"/>
    <w:rsid w:val="009C1299"/>
    <w:rsid w:val="009C6A78"/>
    <w:rsid w:val="009C7262"/>
    <w:rsid w:val="009E0D70"/>
    <w:rsid w:val="009E366C"/>
    <w:rsid w:val="009F0F05"/>
    <w:rsid w:val="009F1136"/>
    <w:rsid w:val="009F5181"/>
    <w:rsid w:val="009F6412"/>
    <w:rsid w:val="009F64C9"/>
    <w:rsid w:val="00A02C8A"/>
    <w:rsid w:val="00A0702A"/>
    <w:rsid w:val="00A115CD"/>
    <w:rsid w:val="00A12385"/>
    <w:rsid w:val="00A151F0"/>
    <w:rsid w:val="00A20B30"/>
    <w:rsid w:val="00A24DD5"/>
    <w:rsid w:val="00A25F3A"/>
    <w:rsid w:val="00A27BA8"/>
    <w:rsid w:val="00A30A34"/>
    <w:rsid w:val="00A3778C"/>
    <w:rsid w:val="00A407F3"/>
    <w:rsid w:val="00A472DE"/>
    <w:rsid w:val="00A5282A"/>
    <w:rsid w:val="00A540B2"/>
    <w:rsid w:val="00A57B14"/>
    <w:rsid w:val="00A65A4D"/>
    <w:rsid w:val="00A72BED"/>
    <w:rsid w:val="00A73820"/>
    <w:rsid w:val="00A80734"/>
    <w:rsid w:val="00A832D0"/>
    <w:rsid w:val="00A836B9"/>
    <w:rsid w:val="00A83880"/>
    <w:rsid w:val="00A83CAE"/>
    <w:rsid w:val="00A861EE"/>
    <w:rsid w:val="00A909D8"/>
    <w:rsid w:val="00A95548"/>
    <w:rsid w:val="00A9588A"/>
    <w:rsid w:val="00AA1B28"/>
    <w:rsid w:val="00AA3F46"/>
    <w:rsid w:val="00AA701B"/>
    <w:rsid w:val="00AB4F31"/>
    <w:rsid w:val="00AC1BD0"/>
    <w:rsid w:val="00AC3915"/>
    <w:rsid w:val="00AC3C04"/>
    <w:rsid w:val="00AC4E86"/>
    <w:rsid w:val="00AC5637"/>
    <w:rsid w:val="00AC5C8D"/>
    <w:rsid w:val="00AD41D1"/>
    <w:rsid w:val="00AD4555"/>
    <w:rsid w:val="00AD644A"/>
    <w:rsid w:val="00AD78EA"/>
    <w:rsid w:val="00AD798E"/>
    <w:rsid w:val="00AE3FD6"/>
    <w:rsid w:val="00AE57B0"/>
    <w:rsid w:val="00AE5E93"/>
    <w:rsid w:val="00AF08C3"/>
    <w:rsid w:val="00AF1323"/>
    <w:rsid w:val="00AF1820"/>
    <w:rsid w:val="00AF2DFF"/>
    <w:rsid w:val="00AF42C7"/>
    <w:rsid w:val="00AF5664"/>
    <w:rsid w:val="00AF5917"/>
    <w:rsid w:val="00AF5CEB"/>
    <w:rsid w:val="00B0003E"/>
    <w:rsid w:val="00B00151"/>
    <w:rsid w:val="00B00518"/>
    <w:rsid w:val="00B072D2"/>
    <w:rsid w:val="00B1098C"/>
    <w:rsid w:val="00B13AEA"/>
    <w:rsid w:val="00B1574C"/>
    <w:rsid w:val="00B170AC"/>
    <w:rsid w:val="00B23143"/>
    <w:rsid w:val="00B33376"/>
    <w:rsid w:val="00B342FC"/>
    <w:rsid w:val="00B3436D"/>
    <w:rsid w:val="00B34BCD"/>
    <w:rsid w:val="00B42D6F"/>
    <w:rsid w:val="00B44E07"/>
    <w:rsid w:val="00B46E1F"/>
    <w:rsid w:val="00B47455"/>
    <w:rsid w:val="00B47D03"/>
    <w:rsid w:val="00B47EFD"/>
    <w:rsid w:val="00B5116B"/>
    <w:rsid w:val="00B557B5"/>
    <w:rsid w:val="00B558A8"/>
    <w:rsid w:val="00B57D23"/>
    <w:rsid w:val="00B6062C"/>
    <w:rsid w:val="00B60E0C"/>
    <w:rsid w:val="00B6534B"/>
    <w:rsid w:val="00B65E73"/>
    <w:rsid w:val="00B66C12"/>
    <w:rsid w:val="00B67C7E"/>
    <w:rsid w:val="00B71577"/>
    <w:rsid w:val="00B721E1"/>
    <w:rsid w:val="00B7519D"/>
    <w:rsid w:val="00B82146"/>
    <w:rsid w:val="00B83833"/>
    <w:rsid w:val="00B85FED"/>
    <w:rsid w:val="00B92130"/>
    <w:rsid w:val="00B946CB"/>
    <w:rsid w:val="00B94D10"/>
    <w:rsid w:val="00B95A24"/>
    <w:rsid w:val="00BA244D"/>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110C"/>
    <w:rsid w:val="00BF29F9"/>
    <w:rsid w:val="00BF38CF"/>
    <w:rsid w:val="00BF5C9B"/>
    <w:rsid w:val="00C006CF"/>
    <w:rsid w:val="00C00BF4"/>
    <w:rsid w:val="00C03CFF"/>
    <w:rsid w:val="00C05571"/>
    <w:rsid w:val="00C10D7E"/>
    <w:rsid w:val="00C10EE6"/>
    <w:rsid w:val="00C16EA7"/>
    <w:rsid w:val="00C21497"/>
    <w:rsid w:val="00C223CA"/>
    <w:rsid w:val="00C316AB"/>
    <w:rsid w:val="00C33785"/>
    <w:rsid w:val="00C33955"/>
    <w:rsid w:val="00C36298"/>
    <w:rsid w:val="00C438C5"/>
    <w:rsid w:val="00C470CF"/>
    <w:rsid w:val="00C50CBF"/>
    <w:rsid w:val="00C54F79"/>
    <w:rsid w:val="00C5649B"/>
    <w:rsid w:val="00C56BCF"/>
    <w:rsid w:val="00C720F6"/>
    <w:rsid w:val="00C7413C"/>
    <w:rsid w:val="00C74715"/>
    <w:rsid w:val="00C74837"/>
    <w:rsid w:val="00C7486B"/>
    <w:rsid w:val="00C76318"/>
    <w:rsid w:val="00C867FC"/>
    <w:rsid w:val="00C90459"/>
    <w:rsid w:val="00C91506"/>
    <w:rsid w:val="00C92E8F"/>
    <w:rsid w:val="00C976A9"/>
    <w:rsid w:val="00CA1DEE"/>
    <w:rsid w:val="00CA47C6"/>
    <w:rsid w:val="00CB0F1D"/>
    <w:rsid w:val="00CB3215"/>
    <w:rsid w:val="00CB3E88"/>
    <w:rsid w:val="00CB427F"/>
    <w:rsid w:val="00CC29FA"/>
    <w:rsid w:val="00CC32DC"/>
    <w:rsid w:val="00CC43C2"/>
    <w:rsid w:val="00CC6BFE"/>
    <w:rsid w:val="00CD3889"/>
    <w:rsid w:val="00CD79B5"/>
    <w:rsid w:val="00CD7D14"/>
    <w:rsid w:val="00CE2F6E"/>
    <w:rsid w:val="00CE4118"/>
    <w:rsid w:val="00CF33C1"/>
    <w:rsid w:val="00CF4752"/>
    <w:rsid w:val="00CF663F"/>
    <w:rsid w:val="00D001AA"/>
    <w:rsid w:val="00D0089A"/>
    <w:rsid w:val="00D1071A"/>
    <w:rsid w:val="00D11D63"/>
    <w:rsid w:val="00D153DB"/>
    <w:rsid w:val="00D23030"/>
    <w:rsid w:val="00D23132"/>
    <w:rsid w:val="00D23770"/>
    <w:rsid w:val="00D30588"/>
    <w:rsid w:val="00D31EF3"/>
    <w:rsid w:val="00D32E7D"/>
    <w:rsid w:val="00D34DCA"/>
    <w:rsid w:val="00D36570"/>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5AB7"/>
    <w:rsid w:val="00D77120"/>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0BFF"/>
    <w:rsid w:val="00DD4465"/>
    <w:rsid w:val="00DD5852"/>
    <w:rsid w:val="00DE018E"/>
    <w:rsid w:val="00DE1210"/>
    <w:rsid w:val="00DE54AA"/>
    <w:rsid w:val="00DE6D0C"/>
    <w:rsid w:val="00DF51C5"/>
    <w:rsid w:val="00E00440"/>
    <w:rsid w:val="00E033C0"/>
    <w:rsid w:val="00E03D0D"/>
    <w:rsid w:val="00E04E96"/>
    <w:rsid w:val="00E11917"/>
    <w:rsid w:val="00E158B0"/>
    <w:rsid w:val="00E22CB6"/>
    <w:rsid w:val="00E23447"/>
    <w:rsid w:val="00E255D2"/>
    <w:rsid w:val="00E25BF2"/>
    <w:rsid w:val="00E27F28"/>
    <w:rsid w:val="00E3740A"/>
    <w:rsid w:val="00E46234"/>
    <w:rsid w:val="00E46E69"/>
    <w:rsid w:val="00E510CC"/>
    <w:rsid w:val="00E56EA9"/>
    <w:rsid w:val="00E5797E"/>
    <w:rsid w:val="00E61C68"/>
    <w:rsid w:val="00E63287"/>
    <w:rsid w:val="00E65629"/>
    <w:rsid w:val="00E6568B"/>
    <w:rsid w:val="00E65763"/>
    <w:rsid w:val="00E66CE2"/>
    <w:rsid w:val="00E73729"/>
    <w:rsid w:val="00E75272"/>
    <w:rsid w:val="00E768A2"/>
    <w:rsid w:val="00E76DBB"/>
    <w:rsid w:val="00E81F25"/>
    <w:rsid w:val="00E8388B"/>
    <w:rsid w:val="00E84B69"/>
    <w:rsid w:val="00E965BF"/>
    <w:rsid w:val="00E96CE0"/>
    <w:rsid w:val="00EA3DFE"/>
    <w:rsid w:val="00EA47D9"/>
    <w:rsid w:val="00EA701B"/>
    <w:rsid w:val="00EB17CF"/>
    <w:rsid w:val="00EB19B3"/>
    <w:rsid w:val="00EB4B80"/>
    <w:rsid w:val="00EB589A"/>
    <w:rsid w:val="00EB6CDE"/>
    <w:rsid w:val="00EC296E"/>
    <w:rsid w:val="00ED41E1"/>
    <w:rsid w:val="00ED6D59"/>
    <w:rsid w:val="00EE351C"/>
    <w:rsid w:val="00EE3786"/>
    <w:rsid w:val="00EF1AA4"/>
    <w:rsid w:val="00EF5115"/>
    <w:rsid w:val="00EF771E"/>
    <w:rsid w:val="00EF798B"/>
    <w:rsid w:val="00F04031"/>
    <w:rsid w:val="00F046C5"/>
    <w:rsid w:val="00F0659D"/>
    <w:rsid w:val="00F1213F"/>
    <w:rsid w:val="00F122E2"/>
    <w:rsid w:val="00F20225"/>
    <w:rsid w:val="00F23FAB"/>
    <w:rsid w:val="00F253B3"/>
    <w:rsid w:val="00F25B2F"/>
    <w:rsid w:val="00F26AD9"/>
    <w:rsid w:val="00F27152"/>
    <w:rsid w:val="00F34976"/>
    <w:rsid w:val="00F35183"/>
    <w:rsid w:val="00F36C92"/>
    <w:rsid w:val="00F46340"/>
    <w:rsid w:val="00F4711A"/>
    <w:rsid w:val="00F529CD"/>
    <w:rsid w:val="00F532FA"/>
    <w:rsid w:val="00F53F96"/>
    <w:rsid w:val="00F54000"/>
    <w:rsid w:val="00F6259B"/>
    <w:rsid w:val="00F62CF1"/>
    <w:rsid w:val="00F63F69"/>
    <w:rsid w:val="00F64728"/>
    <w:rsid w:val="00F72932"/>
    <w:rsid w:val="00F773D1"/>
    <w:rsid w:val="00F822DF"/>
    <w:rsid w:val="00F82426"/>
    <w:rsid w:val="00F82632"/>
    <w:rsid w:val="00F86C97"/>
    <w:rsid w:val="00F8750A"/>
    <w:rsid w:val="00F91B5E"/>
    <w:rsid w:val="00F925E6"/>
    <w:rsid w:val="00F92B25"/>
    <w:rsid w:val="00F94D1A"/>
    <w:rsid w:val="00F95C6C"/>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4CC"/>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numbering" w:styleId="1ai">
    <w:name w:val="Outline List 1"/>
    <w:basedOn w:val="NoList"/>
    <w:rsid w:val="00442372"/>
    <w:pPr>
      <w:numPr>
        <w:numId w:val="20"/>
      </w:numPr>
    </w:pPr>
  </w:style>
  <w:style w:type="paragraph" w:customStyle="1" w:styleId="HChG">
    <w:name w:val="_ H _Ch_G"/>
    <w:basedOn w:val="Normal"/>
    <w:next w:val="Normal"/>
    <w:rsid w:val="00751210"/>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751210"/>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751210"/>
    <w:pPr>
      <w:suppressAutoHyphens/>
      <w:spacing w:after="120" w:line="240" w:lineRule="atLeast"/>
      <w:ind w:left="1134" w:right="1134"/>
      <w:jc w:val="both"/>
    </w:pPr>
    <w:rPr>
      <w:snapToGrid w:val="0"/>
      <w:sz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numbering" w:styleId="1ai">
    <w:name w:val="Outline List 1"/>
    <w:basedOn w:val="NoList"/>
    <w:rsid w:val="00442372"/>
    <w:pPr>
      <w:numPr>
        <w:numId w:val="20"/>
      </w:numPr>
    </w:pPr>
  </w:style>
  <w:style w:type="paragraph" w:customStyle="1" w:styleId="HChG">
    <w:name w:val="_ H _Ch_G"/>
    <w:basedOn w:val="Normal"/>
    <w:next w:val="Normal"/>
    <w:rsid w:val="00751210"/>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751210"/>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751210"/>
    <w:pPr>
      <w:suppressAutoHyphens/>
      <w:spacing w:after="120" w:line="240" w:lineRule="atLeast"/>
      <w:ind w:left="1134" w:right="1134"/>
      <w:jc w:val="both"/>
    </w:pPr>
    <w:rPr>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0869">
      <w:bodyDiv w:val="1"/>
      <w:marLeft w:val="0"/>
      <w:marRight w:val="0"/>
      <w:marTop w:val="0"/>
      <w:marBottom w:val="0"/>
      <w:divBdr>
        <w:top w:val="none" w:sz="0" w:space="0" w:color="auto"/>
        <w:left w:val="none" w:sz="0" w:space="0" w:color="auto"/>
        <w:bottom w:val="none" w:sz="0" w:space="0" w:color="auto"/>
        <w:right w:val="none" w:sz="0" w:space="0" w:color="auto"/>
      </w:divBdr>
    </w:div>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92428-65FC-46EC-BED8-6463861A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Caillot</cp:lastModifiedBy>
  <cp:revision>4</cp:revision>
  <cp:lastPrinted>2015-01-22T12:40:00Z</cp:lastPrinted>
  <dcterms:created xsi:type="dcterms:W3CDTF">2015-01-23T15:23:00Z</dcterms:created>
  <dcterms:modified xsi:type="dcterms:W3CDTF">2015-01-23T15:25:00Z</dcterms:modified>
</cp:coreProperties>
</file>