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D" w:rsidRPr="00942BC4" w:rsidRDefault="00095C4F" w:rsidP="00391399">
      <w:pPr>
        <w:pStyle w:val="Header"/>
        <w:tabs>
          <w:tab w:val="clear" w:pos="4320"/>
          <w:tab w:val="clear" w:pos="8640"/>
          <w:tab w:val="right" w:pos="3856"/>
        </w:tabs>
        <w:spacing w:after="0"/>
        <w:ind w:left="5387"/>
        <w:jc w:val="both"/>
        <w:rPr>
          <w:rFonts w:ascii="Arial" w:hAnsi="Arial" w:cs="Arial"/>
          <w:sz w:val="20"/>
          <w:lang w:val="de-DE"/>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9C3" w:rsidRPr="009859C3">
        <w:rPr>
          <w:rFonts w:ascii="Arial" w:hAnsi="Arial"/>
          <w:noProof/>
          <w:sz w:val="20"/>
          <w:lang w:val="de-DE" w:eastAsia="fr-FR"/>
        </w:rPr>
        <w:t>CCNR-ZKR/ADN/WP.15/AC.2/27/INF.</w:t>
      </w:r>
      <w:r w:rsidR="009859C3" w:rsidRPr="007C28DE">
        <w:rPr>
          <w:rFonts w:ascii="Arial" w:hAnsi="Arial"/>
          <w:noProof/>
          <w:sz w:val="20"/>
          <w:lang w:val="de-DE" w:eastAsia="de-DE"/>
        </w:rPr>
        <w:t>1</w:t>
      </w:r>
      <w:r w:rsidR="007C28DE">
        <w:rPr>
          <w:rFonts w:ascii="Arial" w:hAnsi="Arial"/>
          <w:noProof/>
          <w:sz w:val="20"/>
          <w:lang w:val="de-DE" w:eastAsia="de-DE"/>
        </w:rPr>
        <w:t>2</w:t>
      </w:r>
    </w:p>
    <w:p w:rsidR="000B697D" w:rsidRPr="00CF1052" w:rsidRDefault="000B697D" w:rsidP="00391399">
      <w:pPr>
        <w:pStyle w:val="Header"/>
        <w:tabs>
          <w:tab w:val="clear" w:pos="4320"/>
        </w:tabs>
        <w:spacing w:after="0"/>
        <w:ind w:left="5387"/>
        <w:rPr>
          <w:rFonts w:ascii="Arial" w:hAnsi="Arial" w:cs="Arial"/>
          <w:sz w:val="16"/>
          <w:szCs w:val="16"/>
          <w:lang w:val="de-DE"/>
        </w:rPr>
      </w:pPr>
      <w:r w:rsidRPr="00CF1052">
        <w:rPr>
          <w:rFonts w:ascii="Arial" w:hAnsi="Arial" w:cs="Arial"/>
          <w:sz w:val="16"/>
          <w:szCs w:val="16"/>
          <w:lang w:val="de-DE"/>
        </w:rPr>
        <w:t>Allgemeine Verteilung</w:t>
      </w:r>
    </w:p>
    <w:p w:rsidR="000B697D" w:rsidRPr="00E71080" w:rsidRDefault="00391399" w:rsidP="00391399">
      <w:pPr>
        <w:pStyle w:val="Header"/>
        <w:tabs>
          <w:tab w:val="clear" w:pos="4320"/>
        </w:tabs>
        <w:spacing w:after="0"/>
        <w:ind w:left="5387"/>
        <w:rPr>
          <w:rFonts w:ascii="Arial" w:hAnsi="Arial" w:cs="Arial"/>
          <w:sz w:val="20"/>
          <w:lang w:val="de-DE"/>
        </w:rPr>
      </w:pPr>
      <w:r>
        <w:rPr>
          <w:rFonts w:ascii="Arial" w:hAnsi="Arial" w:cs="Arial"/>
          <w:sz w:val="20"/>
          <w:lang w:val="de-DE"/>
        </w:rPr>
        <w:t>31</w:t>
      </w:r>
      <w:r w:rsidR="005E450E">
        <w:rPr>
          <w:rFonts w:ascii="Arial" w:hAnsi="Arial" w:cs="Arial"/>
          <w:sz w:val="20"/>
          <w:lang w:val="de-DE"/>
        </w:rPr>
        <w:t>.</w:t>
      </w:r>
      <w:r w:rsidR="00E71080">
        <w:rPr>
          <w:rFonts w:ascii="Arial" w:hAnsi="Arial" w:cs="Arial"/>
          <w:sz w:val="20"/>
          <w:lang w:val="de-DE"/>
        </w:rPr>
        <w:t xml:space="preserve"> </w:t>
      </w:r>
      <w:r w:rsidR="00DB3E85">
        <w:rPr>
          <w:rFonts w:ascii="Arial" w:hAnsi="Arial" w:cs="Arial"/>
          <w:sz w:val="20"/>
          <w:lang w:val="de-DE"/>
        </w:rPr>
        <w:t>Juli</w:t>
      </w:r>
      <w:r w:rsidR="00DB3E85" w:rsidRPr="00E71080">
        <w:rPr>
          <w:rFonts w:ascii="Arial" w:hAnsi="Arial" w:cs="Arial"/>
          <w:sz w:val="20"/>
          <w:lang w:val="de-DE"/>
        </w:rPr>
        <w:t xml:space="preserve"> </w:t>
      </w:r>
      <w:r w:rsidR="000B697D" w:rsidRPr="00E71080">
        <w:rPr>
          <w:rFonts w:ascii="Arial" w:hAnsi="Arial" w:cs="Arial"/>
          <w:sz w:val="20"/>
          <w:lang w:val="de-DE"/>
        </w:rPr>
        <w:t>201</w:t>
      </w:r>
      <w:r w:rsidR="00377B53">
        <w:rPr>
          <w:rFonts w:ascii="Arial" w:hAnsi="Arial" w:cs="Arial"/>
          <w:sz w:val="20"/>
          <w:lang w:val="de-DE"/>
        </w:rPr>
        <w:t>5</w:t>
      </w:r>
    </w:p>
    <w:p w:rsidR="000B697D" w:rsidRPr="00E71080" w:rsidRDefault="000B697D" w:rsidP="00391399">
      <w:pPr>
        <w:pStyle w:val="Header"/>
        <w:tabs>
          <w:tab w:val="clear" w:pos="4320"/>
        </w:tabs>
        <w:spacing w:after="0"/>
        <w:ind w:left="5387"/>
        <w:rPr>
          <w:rFonts w:ascii="Arial" w:hAnsi="Arial" w:cs="Arial"/>
          <w:sz w:val="16"/>
          <w:szCs w:val="16"/>
          <w:lang w:val="de-DE"/>
        </w:rPr>
      </w:pPr>
      <w:r w:rsidRPr="00E71080">
        <w:rPr>
          <w:rFonts w:ascii="Arial" w:hAnsi="Arial" w:cs="Arial"/>
          <w:sz w:val="16"/>
          <w:szCs w:val="16"/>
          <w:lang w:val="de-DE"/>
        </w:rPr>
        <w:t>Or. DEUTSCH</w:t>
      </w:r>
    </w:p>
    <w:p w:rsidR="00A909D8" w:rsidRPr="00E71080" w:rsidRDefault="00A909D8" w:rsidP="000B697D">
      <w:pPr>
        <w:pStyle w:val="Header"/>
        <w:tabs>
          <w:tab w:val="clear" w:pos="4320"/>
          <w:tab w:val="left" w:pos="5387"/>
        </w:tabs>
        <w:spacing w:after="0"/>
        <w:rPr>
          <w:rFonts w:ascii="Arial" w:hAnsi="Arial" w:cs="Arial"/>
          <w:sz w:val="20"/>
          <w:lang w:val="de-DE"/>
        </w:rPr>
      </w:pPr>
    </w:p>
    <w:p w:rsidR="00A909D8" w:rsidRPr="00E71080" w:rsidRDefault="00A909D8" w:rsidP="00942BC4">
      <w:pPr>
        <w:spacing w:after="0"/>
        <w:rPr>
          <w:rFonts w:ascii="Arial" w:hAnsi="Arial" w:cs="Arial"/>
          <w:sz w:val="20"/>
          <w:lang w:val="de-DE"/>
        </w:rPr>
      </w:pPr>
    </w:p>
    <w:p w:rsidR="00A909D8" w:rsidRPr="004C730B" w:rsidRDefault="00A909D8" w:rsidP="00192271">
      <w:pPr>
        <w:tabs>
          <w:tab w:val="left" w:pos="2977"/>
        </w:tabs>
        <w:spacing w:after="0"/>
        <w:ind w:left="4253"/>
        <w:rPr>
          <w:rFonts w:ascii="Arial" w:hAnsi="Arial" w:cs="Arial"/>
          <w:sz w:val="14"/>
          <w:szCs w:val="14"/>
          <w:lang w:val="de-DE"/>
        </w:rPr>
      </w:pPr>
      <w:r w:rsidRPr="004C730B">
        <w:rPr>
          <w:rFonts w:ascii="Arial" w:hAnsi="Arial" w:cs="Arial"/>
          <w:sz w:val="14"/>
          <w:szCs w:val="14"/>
          <w:lang w:val="de-DE"/>
        </w:rPr>
        <w:t>GEMEINSAME EXPERTENTAGUNG FÜR DIE DEM</w:t>
      </w:r>
    </w:p>
    <w:p w:rsidR="00A909D8" w:rsidRPr="004C730B" w:rsidRDefault="00A909D8" w:rsidP="00192271">
      <w:pPr>
        <w:tabs>
          <w:tab w:val="left" w:pos="2977"/>
        </w:tabs>
        <w:spacing w:after="0"/>
        <w:ind w:left="4253"/>
        <w:rPr>
          <w:rFonts w:ascii="Arial" w:hAnsi="Arial" w:cs="Arial"/>
          <w:sz w:val="14"/>
          <w:szCs w:val="14"/>
          <w:lang w:val="de-DE"/>
        </w:rPr>
      </w:pPr>
      <w:r w:rsidRPr="004C730B">
        <w:rPr>
          <w:rFonts w:ascii="Arial" w:hAnsi="Arial" w:cs="Arial"/>
          <w:sz w:val="14"/>
          <w:szCs w:val="14"/>
          <w:lang w:val="de-DE"/>
        </w:rPr>
        <w:t>ÜBEREINKOMMEN ÜBER DIE INTERNATIONALE BEFÖRDERUNG</w:t>
      </w:r>
    </w:p>
    <w:p w:rsidR="00A909D8" w:rsidRPr="004C730B" w:rsidRDefault="00A909D8" w:rsidP="00192271">
      <w:pPr>
        <w:tabs>
          <w:tab w:val="left" w:pos="2977"/>
        </w:tabs>
        <w:spacing w:after="0"/>
        <w:ind w:left="4253"/>
        <w:rPr>
          <w:rFonts w:ascii="Arial" w:hAnsi="Arial" w:cs="Arial"/>
          <w:sz w:val="14"/>
          <w:szCs w:val="14"/>
          <w:lang w:val="de-DE"/>
        </w:rPr>
      </w:pPr>
      <w:r w:rsidRPr="004C730B">
        <w:rPr>
          <w:rFonts w:ascii="Arial" w:hAnsi="Arial" w:cs="Arial"/>
          <w:sz w:val="14"/>
          <w:szCs w:val="14"/>
          <w:lang w:val="de-DE"/>
        </w:rPr>
        <w:t>VON GEFÄHRLICHEN GÜTERN AUF BINNENWASSERSTRASSEN</w:t>
      </w:r>
    </w:p>
    <w:p w:rsidR="00A909D8" w:rsidRPr="004C730B" w:rsidRDefault="00A909D8" w:rsidP="00192271">
      <w:pPr>
        <w:tabs>
          <w:tab w:val="left" w:pos="2977"/>
        </w:tabs>
        <w:spacing w:after="0"/>
        <w:ind w:left="4253"/>
        <w:rPr>
          <w:rFonts w:ascii="Arial" w:hAnsi="Arial" w:cs="Arial"/>
          <w:position w:val="2"/>
          <w:sz w:val="14"/>
          <w:szCs w:val="14"/>
          <w:lang w:val="de-DE"/>
        </w:rPr>
      </w:pPr>
      <w:r w:rsidRPr="004C730B">
        <w:rPr>
          <w:rFonts w:ascii="Arial" w:hAnsi="Arial" w:cs="Arial"/>
          <w:sz w:val="14"/>
          <w:szCs w:val="14"/>
          <w:lang w:val="de-DE"/>
        </w:rPr>
        <w:t>BEIGEFÜGTE VERORDNUNG (ADN)</w:t>
      </w:r>
    </w:p>
    <w:p w:rsidR="00A909D8" w:rsidRPr="004C730B" w:rsidRDefault="00A909D8" w:rsidP="00192271">
      <w:pPr>
        <w:tabs>
          <w:tab w:val="left" w:pos="2977"/>
        </w:tabs>
        <w:spacing w:after="0"/>
        <w:ind w:left="4253"/>
        <w:rPr>
          <w:rFonts w:ascii="Arial" w:hAnsi="Arial" w:cs="Arial"/>
          <w:sz w:val="14"/>
          <w:szCs w:val="14"/>
          <w:lang w:val="de-DE"/>
        </w:rPr>
      </w:pPr>
      <w:r w:rsidRPr="004C730B">
        <w:rPr>
          <w:rFonts w:ascii="Arial" w:hAnsi="Arial" w:cs="Arial"/>
          <w:position w:val="2"/>
          <w:sz w:val="14"/>
          <w:szCs w:val="14"/>
          <w:lang w:val="de-DE"/>
        </w:rPr>
        <w:t>(SICHERHEITSAUSSCHUSS)</w:t>
      </w:r>
    </w:p>
    <w:p w:rsidR="00A909D8" w:rsidRPr="004C730B" w:rsidRDefault="00905493" w:rsidP="00192271">
      <w:pPr>
        <w:tabs>
          <w:tab w:val="left" w:pos="2977"/>
        </w:tabs>
        <w:spacing w:after="0"/>
        <w:ind w:left="4253"/>
        <w:rPr>
          <w:rFonts w:ascii="Arial" w:hAnsi="Arial" w:cs="Arial"/>
          <w:sz w:val="14"/>
          <w:szCs w:val="14"/>
          <w:lang w:val="de-DE"/>
        </w:rPr>
      </w:pPr>
      <w:r w:rsidRPr="004C730B">
        <w:rPr>
          <w:rFonts w:ascii="Arial" w:hAnsi="Arial" w:cs="Arial"/>
          <w:sz w:val="14"/>
          <w:szCs w:val="14"/>
          <w:lang w:val="de-DE"/>
        </w:rPr>
        <w:t>(</w:t>
      </w:r>
      <w:r w:rsidR="00BD02CA" w:rsidRPr="004C730B">
        <w:rPr>
          <w:rFonts w:ascii="Arial" w:hAnsi="Arial" w:cs="Arial"/>
          <w:sz w:val="14"/>
          <w:szCs w:val="14"/>
          <w:lang w:val="de-DE"/>
        </w:rPr>
        <w:t>2</w:t>
      </w:r>
      <w:r w:rsidR="00377B53">
        <w:rPr>
          <w:rFonts w:ascii="Arial" w:hAnsi="Arial" w:cs="Arial"/>
          <w:sz w:val="14"/>
          <w:szCs w:val="14"/>
          <w:lang w:val="de-DE"/>
        </w:rPr>
        <w:t>7</w:t>
      </w:r>
      <w:r w:rsidRPr="004C730B">
        <w:rPr>
          <w:rFonts w:ascii="Arial" w:hAnsi="Arial" w:cs="Arial"/>
          <w:sz w:val="14"/>
          <w:szCs w:val="14"/>
          <w:lang w:val="de-DE"/>
        </w:rPr>
        <w:t>. Tagung, Genf, 2</w:t>
      </w:r>
      <w:r w:rsidR="00377B53">
        <w:rPr>
          <w:rFonts w:ascii="Arial" w:hAnsi="Arial" w:cs="Arial"/>
          <w:sz w:val="14"/>
          <w:szCs w:val="14"/>
          <w:lang w:val="de-DE"/>
        </w:rPr>
        <w:t>4</w:t>
      </w:r>
      <w:r w:rsidRPr="004C730B">
        <w:rPr>
          <w:rFonts w:ascii="Arial" w:hAnsi="Arial" w:cs="Arial"/>
          <w:sz w:val="14"/>
          <w:szCs w:val="14"/>
          <w:lang w:val="de-DE"/>
        </w:rPr>
        <w:t xml:space="preserve">. bis </w:t>
      </w:r>
      <w:r w:rsidR="005E450E">
        <w:rPr>
          <w:rFonts w:ascii="Arial" w:hAnsi="Arial" w:cs="Arial"/>
          <w:sz w:val="14"/>
          <w:szCs w:val="14"/>
          <w:lang w:val="de-DE"/>
        </w:rPr>
        <w:t>2</w:t>
      </w:r>
      <w:r w:rsidR="00377B53">
        <w:rPr>
          <w:rFonts w:ascii="Arial" w:hAnsi="Arial" w:cs="Arial"/>
          <w:sz w:val="14"/>
          <w:szCs w:val="14"/>
          <w:lang w:val="de-DE"/>
        </w:rPr>
        <w:t>8</w:t>
      </w:r>
      <w:r w:rsidRPr="004C730B">
        <w:rPr>
          <w:rFonts w:ascii="Arial" w:hAnsi="Arial" w:cs="Arial"/>
          <w:sz w:val="14"/>
          <w:szCs w:val="14"/>
          <w:lang w:val="de-DE"/>
        </w:rPr>
        <w:t xml:space="preserve">. </w:t>
      </w:r>
      <w:r w:rsidR="00115689" w:rsidRPr="004C730B">
        <w:rPr>
          <w:rFonts w:ascii="Arial" w:hAnsi="Arial" w:cs="Arial"/>
          <w:sz w:val="14"/>
          <w:szCs w:val="14"/>
          <w:lang w:val="de-DE"/>
        </w:rPr>
        <w:t>August</w:t>
      </w:r>
      <w:r w:rsidRPr="004C730B">
        <w:rPr>
          <w:rFonts w:ascii="Arial" w:hAnsi="Arial" w:cs="Arial"/>
          <w:sz w:val="14"/>
          <w:szCs w:val="14"/>
          <w:lang w:val="de-DE"/>
        </w:rPr>
        <w:t xml:space="preserve"> 201</w:t>
      </w:r>
      <w:r w:rsidR="00377B53">
        <w:rPr>
          <w:rFonts w:ascii="Arial" w:hAnsi="Arial" w:cs="Arial"/>
          <w:sz w:val="14"/>
          <w:szCs w:val="14"/>
          <w:lang w:val="de-DE"/>
        </w:rPr>
        <w:t>5</w:t>
      </w:r>
      <w:r w:rsidR="00A909D8" w:rsidRPr="004C730B">
        <w:rPr>
          <w:rFonts w:ascii="Arial" w:hAnsi="Arial" w:cs="Arial"/>
          <w:sz w:val="14"/>
          <w:szCs w:val="14"/>
          <w:lang w:val="de-DE"/>
        </w:rPr>
        <w:t>)</w:t>
      </w:r>
    </w:p>
    <w:p w:rsidR="00A909D8" w:rsidRPr="004C730B" w:rsidRDefault="00905493" w:rsidP="00192271">
      <w:pPr>
        <w:tabs>
          <w:tab w:val="left" w:pos="2977"/>
        </w:tabs>
        <w:spacing w:after="0"/>
        <w:ind w:left="4253"/>
        <w:rPr>
          <w:rFonts w:ascii="Arial" w:hAnsi="Arial" w:cs="Arial"/>
          <w:sz w:val="14"/>
          <w:szCs w:val="14"/>
          <w:lang w:val="de-DE"/>
        </w:rPr>
      </w:pPr>
      <w:r w:rsidRPr="004C730B">
        <w:rPr>
          <w:rFonts w:ascii="Arial" w:hAnsi="Arial" w:cs="Arial"/>
          <w:sz w:val="14"/>
          <w:szCs w:val="14"/>
          <w:lang w:val="de-DE"/>
        </w:rPr>
        <w:t>Punkt</w:t>
      </w:r>
      <w:r w:rsidR="00BC51C3" w:rsidRPr="004C730B">
        <w:rPr>
          <w:rFonts w:ascii="Arial" w:hAnsi="Arial" w:cs="Arial"/>
          <w:sz w:val="14"/>
          <w:szCs w:val="14"/>
          <w:lang w:val="de-DE"/>
        </w:rPr>
        <w:t xml:space="preserve"> 4 b)</w:t>
      </w:r>
      <w:r w:rsidR="00A909D8" w:rsidRPr="004C730B">
        <w:rPr>
          <w:rFonts w:ascii="Arial" w:hAnsi="Arial" w:cs="Arial"/>
          <w:sz w:val="14"/>
          <w:szCs w:val="14"/>
          <w:lang w:val="de-DE"/>
        </w:rPr>
        <w:t xml:space="preserve"> zur vorläufigen Tagesordnung</w:t>
      </w:r>
    </w:p>
    <w:p w:rsidR="00A909D8" w:rsidRPr="00192271" w:rsidRDefault="00A909D8" w:rsidP="00192271">
      <w:pPr>
        <w:spacing w:after="0"/>
        <w:ind w:left="4253"/>
        <w:rPr>
          <w:rFonts w:ascii="Arial" w:hAnsi="Arial" w:cs="Arial"/>
          <w:sz w:val="16"/>
          <w:szCs w:val="16"/>
          <w:lang w:val="de-DE"/>
        </w:rPr>
      </w:pPr>
    </w:p>
    <w:p w:rsidR="00A909D8" w:rsidRPr="00942BC4" w:rsidRDefault="00A909D8" w:rsidP="00942BC4">
      <w:pPr>
        <w:spacing w:after="0"/>
        <w:rPr>
          <w:rFonts w:ascii="Arial" w:hAnsi="Arial" w:cs="Arial"/>
          <w:b/>
          <w:sz w:val="20"/>
          <w:lang w:val="de-DE"/>
        </w:rPr>
      </w:pPr>
    </w:p>
    <w:p w:rsidR="00A909D8" w:rsidRPr="00942BC4" w:rsidRDefault="00A909D8" w:rsidP="00942BC4">
      <w:pPr>
        <w:spacing w:after="0"/>
        <w:rPr>
          <w:rFonts w:ascii="Arial" w:hAnsi="Arial" w:cs="Arial"/>
          <w:sz w:val="20"/>
          <w:lang w:val="de-DE"/>
        </w:rPr>
      </w:pPr>
    </w:p>
    <w:p w:rsidR="00A909D8" w:rsidRPr="000B697D" w:rsidRDefault="00095C4F" w:rsidP="000B697D">
      <w:pPr>
        <w:spacing w:after="0"/>
        <w:ind w:left="1134"/>
        <w:rPr>
          <w:sz w:val="20"/>
          <w:u w:val="single"/>
          <w:lang w:val="de-DE"/>
        </w:rPr>
      </w:pPr>
      <w:bookmarkStart w:id="1" w:name="OLE_LINK9"/>
      <w:bookmarkStart w:id="2" w:name="OLE_LINK10"/>
      <w:r>
        <w:rPr>
          <w:b/>
          <w:bCs/>
          <w:sz w:val="28"/>
          <w:szCs w:val="28"/>
          <w:lang w:val="de-DE" w:eastAsia="fr-FR"/>
        </w:rPr>
        <w:t>Protokoll</w:t>
      </w:r>
      <w:r w:rsidR="006F6522" w:rsidRPr="000B697D">
        <w:rPr>
          <w:b/>
          <w:bCs/>
          <w:sz w:val="28"/>
          <w:szCs w:val="28"/>
          <w:lang w:val="de-DE" w:eastAsia="fr-FR"/>
        </w:rPr>
        <w:t xml:space="preserve"> über die </w:t>
      </w:r>
      <w:r w:rsidR="005E450E">
        <w:rPr>
          <w:b/>
          <w:bCs/>
          <w:sz w:val="28"/>
          <w:szCs w:val="28"/>
          <w:lang w:val="de-DE" w:eastAsia="fr-FR"/>
        </w:rPr>
        <w:t>7</w:t>
      </w:r>
      <w:r w:rsidR="006F6522" w:rsidRPr="000B697D">
        <w:rPr>
          <w:b/>
          <w:bCs/>
          <w:sz w:val="28"/>
          <w:szCs w:val="28"/>
          <w:lang w:val="de-DE" w:eastAsia="fr-FR"/>
        </w:rPr>
        <w:t xml:space="preserve">. Sitzung </w:t>
      </w:r>
      <w:r w:rsidR="00377B53">
        <w:rPr>
          <w:b/>
          <w:bCs/>
          <w:sz w:val="28"/>
          <w:szCs w:val="28"/>
          <w:lang w:val="de-DE" w:eastAsia="fr-FR"/>
        </w:rPr>
        <w:t xml:space="preserve">und die 8. Sitzung </w:t>
      </w:r>
      <w:r w:rsidR="006F6522" w:rsidRPr="000B697D">
        <w:rPr>
          <w:b/>
          <w:bCs/>
          <w:sz w:val="28"/>
          <w:szCs w:val="28"/>
          <w:lang w:val="de-DE" w:eastAsia="fr-FR"/>
        </w:rPr>
        <w:t xml:space="preserve">der Informellen Arbeitsgruppe „Stoffe“ </w:t>
      </w:r>
      <w:bookmarkEnd w:id="1"/>
      <w:bookmarkEnd w:id="2"/>
    </w:p>
    <w:p w:rsidR="00A909D8" w:rsidRPr="000B697D" w:rsidRDefault="00A909D8" w:rsidP="000B697D">
      <w:pPr>
        <w:spacing w:after="0" w:line="360" w:lineRule="auto"/>
        <w:ind w:left="1134"/>
        <w:rPr>
          <w:sz w:val="20"/>
          <w:lang w:val="de-DE"/>
        </w:rPr>
      </w:pPr>
    </w:p>
    <w:p w:rsidR="00BC51C3" w:rsidRPr="000B697D" w:rsidRDefault="00905493" w:rsidP="000B697D">
      <w:pPr>
        <w:suppressAutoHyphens/>
        <w:spacing w:after="0" w:line="240" w:lineRule="atLeast"/>
        <w:ind w:left="1134"/>
        <w:rPr>
          <w:sz w:val="20"/>
          <w:vertAlign w:val="superscript"/>
          <w:lang w:val="de-DE"/>
        </w:rPr>
      </w:pPr>
      <w:r w:rsidRPr="000B697D">
        <w:rPr>
          <w:b/>
          <w:szCs w:val="24"/>
          <w:lang w:val="de-DE"/>
        </w:rPr>
        <w:t xml:space="preserve">Eingereicht </w:t>
      </w:r>
      <w:r w:rsidR="00AF42C7" w:rsidRPr="000B697D">
        <w:rPr>
          <w:b/>
          <w:szCs w:val="24"/>
          <w:lang w:val="de-DE"/>
        </w:rPr>
        <w:t xml:space="preserve">durch die </w:t>
      </w:r>
      <w:r w:rsidR="00E24726" w:rsidRPr="000B697D">
        <w:rPr>
          <w:b/>
          <w:szCs w:val="24"/>
          <w:lang w:val="de-DE"/>
        </w:rPr>
        <w:t>Zentralkommission für die Rheinschi</w:t>
      </w:r>
      <w:r w:rsidR="006215A8" w:rsidRPr="000B697D">
        <w:rPr>
          <w:b/>
          <w:szCs w:val="24"/>
          <w:lang w:val="de-DE"/>
        </w:rPr>
        <w:t>f</w:t>
      </w:r>
      <w:r w:rsidR="00E24726" w:rsidRPr="000B697D">
        <w:rPr>
          <w:b/>
          <w:szCs w:val="24"/>
          <w:lang w:val="de-DE"/>
        </w:rPr>
        <w:t>ffahrt (ZKR)</w:t>
      </w:r>
      <w:r w:rsidR="00095C4F">
        <w:rPr>
          <w:rStyle w:val="FootnoteReference"/>
          <w:b w:val="0"/>
          <w:szCs w:val="24"/>
          <w:lang w:val="de-DE"/>
        </w:rPr>
        <w:footnoteReference w:id="2"/>
      </w:r>
      <w:r w:rsidR="00BC51C3" w:rsidRPr="000B697D">
        <w:rPr>
          <w:sz w:val="20"/>
          <w:lang w:val="de-DE"/>
        </w:rPr>
        <w:t xml:space="preserve"> </w:t>
      </w:r>
    </w:p>
    <w:p w:rsidR="00A909D8" w:rsidRPr="000B697D" w:rsidRDefault="00A909D8" w:rsidP="000B697D">
      <w:pPr>
        <w:suppressAutoHyphens/>
        <w:spacing w:after="0"/>
        <w:ind w:left="1134"/>
        <w:rPr>
          <w:sz w:val="20"/>
          <w:u w:val="single"/>
          <w:lang w:val="de-DE"/>
        </w:rPr>
      </w:pPr>
    </w:p>
    <w:p w:rsidR="00A909D8" w:rsidRPr="000B697D" w:rsidRDefault="00A909D8" w:rsidP="004C730B">
      <w:pPr>
        <w:spacing w:after="0" w:line="360" w:lineRule="auto"/>
        <w:ind w:right="566"/>
        <w:rPr>
          <w:sz w:val="20"/>
          <w:lang w:val="de-DE"/>
        </w:rPr>
      </w:pPr>
    </w:p>
    <w:p w:rsidR="00A24DD5" w:rsidRPr="005A1DA4" w:rsidRDefault="00A909D8" w:rsidP="004C730B">
      <w:pPr>
        <w:autoSpaceDE w:val="0"/>
        <w:autoSpaceDN w:val="0"/>
        <w:adjustRightInd w:val="0"/>
        <w:spacing w:after="0"/>
        <w:ind w:right="566"/>
        <w:rPr>
          <w:b/>
          <w:sz w:val="28"/>
          <w:szCs w:val="28"/>
          <w:lang w:val="de-DE"/>
        </w:rPr>
      </w:pPr>
      <w:r w:rsidRPr="005A1DA4">
        <w:rPr>
          <w:b/>
          <w:sz w:val="28"/>
          <w:szCs w:val="28"/>
          <w:lang w:val="de-DE"/>
        </w:rPr>
        <w:t>Einleitung</w:t>
      </w:r>
    </w:p>
    <w:p w:rsidR="00A24DD5" w:rsidRPr="000B697D" w:rsidRDefault="00A24DD5" w:rsidP="004C730B">
      <w:pPr>
        <w:autoSpaceDE w:val="0"/>
        <w:autoSpaceDN w:val="0"/>
        <w:adjustRightInd w:val="0"/>
        <w:spacing w:after="0"/>
        <w:ind w:right="566"/>
        <w:rPr>
          <w:sz w:val="20"/>
          <w:lang w:val="de-DE"/>
        </w:rPr>
      </w:pPr>
    </w:p>
    <w:p w:rsidR="00377B53" w:rsidRDefault="00377B53" w:rsidP="00377B53">
      <w:pPr>
        <w:spacing w:after="0"/>
        <w:ind w:right="566"/>
        <w:jc w:val="both"/>
        <w:rPr>
          <w:sz w:val="20"/>
          <w:lang w:val="de-DE"/>
        </w:rPr>
      </w:pPr>
      <w:r w:rsidRPr="00377B53">
        <w:rPr>
          <w:sz w:val="20"/>
          <w:lang w:val="de-DE"/>
        </w:rPr>
        <w:t>1.</w:t>
      </w:r>
      <w:r>
        <w:rPr>
          <w:sz w:val="20"/>
          <w:lang w:val="de-DE"/>
        </w:rPr>
        <w:tab/>
      </w:r>
      <w:r w:rsidR="006F6522" w:rsidRPr="000B697D">
        <w:rPr>
          <w:sz w:val="20"/>
          <w:lang w:val="de-DE"/>
        </w:rPr>
        <w:t xml:space="preserve">Die </w:t>
      </w:r>
      <w:r w:rsidR="004F6F62" w:rsidRPr="000B697D">
        <w:rPr>
          <w:sz w:val="20"/>
          <w:lang w:val="de-DE"/>
        </w:rPr>
        <w:t>s</w:t>
      </w:r>
      <w:r w:rsidR="005E450E">
        <w:rPr>
          <w:sz w:val="20"/>
          <w:lang w:val="de-DE"/>
        </w:rPr>
        <w:t>i</w:t>
      </w:r>
      <w:r w:rsidR="004F6F62" w:rsidRPr="000B697D">
        <w:rPr>
          <w:sz w:val="20"/>
          <w:lang w:val="de-DE"/>
        </w:rPr>
        <w:t>e</w:t>
      </w:r>
      <w:r w:rsidR="005E450E">
        <w:rPr>
          <w:sz w:val="20"/>
          <w:lang w:val="de-DE"/>
        </w:rPr>
        <w:t>b</w:t>
      </w:r>
      <w:r w:rsidR="004F6F62" w:rsidRPr="000B697D">
        <w:rPr>
          <w:sz w:val="20"/>
          <w:lang w:val="de-DE"/>
        </w:rPr>
        <w:t>te</w:t>
      </w:r>
      <w:r w:rsidR="006F6522" w:rsidRPr="000B697D">
        <w:rPr>
          <w:sz w:val="20"/>
          <w:lang w:val="de-DE"/>
        </w:rPr>
        <w:t xml:space="preserve"> Sitzung der Informellen Arbeitsgruppe „Stoffe“ fand am </w:t>
      </w:r>
      <w:r w:rsidR="004F6F62" w:rsidRPr="000B697D">
        <w:rPr>
          <w:sz w:val="20"/>
          <w:lang w:val="de-DE"/>
        </w:rPr>
        <w:t>1</w:t>
      </w:r>
      <w:r w:rsidR="005E450E">
        <w:rPr>
          <w:sz w:val="20"/>
          <w:lang w:val="de-DE"/>
        </w:rPr>
        <w:t>7</w:t>
      </w:r>
      <w:r w:rsidR="00E24726" w:rsidRPr="000B697D">
        <w:rPr>
          <w:sz w:val="20"/>
          <w:lang w:val="de-DE"/>
        </w:rPr>
        <w:t xml:space="preserve">. und </w:t>
      </w:r>
      <w:r w:rsidR="005E450E">
        <w:rPr>
          <w:sz w:val="20"/>
          <w:lang w:val="de-DE"/>
        </w:rPr>
        <w:t>18</w:t>
      </w:r>
      <w:r w:rsidR="00E24726" w:rsidRPr="000B697D">
        <w:rPr>
          <w:sz w:val="20"/>
          <w:lang w:val="de-DE"/>
        </w:rPr>
        <w:t xml:space="preserve">. </w:t>
      </w:r>
      <w:r w:rsidR="004F6F62" w:rsidRPr="000B697D">
        <w:rPr>
          <w:sz w:val="20"/>
          <w:lang w:val="de-DE"/>
        </w:rPr>
        <w:t>März</w:t>
      </w:r>
      <w:r w:rsidR="00E24726" w:rsidRPr="000B697D">
        <w:rPr>
          <w:sz w:val="20"/>
          <w:lang w:val="de-DE"/>
        </w:rPr>
        <w:t xml:space="preserve"> 20</w:t>
      </w:r>
      <w:r w:rsidR="006F6522" w:rsidRPr="000B697D">
        <w:rPr>
          <w:sz w:val="20"/>
          <w:lang w:val="de-DE"/>
        </w:rPr>
        <w:t>1</w:t>
      </w:r>
      <w:r w:rsidR="005E450E">
        <w:rPr>
          <w:sz w:val="20"/>
          <w:lang w:val="de-DE"/>
        </w:rPr>
        <w:t>4</w:t>
      </w:r>
      <w:r w:rsidR="006F6522" w:rsidRPr="000B697D">
        <w:rPr>
          <w:sz w:val="20"/>
          <w:lang w:val="de-DE"/>
        </w:rPr>
        <w:t xml:space="preserve"> in </w:t>
      </w:r>
      <w:r w:rsidR="00E24726" w:rsidRPr="000B697D">
        <w:rPr>
          <w:sz w:val="20"/>
          <w:lang w:val="de-DE"/>
        </w:rPr>
        <w:t xml:space="preserve">Straßburg im Rheinpalais </w:t>
      </w:r>
      <w:r w:rsidR="006F6522" w:rsidRPr="000B697D">
        <w:rPr>
          <w:sz w:val="20"/>
          <w:lang w:val="de-DE"/>
        </w:rPr>
        <w:t xml:space="preserve">auf Einladung der Zentralkommission für Rheinschifffahrt (ZKR) statt. </w:t>
      </w:r>
      <w:r>
        <w:rPr>
          <w:sz w:val="20"/>
          <w:lang w:val="de-DE"/>
        </w:rPr>
        <w:t>Bei der Erstellung des Berichts wurde festgestellt, dass einige Ergebnisse nicht vollständig oder nicht korrekt waren. Deshalb wurde entschieden, diese Themen nochmals im Rahmen der achten Sitzung der Informellen Arbeitsgruppe</w:t>
      </w:r>
      <w:r w:rsidR="00670847">
        <w:rPr>
          <w:sz w:val="20"/>
          <w:lang w:val="de-DE"/>
        </w:rPr>
        <w:t xml:space="preserve"> „Stoffe“, die am 19. und 20. März 2015 in Straßburg stattfand, </w:t>
      </w:r>
      <w:r>
        <w:rPr>
          <w:sz w:val="20"/>
          <w:lang w:val="de-DE"/>
        </w:rPr>
        <w:t>zu besprechen und die Ergebnisse in einem zusammengefassten Bericht vorzulegen.</w:t>
      </w:r>
    </w:p>
    <w:p w:rsidR="00377B53" w:rsidRDefault="00377B53" w:rsidP="00377B53">
      <w:pPr>
        <w:spacing w:after="0"/>
        <w:ind w:right="566"/>
        <w:jc w:val="both"/>
        <w:rPr>
          <w:sz w:val="20"/>
          <w:lang w:val="de-DE"/>
        </w:rPr>
      </w:pPr>
    </w:p>
    <w:p w:rsidR="00B95A46" w:rsidRDefault="00670847" w:rsidP="00377B53">
      <w:pPr>
        <w:spacing w:after="0"/>
        <w:ind w:right="566"/>
        <w:jc w:val="both"/>
        <w:rPr>
          <w:sz w:val="20"/>
          <w:lang w:val="de-DE"/>
        </w:rPr>
      </w:pPr>
      <w:r>
        <w:rPr>
          <w:sz w:val="20"/>
          <w:lang w:val="de-DE"/>
        </w:rPr>
        <w:t>2.</w:t>
      </w:r>
      <w:r>
        <w:rPr>
          <w:sz w:val="20"/>
          <w:lang w:val="de-DE"/>
        </w:rPr>
        <w:tab/>
      </w:r>
      <w:r w:rsidR="006F6522" w:rsidRPr="000B697D">
        <w:rPr>
          <w:sz w:val="20"/>
          <w:lang w:val="de-DE"/>
        </w:rPr>
        <w:t>A</w:t>
      </w:r>
      <w:r w:rsidR="00AF42C7" w:rsidRPr="000B697D">
        <w:rPr>
          <w:sz w:val="20"/>
          <w:lang w:val="de-DE"/>
        </w:rPr>
        <w:t xml:space="preserve">n der </w:t>
      </w:r>
      <w:r>
        <w:rPr>
          <w:sz w:val="20"/>
          <w:lang w:val="de-DE"/>
        </w:rPr>
        <w:t xml:space="preserve">siebten </w:t>
      </w:r>
      <w:r w:rsidR="00AF42C7" w:rsidRPr="000B697D">
        <w:rPr>
          <w:sz w:val="20"/>
          <w:lang w:val="de-DE"/>
        </w:rPr>
        <w:t xml:space="preserve">Sitzung </w:t>
      </w:r>
      <w:r w:rsidR="006F6522" w:rsidRPr="000B697D">
        <w:rPr>
          <w:sz w:val="20"/>
          <w:lang w:val="de-DE"/>
        </w:rPr>
        <w:t>nahmen teil:</w:t>
      </w:r>
      <w:r w:rsidR="006929E3">
        <w:rPr>
          <w:sz w:val="20"/>
          <w:lang w:val="de-DE"/>
        </w:rPr>
        <w:t xml:space="preserve"> F</w:t>
      </w:r>
      <w:r w:rsidR="00E24726" w:rsidRPr="000B697D">
        <w:rPr>
          <w:sz w:val="20"/>
          <w:lang w:val="de-DE"/>
        </w:rPr>
        <w:t>rau Adebahr-Lindner (Deutschland)</w:t>
      </w:r>
      <w:r w:rsidR="006929E3">
        <w:rPr>
          <w:sz w:val="20"/>
          <w:lang w:val="de-DE"/>
        </w:rPr>
        <w:t xml:space="preserve">, </w:t>
      </w:r>
      <w:r w:rsidR="0087790A">
        <w:rPr>
          <w:sz w:val="20"/>
          <w:lang w:val="de-DE"/>
        </w:rPr>
        <w:t xml:space="preserve">Frau Dr. Brandes (Deutschland), Herr Bürgi (Schweiz); </w:t>
      </w:r>
      <w:r w:rsidR="00B95A46" w:rsidRPr="000B697D">
        <w:rPr>
          <w:sz w:val="20"/>
          <w:lang w:val="de-DE"/>
        </w:rPr>
        <w:t>Frau</w:t>
      </w:r>
      <w:r w:rsidR="005A1DA4">
        <w:rPr>
          <w:sz w:val="20"/>
          <w:lang w:val="de-DE"/>
        </w:rPr>
        <w:t> </w:t>
      </w:r>
      <w:r w:rsidR="00B95A46" w:rsidRPr="000B697D">
        <w:rPr>
          <w:sz w:val="20"/>
          <w:lang w:val="de-DE"/>
        </w:rPr>
        <w:t>Dr. Kraeh (CEFIC)</w:t>
      </w:r>
      <w:r w:rsidR="006929E3">
        <w:rPr>
          <w:sz w:val="20"/>
          <w:lang w:val="de-DE"/>
        </w:rPr>
        <w:t xml:space="preserve">, </w:t>
      </w:r>
      <w:r w:rsidR="00B95A46" w:rsidRPr="000B697D">
        <w:rPr>
          <w:sz w:val="20"/>
          <w:lang w:val="de-DE"/>
        </w:rPr>
        <w:t>Herr Krischok (Deutschland, Vorsitzender)</w:t>
      </w:r>
      <w:r w:rsidR="006929E3">
        <w:rPr>
          <w:sz w:val="20"/>
          <w:lang w:val="de-DE"/>
        </w:rPr>
        <w:t xml:space="preserve">, </w:t>
      </w:r>
      <w:r w:rsidR="00B16AF5" w:rsidRPr="000B697D">
        <w:rPr>
          <w:sz w:val="20"/>
          <w:lang w:val="de-DE"/>
        </w:rPr>
        <w:t>Herr van Lancker (Belgien)</w:t>
      </w:r>
      <w:r w:rsidR="006929E3">
        <w:rPr>
          <w:sz w:val="20"/>
          <w:lang w:val="de-DE"/>
        </w:rPr>
        <w:t xml:space="preserve">, </w:t>
      </w:r>
      <w:r w:rsidR="00B16AF5" w:rsidRPr="000B697D">
        <w:rPr>
          <w:sz w:val="20"/>
          <w:lang w:val="de-DE"/>
        </w:rPr>
        <w:t>Herr de Maat (Niederlande)</w:t>
      </w:r>
      <w:r w:rsidR="0087790A">
        <w:rPr>
          <w:sz w:val="20"/>
          <w:lang w:val="de-DE"/>
        </w:rPr>
        <w:t xml:space="preserve"> und</w:t>
      </w:r>
      <w:r w:rsidR="006929E3">
        <w:rPr>
          <w:sz w:val="20"/>
          <w:lang w:val="de-DE"/>
        </w:rPr>
        <w:t xml:space="preserve"> H</w:t>
      </w:r>
      <w:r w:rsidR="00B16AF5" w:rsidRPr="000B697D">
        <w:rPr>
          <w:sz w:val="20"/>
          <w:lang w:val="de-DE"/>
        </w:rPr>
        <w:t>err Vinke (Lloyd’s Register)</w:t>
      </w:r>
      <w:r w:rsidR="00B95A46" w:rsidRPr="000B697D">
        <w:rPr>
          <w:sz w:val="20"/>
          <w:lang w:val="de-DE"/>
        </w:rPr>
        <w:t>.</w:t>
      </w:r>
    </w:p>
    <w:p w:rsidR="00670847" w:rsidRDefault="00670847" w:rsidP="00377B53">
      <w:pPr>
        <w:spacing w:after="0"/>
        <w:ind w:right="566"/>
        <w:jc w:val="both"/>
        <w:rPr>
          <w:sz w:val="20"/>
          <w:lang w:val="de-DE"/>
        </w:rPr>
      </w:pPr>
    </w:p>
    <w:p w:rsidR="00670847" w:rsidRPr="000B697D" w:rsidRDefault="00670847" w:rsidP="00377B53">
      <w:pPr>
        <w:spacing w:after="0"/>
        <w:ind w:right="566"/>
        <w:jc w:val="both"/>
        <w:rPr>
          <w:sz w:val="20"/>
          <w:lang w:val="de-DE"/>
        </w:rPr>
      </w:pPr>
      <w:r>
        <w:rPr>
          <w:sz w:val="20"/>
          <w:lang w:val="de-DE"/>
        </w:rPr>
        <w:t>3.</w:t>
      </w:r>
      <w:r>
        <w:rPr>
          <w:sz w:val="20"/>
          <w:lang w:val="de-DE"/>
        </w:rPr>
        <w:tab/>
      </w:r>
      <w:r w:rsidRPr="000B697D">
        <w:rPr>
          <w:sz w:val="20"/>
          <w:lang w:val="de-DE"/>
        </w:rPr>
        <w:t xml:space="preserve">An der </w:t>
      </w:r>
      <w:r>
        <w:rPr>
          <w:sz w:val="20"/>
          <w:lang w:val="de-DE"/>
        </w:rPr>
        <w:t xml:space="preserve">achten </w:t>
      </w:r>
      <w:r w:rsidRPr="000B697D">
        <w:rPr>
          <w:sz w:val="20"/>
          <w:lang w:val="de-DE"/>
        </w:rPr>
        <w:t>Sitzung nahmen teil:</w:t>
      </w:r>
      <w:r>
        <w:rPr>
          <w:sz w:val="20"/>
          <w:lang w:val="de-DE"/>
        </w:rPr>
        <w:t xml:space="preserve"> </w:t>
      </w:r>
      <w:r w:rsidRPr="000B697D">
        <w:rPr>
          <w:sz w:val="20"/>
          <w:lang w:val="de-DE"/>
        </w:rPr>
        <w:t>Herr Ackermann (CEFIC)</w:t>
      </w:r>
      <w:r>
        <w:rPr>
          <w:sz w:val="20"/>
          <w:lang w:val="de-DE"/>
        </w:rPr>
        <w:t>, F</w:t>
      </w:r>
      <w:r w:rsidRPr="000B697D">
        <w:rPr>
          <w:sz w:val="20"/>
          <w:lang w:val="de-DE"/>
        </w:rPr>
        <w:t>rau Adebahr-Lindner (Deutschland)</w:t>
      </w:r>
      <w:r>
        <w:rPr>
          <w:sz w:val="20"/>
          <w:lang w:val="de-DE"/>
        </w:rPr>
        <w:t xml:space="preserve">, Frau Bouwman (Niederlande), Frau Dr. Brandes (Deutschland), Herr den Braven (Niederlande); </w:t>
      </w:r>
      <w:r w:rsidRPr="000B697D">
        <w:rPr>
          <w:sz w:val="20"/>
          <w:lang w:val="de-DE"/>
        </w:rPr>
        <w:t>Frau</w:t>
      </w:r>
      <w:r>
        <w:rPr>
          <w:sz w:val="20"/>
          <w:lang w:val="de-DE"/>
        </w:rPr>
        <w:t> </w:t>
      </w:r>
      <w:r w:rsidRPr="000B697D">
        <w:rPr>
          <w:sz w:val="20"/>
          <w:lang w:val="de-DE"/>
        </w:rPr>
        <w:t>Dr. Kraeh (CEFIC)</w:t>
      </w:r>
      <w:r>
        <w:rPr>
          <w:sz w:val="20"/>
          <w:lang w:val="de-DE"/>
        </w:rPr>
        <w:t xml:space="preserve">, </w:t>
      </w:r>
      <w:r w:rsidRPr="000B697D">
        <w:rPr>
          <w:sz w:val="20"/>
          <w:lang w:val="de-DE"/>
        </w:rPr>
        <w:t>Herr Krischok (Deutschland, Vorsitzender)</w:t>
      </w:r>
      <w:r>
        <w:rPr>
          <w:sz w:val="20"/>
          <w:lang w:val="de-DE"/>
        </w:rPr>
        <w:t xml:space="preserve">, </w:t>
      </w:r>
      <w:r w:rsidRPr="000B697D">
        <w:rPr>
          <w:sz w:val="20"/>
          <w:lang w:val="de-DE"/>
        </w:rPr>
        <w:t>Herr de Maat (Niederlande)</w:t>
      </w:r>
      <w:r>
        <w:rPr>
          <w:sz w:val="20"/>
          <w:lang w:val="de-DE"/>
        </w:rPr>
        <w:t>, Herr Vermeulen (Niederlande) und H</w:t>
      </w:r>
      <w:r w:rsidRPr="000B697D">
        <w:rPr>
          <w:sz w:val="20"/>
          <w:lang w:val="de-DE"/>
        </w:rPr>
        <w:t>err Vinke (Lloyd’s Register).</w:t>
      </w:r>
    </w:p>
    <w:p w:rsidR="00B95A46" w:rsidRPr="000B697D" w:rsidRDefault="00B95A46" w:rsidP="004C730B">
      <w:pPr>
        <w:spacing w:after="0"/>
        <w:ind w:right="566"/>
        <w:jc w:val="both"/>
        <w:rPr>
          <w:sz w:val="20"/>
          <w:lang w:val="de-DE"/>
        </w:rPr>
      </w:pPr>
    </w:p>
    <w:p w:rsidR="00BB27CA" w:rsidRPr="00815183" w:rsidRDefault="00BB27CA" w:rsidP="004C730B">
      <w:pPr>
        <w:spacing w:after="0"/>
        <w:ind w:right="566"/>
        <w:jc w:val="both"/>
        <w:rPr>
          <w:b/>
          <w:szCs w:val="24"/>
          <w:lang w:val="de-DE"/>
        </w:rPr>
      </w:pPr>
      <w:r w:rsidRPr="00815183">
        <w:rPr>
          <w:b/>
          <w:szCs w:val="24"/>
          <w:lang w:val="de-DE"/>
        </w:rPr>
        <w:t>Ergebnisse</w:t>
      </w:r>
    </w:p>
    <w:p w:rsidR="00BB27CA" w:rsidRPr="000B697D" w:rsidRDefault="00BB27CA" w:rsidP="004C730B">
      <w:pPr>
        <w:spacing w:after="0"/>
        <w:ind w:right="566"/>
        <w:jc w:val="both"/>
        <w:rPr>
          <w:sz w:val="20"/>
          <w:lang w:val="de-DE"/>
        </w:rPr>
      </w:pPr>
    </w:p>
    <w:p w:rsidR="00905493" w:rsidRPr="000B697D" w:rsidRDefault="00670847" w:rsidP="004C730B">
      <w:pPr>
        <w:spacing w:after="0"/>
        <w:ind w:right="566"/>
        <w:jc w:val="both"/>
        <w:rPr>
          <w:sz w:val="20"/>
          <w:lang w:val="de-DE"/>
        </w:rPr>
      </w:pPr>
      <w:r>
        <w:rPr>
          <w:sz w:val="20"/>
          <w:lang w:val="de-DE"/>
        </w:rPr>
        <w:t>4</w:t>
      </w:r>
      <w:r w:rsidR="00AF42C7" w:rsidRPr="000B697D">
        <w:rPr>
          <w:sz w:val="20"/>
          <w:lang w:val="de-DE"/>
        </w:rPr>
        <w:t xml:space="preserve">. </w:t>
      </w:r>
      <w:r w:rsidR="00AF42C7" w:rsidRPr="000B697D">
        <w:rPr>
          <w:sz w:val="20"/>
          <w:lang w:val="de-DE"/>
        </w:rPr>
        <w:tab/>
      </w:r>
      <w:r w:rsidR="00BB27CA" w:rsidRPr="000B697D">
        <w:rPr>
          <w:bCs/>
          <w:sz w:val="20"/>
          <w:lang w:val="de-DE"/>
        </w:rPr>
        <w:t>Entsprechend dem Mandat des Sicherheitsausschusses befasste sich die Gruppe mit folgenden Themen:</w:t>
      </w:r>
    </w:p>
    <w:p w:rsidR="00905493" w:rsidRPr="000B697D" w:rsidRDefault="00905493" w:rsidP="004C730B">
      <w:pPr>
        <w:spacing w:after="0"/>
        <w:ind w:right="566"/>
        <w:jc w:val="both"/>
        <w:rPr>
          <w:sz w:val="20"/>
          <w:lang w:val="de-DE"/>
        </w:rPr>
      </w:pPr>
    </w:p>
    <w:p w:rsidR="001B478E" w:rsidRPr="000B697D" w:rsidRDefault="001B478E" w:rsidP="004C730B">
      <w:pPr>
        <w:spacing w:after="0"/>
        <w:ind w:right="566"/>
        <w:jc w:val="both"/>
        <w:rPr>
          <w:sz w:val="20"/>
          <w:lang w:val="de-DE"/>
        </w:rPr>
      </w:pPr>
    </w:p>
    <w:p w:rsidR="001F4AD7" w:rsidRPr="00815183" w:rsidRDefault="004B1341" w:rsidP="004C730B">
      <w:pPr>
        <w:spacing w:after="0"/>
        <w:ind w:left="570" w:right="566" w:hanging="570"/>
        <w:jc w:val="both"/>
        <w:rPr>
          <w:b/>
          <w:sz w:val="20"/>
          <w:lang w:val="en-US"/>
        </w:rPr>
      </w:pPr>
      <w:r w:rsidRPr="00815183">
        <w:rPr>
          <w:b/>
          <w:sz w:val="20"/>
          <w:lang w:val="en-US"/>
        </w:rPr>
        <w:t>A.</w:t>
      </w:r>
      <w:r w:rsidRPr="00815183">
        <w:rPr>
          <w:b/>
          <w:sz w:val="20"/>
          <w:lang w:val="en-US"/>
        </w:rPr>
        <w:tab/>
      </w:r>
      <w:r w:rsidR="00815183" w:rsidRPr="00815183">
        <w:rPr>
          <w:b/>
          <w:bCs/>
          <w:sz w:val="20"/>
          <w:lang w:val="en-US"/>
        </w:rPr>
        <w:t>Information und Diskussion zum CONCAWE-Projekt „Heavy Fuel Oil (UN 3082) – air emission and worker exposure during barge loading“</w:t>
      </w:r>
    </w:p>
    <w:p w:rsidR="001F4AD7" w:rsidRPr="00815183" w:rsidRDefault="001F4AD7" w:rsidP="004C730B">
      <w:pPr>
        <w:spacing w:after="0"/>
        <w:ind w:left="570" w:right="566" w:hanging="570"/>
        <w:jc w:val="both"/>
        <w:rPr>
          <w:sz w:val="20"/>
          <w:lang w:val="en-US"/>
        </w:rPr>
      </w:pPr>
    </w:p>
    <w:p w:rsidR="00787CC8" w:rsidRDefault="00670847" w:rsidP="004C730B">
      <w:pPr>
        <w:spacing w:after="0"/>
        <w:ind w:right="566"/>
        <w:jc w:val="both"/>
        <w:rPr>
          <w:sz w:val="20"/>
          <w:lang w:val="de-DE"/>
        </w:rPr>
      </w:pPr>
      <w:r>
        <w:rPr>
          <w:sz w:val="20"/>
          <w:lang w:val="de-DE"/>
        </w:rPr>
        <w:t>5</w:t>
      </w:r>
      <w:r w:rsidR="00325611" w:rsidRPr="000B697D">
        <w:rPr>
          <w:sz w:val="20"/>
          <w:lang w:val="de-DE"/>
        </w:rPr>
        <w:t>.</w:t>
      </w:r>
      <w:r w:rsidR="00325611" w:rsidRPr="000B697D">
        <w:rPr>
          <w:sz w:val="20"/>
          <w:lang w:val="de-DE"/>
        </w:rPr>
        <w:tab/>
      </w:r>
      <w:r w:rsidR="007124FA">
        <w:rPr>
          <w:sz w:val="20"/>
          <w:lang w:val="de-DE"/>
        </w:rPr>
        <w:t xml:space="preserve">Die Präsentation aus der </w:t>
      </w:r>
      <w:r w:rsidR="00F07C1A">
        <w:rPr>
          <w:sz w:val="20"/>
          <w:lang w:val="de-DE"/>
        </w:rPr>
        <w:t xml:space="preserve">24. </w:t>
      </w:r>
      <w:r w:rsidR="007124FA">
        <w:rPr>
          <w:sz w:val="20"/>
          <w:lang w:val="de-DE"/>
        </w:rPr>
        <w:t xml:space="preserve">Sitzung des Sicherheitsausschusses wurde </w:t>
      </w:r>
      <w:r w:rsidR="00F07C1A">
        <w:rPr>
          <w:sz w:val="20"/>
          <w:lang w:val="de-DE"/>
        </w:rPr>
        <w:t xml:space="preserve">in der 7. Sitzung der Informellen Arbeitsgruppe </w:t>
      </w:r>
      <w:r w:rsidR="007124FA">
        <w:rPr>
          <w:sz w:val="20"/>
          <w:lang w:val="de-DE"/>
        </w:rPr>
        <w:t xml:space="preserve">vorgestellt und die grundlegenden Ansätze erläutert. </w:t>
      </w:r>
      <w:r w:rsidR="00B526B0">
        <w:rPr>
          <w:sz w:val="20"/>
          <w:lang w:val="de-DE"/>
        </w:rPr>
        <w:t>Die weiteren Ergebnisse der Untersuchungen von CONCAWE bleiben abzuwarten.</w:t>
      </w:r>
    </w:p>
    <w:p w:rsidR="007C28DE" w:rsidRDefault="007C28DE">
      <w:pPr>
        <w:spacing w:after="0"/>
        <w:rPr>
          <w:sz w:val="20"/>
          <w:lang w:val="de-DE"/>
        </w:rPr>
      </w:pPr>
      <w:r>
        <w:rPr>
          <w:sz w:val="20"/>
          <w:lang w:val="de-DE"/>
        </w:rPr>
        <w:br w:type="page"/>
      </w:r>
    </w:p>
    <w:p w:rsidR="00787CC8" w:rsidRDefault="00787CC8" w:rsidP="004C730B">
      <w:pPr>
        <w:spacing w:after="0"/>
        <w:ind w:right="566"/>
        <w:jc w:val="both"/>
        <w:rPr>
          <w:sz w:val="20"/>
          <w:lang w:val="de-DE"/>
        </w:rPr>
      </w:pPr>
    </w:p>
    <w:p w:rsidR="006237A3" w:rsidRDefault="00F07C1A" w:rsidP="004C730B">
      <w:pPr>
        <w:spacing w:after="0"/>
        <w:ind w:right="566"/>
        <w:jc w:val="both"/>
        <w:rPr>
          <w:sz w:val="20"/>
          <w:lang w:val="de-DE"/>
        </w:rPr>
      </w:pPr>
      <w:r>
        <w:rPr>
          <w:sz w:val="20"/>
          <w:lang w:val="de-DE"/>
        </w:rPr>
        <w:t>6</w:t>
      </w:r>
      <w:r w:rsidR="00787CC8">
        <w:rPr>
          <w:sz w:val="20"/>
          <w:lang w:val="de-DE"/>
        </w:rPr>
        <w:t>.</w:t>
      </w:r>
      <w:r w:rsidR="00787CC8">
        <w:rPr>
          <w:sz w:val="20"/>
          <w:lang w:val="de-DE"/>
        </w:rPr>
        <w:tab/>
      </w:r>
      <w:r w:rsidR="00B526B0">
        <w:rPr>
          <w:sz w:val="20"/>
          <w:lang w:val="de-DE"/>
        </w:rPr>
        <w:t>In der weiteren Diskussion wird darauf hingewiesen, dass die Frage der Vorschriftenentwicklung zur Beförderung von Heizöl schwer ohne CMR-Eigenschaften in einem offenen Schiff bisher nicht gelöst ist. Des Weiteren weisen einige Mitglieder auf einen verhältnismäßig hohen Anteil von Falschklassifizierungen bei Heizöl schwer hin. Seitens der Informellen Arbeitsgruppe wird ein Entscheidungsbedarf mit hohem politischen Anteil erwartet.</w:t>
      </w:r>
    </w:p>
    <w:p w:rsidR="00F07C1A" w:rsidRDefault="00F07C1A" w:rsidP="004C730B">
      <w:pPr>
        <w:spacing w:after="0"/>
        <w:ind w:right="566"/>
        <w:jc w:val="both"/>
        <w:rPr>
          <w:sz w:val="20"/>
          <w:lang w:val="de-DE"/>
        </w:rPr>
      </w:pPr>
    </w:p>
    <w:p w:rsidR="00F07C1A" w:rsidRDefault="00F07C1A" w:rsidP="004C730B">
      <w:pPr>
        <w:spacing w:after="0"/>
        <w:ind w:right="566"/>
        <w:jc w:val="both"/>
        <w:rPr>
          <w:sz w:val="20"/>
          <w:lang w:val="de-DE"/>
        </w:rPr>
      </w:pPr>
      <w:r>
        <w:rPr>
          <w:sz w:val="20"/>
          <w:lang w:val="de-DE"/>
        </w:rPr>
        <w:t>7.</w:t>
      </w:r>
      <w:r>
        <w:rPr>
          <w:sz w:val="20"/>
          <w:lang w:val="de-DE"/>
        </w:rPr>
        <w:tab/>
        <w:t xml:space="preserve">In der 8. Sitzung </w:t>
      </w:r>
      <w:r w:rsidR="00907B4B">
        <w:rPr>
          <w:sz w:val="20"/>
          <w:lang w:val="de-DE"/>
        </w:rPr>
        <w:t>der Informellen Arbeitsgruppe wu</w:t>
      </w:r>
      <w:r>
        <w:rPr>
          <w:sz w:val="20"/>
          <w:lang w:val="de-DE"/>
        </w:rPr>
        <w:t>rden die Ergebnisse aus dem CONCAWE-Projekt vorgelegt (WP.15/AC.2/26/INF.23).</w:t>
      </w:r>
    </w:p>
    <w:p w:rsidR="00907B4B" w:rsidRDefault="00907B4B" w:rsidP="004C730B">
      <w:pPr>
        <w:spacing w:after="0"/>
        <w:ind w:right="566"/>
        <w:jc w:val="both"/>
        <w:rPr>
          <w:sz w:val="20"/>
          <w:lang w:val="de-DE"/>
        </w:rPr>
      </w:pPr>
    </w:p>
    <w:p w:rsidR="00907B4B" w:rsidRPr="000B697D" w:rsidRDefault="00907B4B" w:rsidP="004C730B">
      <w:pPr>
        <w:spacing w:after="0"/>
        <w:ind w:right="566"/>
        <w:jc w:val="both"/>
        <w:rPr>
          <w:sz w:val="20"/>
          <w:lang w:val="de-DE"/>
        </w:rPr>
      </w:pPr>
      <w:r>
        <w:rPr>
          <w:sz w:val="20"/>
          <w:lang w:val="de-DE"/>
        </w:rPr>
        <w:t>8.</w:t>
      </w:r>
      <w:r>
        <w:rPr>
          <w:sz w:val="20"/>
          <w:lang w:val="de-DE"/>
        </w:rPr>
        <w:tab/>
        <w:t xml:space="preserve">Der zusätzlichen Betrachtung und Bewertung der Eigenschaften der Gasphase bei der </w:t>
      </w:r>
      <w:r w:rsidR="00DB3E85">
        <w:rPr>
          <w:sz w:val="20"/>
          <w:lang w:val="de-DE"/>
        </w:rPr>
        <w:t xml:space="preserve">grundsätzlichen </w:t>
      </w:r>
      <w:r>
        <w:rPr>
          <w:sz w:val="20"/>
          <w:lang w:val="de-DE"/>
        </w:rPr>
        <w:t xml:space="preserve">Klassifizierung </w:t>
      </w:r>
      <w:r w:rsidR="002959A3">
        <w:rPr>
          <w:sz w:val="20"/>
          <w:lang w:val="de-DE"/>
        </w:rPr>
        <w:t xml:space="preserve">der </w:t>
      </w:r>
      <w:r>
        <w:rPr>
          <w:sz w:val="20"/>
          <w:lang w:val="de-DE"/>
        </w:rPr>
        <w:t>flüssige</w:t>
      </w:r>
      <w:r w:rsidR="002959A3">
        <w:rPr>
          <w:sz w:val="20"/>
          <w:lang w:val="de-DE"/>
        </w:rPr>
        <w:t>n</w:t>
      </w:r>
      <w:r>
        <w:rPr>
          <w:sz w:val="20"/>
          <w:lang w:val="de-DE"/>
        </w:rPr>
        <w:t xml:space="preserve"> </w:t>
      </w:r>
      <w:r w:rsidR="002959A3">
        <w:rPr>
          <w:sz w:val="20"/>
          <w:lang w:val="de-DE"/>
        </w:rPr>
        <w:t>Phase von schwerem Heizöl stand die Informelle Arbeitsgruppe skeptisch gegenüber. Dies könnte in Zukunft dazu führen, dass auch bei anderen flüssigen Soffen die Eigenschaften der Gasphase immer mit in Betracht gezogen werden müssen. Dies würde nicht den Grundsätzen des weltweit harmonisierten Systems der Einstufung und Kennzeichnung (GHS) entsprechen. In diesem Zusa</w:t>
      </w:r>
      <w:r w:rsidR="00152E73">
        <w:rPr>
          <w:sz w:val="20"/>
          <w:lang w:val="de-DE"/>
        </w:rPr>
        <w:t>mme</w:t>
      </w:r>
      <w:r w:rsidR="002959A3">
        <w:rPr>
          <w:sz w:val="20"/>
          <w:lang w:val="de-DE"/>
        </w:rPr>
        <w:t xml:space="preserve">nhang </w:t>
      </w:r>
      <w:r w:rsidR="00152E73">
        <w:rPr>
          <w:sz w:val="20"/>
          <w:lang w:val="de-DE"/>
        </w:rPr>
        <w:t xml:space="preserve">nahmen die Mitglieder der Informellen Arbeitsgruppe mit Zustimmung </w:t>
      </w:r>
      <w:r w:rsidR="006E503C">
        <w:rPr>
          <w:sz w:val="20"/>
          <w:lang w:val="de-DE"/>
        </w:rPr>
        <w:t xml:space="preserve">die </w:t>
      </w:r>
      <w:r w:rsidR="00392D80">
        <w:rPr>
          <w:sz w:val="20"/>
          <w:lang w:val="de-DE"/>
        </w:rPr>
        <w:t xml:space="preserve">Aussage aus der Präsentation im Rahmen der 26. Sitzung des Sicherheitsausschusses </w:t>
      </w:r>
      <w:r w:rsidR="00152E73">
        <w:rPr>
          <w:sz w:val="20"/>
          <w:lang w:val="de-DE"/>
        </w:rPr>
        <w:t xml:space="preserve">zur Kenntnis, dass an der </w:t>
      </w:r>
      <w:r w:rsidR="00DB3E85">
        <w:rPr>
          <w:sz w:val="20"/>
          <w:lang w:val="de-DE"/>
        </w:rPr>
        <w:t xml:space="preserve">eigentlichen </w:t>
      </w:r>
      <w:r w:rsidR="00152E73">
        <w:rPr>
          <w:sz w:val="20"/>
          <w:lang w:val="de-DE"/>
        </w:rPr>
        <w:t>Klassifizierung der flüssigen Phase von schwerem Heizöl keine Änderungen vorgenommen werden sollen.</w:t>
      </w:r>
    </w:p>
    <w:p w:rsidR="006237A3" w:rsidRDefault="006237A3" w:rsidP="004C730B">
      <w:pPr>
        <w:spacing w:after="0"/>
        <w:ind w:right="566"/>
        <w:jc w:val="both"/>
        <w:rPr>
          <w:sz w:val="20"/>
          <w:lang w:val="de-DE"/>
        </w:rPr>
      </w:pPr>
    </w:p>
    <w:p w:rsidR="00787CC8" w:rsidRDefault="00152E73" w:rsidP="007C28DE">
      <w:pPr>
        <w:spacing w:after="0"/>
        <w:ind w:right="566"/>
        <w:jc w:val="both"/>
        <w:rPr>
          <w:sz w:val="20"/>
          <w:lang w:val="de-DE"/>
        </w:rPr>
      </w:pPr>
      <w:r>
        <w:rPr>
          <w:sz w:val="20"/>
          <w:lang w:val="de-DE"/>
        </w:rPr>
        <w:t>9.</w:t>
      </w:r>
      <w:r>
        <w:rPr>
          <w:sz w:val="20"/>
          <w:lang w:val="de-DE"/>
        </w:rPr>
        <w:tab/>
      </w:r>
      <w:r w:rsidR="00DB3E85">
        <w:rPr>
          <w:sz w:val="20"/>
          <w:lang w:val="de-DE"/>
        </w:rPr>
        <w:t>In Zusammenhang mit der allgemeinen Festlegung der Beförderungsbedingungen führte d</w:t>
      </w:r>
      <w:r>
        <w:rPr>
          <w:sz w:val="20"/>
          <w:lang w:val="de-DE"/>
        </w:rPr>
        <w:t xml:space="preserve">ie Einführung eines zusätzlichen Dampfdruckkriteriums in Bezug auf Stoffe mit Gefahren für die aquatische Umwelt dazu, dass diese Stoffe nicht mehr in einem C-Schiff befördert werden müssen sondern in einem N-Schiff geschlossen befördert werden können. Eine Konsequenz dabei ist, dass die Absicherung nicht mehr mit 50 kPa sondern in der Regel nur noch mit 10 kPa erfolgt, was mit dem Hintergrund des niedrigen Dampfdrucks sicherheitstechnisch auch nachvollziehbar ist. </w:t>
      </w:r>
      <w:r w:rsidR="008C2DDB">
        <w:rPr>
          <w:sz w:val="20"/>
          <w:lang w:val="de-DE"/>
        </w:rPr>
        <w:t>Wenn zusätzlich noch eine allgemeine Befreiung von den Anforderungen nach 7.2.4.25.5 des ADN erfolgt, können nach Auffassung der Mitglieder der Informellen Arbeitsgruppe trotz des niedrigen Dampfdrucks nicht für alle betroffen</w:t>
      </w:r>
      <w:r w:rsidR="00354FB0">
        <w:rPr>
          <w:sz w:val="20"/>
          <w:lang w:val="de-DE"/>
        </w:rPr>
        <w:t>en</w:t>
      </w:r>
      <w:r w:rsidR="008C2DDB">
        <w:rPr>
          <w:sz w:val="20"/>
          <w:lang w:val="de-DE"/>
        </w:rPr>
        <w:t xml:space="preserve"> Stoffe alle Gefährdungen, insbesondere Gesundheitsgefahren, mit Sicherheit ausgeschlossen werden. Aus diesem Grunde wurde ein solcher Lösungsansatz von der Informellen Arbeitsgruppe nicht befürwortet.</w:t>
      </w:r>
    </w:p>
    <w:p w:rsidR="008C2DDB" w:rsidRDefault="008C2DDB" w:rsidP="007C28DE">
      <w:pPr>
        <w:spacing w:after="0"/>
        <w:ind w:right="566"/>
        <w:jc w:val="both"/>
        <w:rPr>
          <w:sz w:val="20"/>
          <w:lang w:val="de-DE"/>
        </w:rPr>
      </w:pPr>
    </w:p>
    <w:p w:rsidR="008C2DDB" w:rsidRDefault="008C2DDB" w:rsidP="007C28DE">
      <w:pPr>
        <w:spacing w:after="0"/>
        <w:ind w:right="566"/>
        <w:jc w:val="both"/>
        <w:rPr>
          <w:sz w:val="20"/>
          <w:lang w:val="de-DE"/>
        </w:rPr>
      </w:pPr>
      <w:r>
        <w:rPr>
          <w:sz w:val="20"/>
          <w:lang w:val="de-DE"/>
        </w:rPr>
        <w:t>10.</w:t>
      </w:r>
      <w:r>
        <w:rPr>
          <w:sz w:val="20"/>
          <w:lang w:val="de-DE"/>
        </w:rPr>
        <w:tab/>
      </w:r>
      <w:r w:rsidR="00435FBA">
        <w:rPr>
          <w:sz w:val="20"/>
          <w:lang w:val="de-DE"/>
        </w:rPr>
        <w:t>Im Sinne der Festlegung der konkreten Beförderungsbedingungen für Heizöl, schwer empfehlen d</w:t>
      </w:r>
      <w:r w:rsidR="00392D80">
        <w:rPr>
          <w:sz w:val="20"/>
          <w:lang w:val="de-DE"/>
        </w:rPr>
        <w:t>ie Mitglieder der Informellen Arbeitsgruppe dem Sicherheitsausschuss, i</w:t>
      </w:r>
      <w:r w:rsidR="00435FBA">
        <w:rPr>
          <w:sz w:val="20"/>
          <w:lang w:val="de-DE"/>
        </w:rPr>
        <w:t>n</w:t>
      </w:r>
      <w:r w:rsidR="00392D80">
        <w:rPr>
          <w:sz w:val="20"/>
          <w:lang w:val="de-DE"/>
        </w:rPr>
        <w:t>einer sogenannten „politischen Entscheidung“ darüber zu befinden, ob bei Heizöl, schwer eine Befreiung von den Anforderungen nach 7.2.4.25.5 des ADN erfolgen kann oder nicht.</w:t>
      </w:r>
    </w:p>
    <w:p w:rsidR="00152E73" w:rsidRDefault="00152E73" w:rsidP="007C28DE">
      <w:pPr>
        <w:spacing w:after="0"/>
        <w:ind w:right="566"/>
        <w:jc w:val="both"/>
        <w:rPr>
          <w:sz w:val="20"/>
          <w:lang w:val="de-DE"/>
        </w:rPr>
      </w:pPr>
    </w:p>
    <w:p w:rsidR="00907569" w:rsidRDefault="00907569" w:rsidP="007C28DE">
      <w:pPr>
        <w:spacing w:after="0"/>
        <w:ind w:right="566"/>
        <w:jc w:val="both"/>
        <w:rPr>
          <w:sz w:val="20"/>
          <w:lang w:val="de-DE"/>
        </w:rPr>
      </w:pPr>
    </w:p>
    <w:p w:rsidR="00907569" w:rsidRDefault="00907569" w:rsidP="007C28DE">
      <w:pPr>
        <w:spacing w:after="0"/>
        <w:ind w:right="566"/>
        <w:jc w:val="both"/>
        <w:rPr>
          <w:b/>
          <w:bCs/>
          <w:sz w:val="20"/>
          <w:lang w:val="de-DE"/>
        </w:rPr>
      </w:pPr>
      <w:r w:rsidRPr="00907569">
        <w:rPr>
          <w:b/>
          <w:sz w:val="20"/>
          <w:lang w:val="de-DE"/>
        </w:rPr>
        <w:t>B.</w:t>
      </w:r>
      <w:r>
        <w:rPr>
          <w:sz w:val="20"/>
          <w:lang w:val="de-DE"/>
        </w:rPr>
        <w:tab/>
      </w:r>
      <w:r w:rsidRPr="00907569">
        <w:rPr>
          <w:b/>
          <w:bCs/>
          <w:sz w:val="20"/>
          <w:lang w:val="de-DE"/>
        </w:rPr>
        <w:t>Ergänzung der Tabelle C bei Eintragungen mit einem Siedebeginn &lt; 35 °C auf Grundlage von WP.15/AC.2/22/INF.18, Pkt. 2 und Tabelle</w:t>
      </w:r>
    </w:p>
    <w:p w:rsidR="00907569" w:rsidRPr="00907569" w:rsidRDefault="00907569" w:rsidP="007C28DE">
      <w:pPr>
        <w:spacing w:after="0"/>
        <w:ind w:right="566"/>
        <w:jc w:val="both"/>
        <w:rPr>
          <w:sz w:val="20"/>
          <w:lang w:val="de-DE"/>
        </w:rPr>
      </w:pPr>
    </w:p>
    <w:p w:rsidR="00787CC8" w:rsidRDefault="003D1551" w:rsidP="007C28DE">
      <w:pPr>
        <w:spacing w:after="0"/>
        <w:ind w:right="566"/>
        <w:jc w:val="both"/>
        <w:rPr>
          <w:sz w:val="20"/>
          <w:lang w:val="de-DE"/>
        </w:rPr>
      </w:pPr>
      <w:r>
        <w:rPr>
          <w:sz w:val="20"/>
          <w:lang w:val="de-DE"/>
        </w:rPr>
        <w:t>11</w:t>
      </w:r>
      <w:r w:rsidR="006237A3" w:rsidRPr="000B697D">
        <w:rPr>
          <w:sz w:val="20"/>
          <w:lang w:val="de-DE"/>
        </w:rPr>
        <w:t>.</w:t>
      </w:r>
      <w:r w:rsidR="006237A3" w:rsidRPr="000B697D">
        <w:rPr>
          <w:sz w:val="20"/>
          <w:lang w:val="de-DE"/>
        </w:rPr>
        <w:tab/>
      </w:r>
      <w:r w:rsidR="009D6C0E" w:rsidRPr="000B697D">
        <w:rPr>
          <w:sz w:val="20"/>
          <w:lang w:val="de-DE"/>
        </w:rPr>
        <w:t xml:space="preserve">Die Mitglieder der informellen Arbeitsgruppe </w:t>
      </w:r>
      <w:r w:rsidR="00174FF1">
        <w:rPr>
          <w:sz w:val="20"/>
          <w:lang w:val="de-DE"/>
        </w:rPr>
        <w:t>stimmen der Ergänzung der Tabelle C zu. Der entsprechende Vorschlag findet sich im Anhang</w:t>
      </w:r>
      <w:r w:rsidR="00BB3D14">
        <w:rPr>
          <w:sz w:val="20"/>
          <w:lang w:val="de-DE"/>
        </w:rPr>
        <w:t xml:space="preserve"> 1</w:t>
      </w:r>
      <w:r w:rsidR="00787CC8">
        <w:rPr>
          <w:sz w:val="20"/>
          <w:lang w:val="de-DE"/>
        </w:rPr>
        <w:t>.</w:t>
      </w:r>
    </w:p>
    <w:p w:rsidR="00787CC8" w:rsidRDefault="00787CC8" w:rsidP="007C28DE">
      <w:pPr>
        <w:spacing w:after="0"/>
        <w:ind w:right="566"/>
        <w:jc w:val="both"/>
        <w:rPr>
          <w:sz w:val="20"/>
          <w:lang w:val="de-DE"/>
        </w:rPr>
      </w:pPr>
    </w:p>
    <w:p w:rsidR="00F14F53" w:rsidRPr="000B697D" w:rsidRDefault="003D1551" w:rsidP="007C28DE">
      <w:pPr>
        <w:spacing w:after="0"/>
        <w:ind w:right="566"/>
        <w:jc w:val="both"/>
        <w:rPr>
          <w:sz w:val="20"/>
          <w:lang w:val="de-DE"/>
        </w:rPr>
      </w:pPr>
      <w:r>
        <w:rPr>
          <w:sz w:val="20"/>
          <w:lang w:val="de-DE"/>
        </w:rPr>
        <w:t>12</w:t>
      </w:r>
      <w:r w:rsidR="00787CC8">
        <w:rPr>
          <w:sz w:val="20"/>
          <w:lang w:val="de-DE"/>
        </w:rPr>
        <w:t>.</w:t>
      </w:r>
      <w:r w:rsidR="00787CC8">
        <w:rPr>
          <w:sz w:val="20"/>
          <w:lang w:val="de-DE"/>
        </w:rPr>
        <w:tab/>
      </w:r>
      <w:r w:rsidR="00174FF1">
        <w:rPr>
          <w:sz w:val="20"/>
          <w:lang w:val="de-DE"/>
        </w:rPr>
        <w:t xml:space="preserve">Ergänzend </w:t>
      </w:r>
      <w:r w:rsidR="00077405">
        <w:rPr>
          <w:sz w:val="20"/>
          <w:lang w:val="de-DE"/>
        </w:rPr>
        <w:t xml:space="preserve">wird aber darauf hingewiesen, dass die zusätzliche Eintragung für die Beförderung von UN 1986 </w:t>
      </w:r>
      <w:r w:rsidR="00077405" w:rsidRPr="00077405">
        <w:rPr>
          <w:sz w:val="20"/>
          <w:lang w:val="de-DE"/>
        </w:rPr>
        <w:t>ALKOHOLE, ENTZÜNDBAR, GIFTIG, N.A.G.</w:t>
      </w:r>
      <w:r w:rsidR="00077405">
        <w:rPr>
          <w:sz w:val="20"/>
          <w:lang w:val="de-DE"/>
        </w:rPr>
        <w:t xml:space="preserve"> in Drucktanks nicht benötigt wird. Der Alkohol mit dem höchsten Dampfdruck ist Methanol und die Beförderung von UN 1230 METHANOL ist i</w:t>
      </w:r>
      <w:r w:rsidR="00354FB0">
        <w:rPr>
          <w:sz w:val="20"/>
          <w:lang w:val="de-DE"/>
        </w:rPr>
        <w:t>m</w:t>
      </w:r>
      <w:r w:rsidR="00077405">
        <w:rPr>
          <w:sz w:val="20"/>
          <w:lang w:val="de-DE"/>
        </w:rPr>
        <w:t xml:space="preserve"> ADN bereits geregelt (N 2 2 Schiff mit Berieselung). </w:t>
      </w:r>
      <w:r w:rsidR="00787CC8">
        <w:rPr>
          <w:sz w:val="20"/>
          <w:lang w:val="de-DE"/>
        </w:rPr>
        <w:t>Auch für die anderen drei neuen Eintragungen (UN 1992, UN 2924 und UN 3286) sind aus der Praxis bisher keine Beispiele bekannt.</w:t>
      </w:r>
    </w:p>
    <w:p w:rsidR="006237A3" w:rsidRDefault="006237A3" w:rsidP="007C28DE">
      <w:pPr>
        <w:spacing w:after="0"/>
        <w:ind w:right="566"/>
        <w:jc w:val="both"/>
        <w:rPr>
          <w:sz w:val="20"/>
          <w:lang w:val="de-DE"/>
        </w:rPr>
      </w:pPr>
    </w:p>
    <w:p w:rsidR="00907569" w:rsidRDefault="00907569" w:rsidP="007C28DE">
      <w:pPr>
        <w:spacing w:after="0"/>
        <w:ind w:right="566"/>
        <w:jc w:val="both"/>
        <w:rPr>
          <w:sz w:val="20"/>
          <w:lang w:val="de-DE"/>
        </w:rPr>
      </w:pPr>
    </w:p>
    <w:p w:rsidR="00907569" w:rsidRPr="00907569" w:rsidRDefault="00907569" w:rsidP="007C28DE">
      <w:pPr>
        <w:spacing w:after="0"/>
        <w:ind w:right="566"/>
        <w:jc w:val="both"/>
        <w:rPr>
          <w:sz w:val="20"/>
          <w:lang w:val="de-DE"/>
        </w:rPr>
      </w:pPr>
      <w:r w:rsidRPr="00907569">
        <w:rPr>
          <w:b/>
          <w:sz w:val="20"/>
          <w:lang w:val="de-DE"/>
        </w:rPr>
        <w:t>C.</w:t>
      </w:r>
      <w:r>
        <w:rPr>
          <w:sz w:val="20"/>
          <w:lang w:val="de-DE"/>
        </w:rPr>
        <w:tab/>
      </w:r>
      <w:r w:rsidRPr="00907569">
        <w:rPr>
          <w:b/>
          <w:bCs/>
          <w:sz w:val="20"/>
          <w:lang w:val="de-DE"/>
        </w:rPr>
        <w:t>Systematisierung der Bezeichnungen der Einträge UN</w:t>
      </w:r>
      <w:r w:rsidR="00E93570">
        <w:rPr>
          <w:b/>
          <w:bCs/>
          <w:sz w:val="20"/>
          <w:lang w:val="de-DE"/>
        </w:rPr>
        <w:t> </w:t>
      </w:r>
      <w:r w:rsidRPr="00907569">
        <w:rPr>
          <w:b/>
          <w:bCs/>
          <w:sz w:val="20"/>
          <w:lang w:val="de-DE"/>
        </w:rPr>
        <w:t>1267, UN 1268, UN 1863, UN 1993 und UN 3295</w:t>
      </w:r>
    </w:p>
    <w:p w:rsidR="00907569" w:rsidRPr="000B697D" w:rsidRDefault="00907569" w:rsidP="007C28DE">
      <w:pPr>
        <w:spacing w:after="0"/>
        <w:ind w:right="566"/>
        <w:jc w:val="both"/>
        <w:rPr>
          <w:sz w:val="20"/>
          <w:lang w:val="de-DE"/>
        </w:rPr>
      </w:pPr>
    </w:p>
    <w:p w:rsidR="003D1551" w:rsidRDefault="003D1551" w:rsidP="007C28DE">
      <w:pPr>
        <w:spacing w:after="0"/>
        <w:ind w:right="566"/>
        <w:jc w:val="both"/>
        <w:rPr>
          <w:sz w:val="20"/>
          <w:lang w:val="de-DE"/>
        </w:rPr>
      </w:pPr>
      <w:r>
        <w:rPr>
          <w:sz w:val="20"/>
          <w:lang w:val="de-DE"/>
        </w:rPr>
        <w:t>13</w:t>
      </w:r>
      <w:r w:rsidR="006237A3" w:rsidRPr="000B697D">
        <w:rPr>
          <w:sz w:val="20"/>
          <w:lang w:val="de-DE"/>
        </w:rPr>
        <w:t>.</w:t>
      </w:r>
      <w:r w:rsidR="006237A3" w:rsidRPr="000B697D">
        <w:rPr>
          <w:sz w:val="20"/>
          <w:lang w:val="de-DE"/>
        </w:rPr>
        <w:tab/>
      </w:r>
      <w:r w:rsidRPr="003D1551">
        <w:rPr>
          <w:sz w:val="20"/>
          <w:lang w:val="de-DE"/>
        </w:rPr>
        <w:t>Ausgangspunkt</w:t>
      </w:r>
      <w:r>
        <w:rPr>
          <w:sz w:val="20"/>
          <w:lang w:val="de-DE"/>
        </w:rPr>
        <w:t xml:space="preserve"> dieser Frage war die Tatsache, dass bei der Bezeichnung </w:t>
      </w:r>
      <w:r w:rsidRPr="003D1551">
        <w:rPr>
          <w:sz w:val="20"/>
          <w:lang w:val="de-DE"/>
        </w:rPr>
        <w:t xml:space="preserve">für UN 1268 </w:t>
      </w:r>
      <w:r>
        <w:rPr>
          <w:sz w:val="20"/>
          <w:lang w:val="de-DE"/>
        </w:rPr>
        <w:t xml:space="preserve">Unterschiede </w:t>
      </w:r>
      <w:r w:rsidRPr="003D1551">
        <w:rPr>
          <w:sz w:val="20"/>
          <w:lang w:val="de-DE"/>
        </w:rPr>
        <w:t>in den verschiedenen Sprachfassungen</w:t>
      </w:r>
      <w:r>
        <w:rPr>
          <w:sz w:val="20"/>
          <w:lang w:val="de-DE"/>
        </w:rPr>
        <w:t xml:space="preserve"> des ADN festgestellt wurden. Im Ergebnis der Diskussion stellte sich dann heraus, dass vergleichbare Probleme auch </w:t>
      </w:r>
      <w:r w:rsidRPr="003D1551">
        <w:rPr>
          <w:sz w:val="20"/>
          <w:lang w:val="de-DE"/>
        </w:rPr>
        <w:t>bei UN 1267, UN 1863, UN 1993 und UN 3295</w:t>
      </w:r>
      <w:r>
        <w:rPr>
          <w:sz w:val="20"/>
          <w:lang w:val="de-DE"/>
        </w:rPr>
        <w:t xml:space="preserve"> auftreten</w:t>
      </w:r>
      <w:r w:rsidR="00777B5A">
        <w:rPr>
          <w:sz w:val="20"/>
          <w:lang w:val="de-DE"/>
        </w:rPr>
        <w:t xml:space="preserve"> und das</w:t>
      </w:r>
      <w:r w:rsidR="00354FB0">
        <w:rPr>
          <w:sz w:val="20"/>
          <w:lang w:val="de-DE"/>
        </w:rPr>
        <w:t>s</w:t>
      </w:r>
      <w:r w:rsidR="00777B5A">
        <w:rPr>
          <w:sz w:val="20"/>
          <w:lang w:val="de-DE"/>
        </w:rPr>
        <w:t xml:space="preserve"> </w:t>
      </w:r>
      <w:r w:rsidRPr="003D1551">
        <w:rPr>
          <w:sz w:val="20"/>
          <w:lang w:val="de-DE"/>
        </w:rPr>
        <w:t xml:space="preserve">keine der Sprachfassungen </w:t>
      </w:r>
      <w:r w:rsidR="00777B5A">
        <w:rPr>
          <w:sz w:val="20"/>
          <w:lang w:val="de-DE"/>
        </w:rPr>
        <w:t xml:space="preserve">in sich </w:t>
      </w:r>
      <w:r w:rsidRPr="003D1551">
        <w:rPr>
          <w:sz w:val="20"/>
          <w:lang w:val="de-DE"/>
        </w:rPr>
        <w:t>konsistent</w:t>
      </w:r>
      <w:r w:rsidR="00777B5A">
        <w:rPr>
          <w:sz w:val="20"/>
          <w:lang w:val="de-DE"/>
        </w:rPr>
        <w:t xml:space="preserve"> ist.</w:t>
      </w:r>
    </w:p>
    <w:p w:rsidR="007C28DE" w:rsidRDefault="007C28DE" w:rsidP="007C28DE">
      <w:pPr>
        <w:spacing w:after="0"/>
        <w:jc w:val="both"/>
        <w:rPr>
          <w:sz w:val="20"/>
          <w:lang w:val="de-DE"/>
        </w:rPr>
      </w:pPr>
      <w:r>
        <w:rPr>
          <w:sz w:val="20"/>
          <w:lang w:val="de-DE"/>
        </w:rPr>
        <w:br w:type="page"/>
      </w:r>
    </w:p>
    <w:p w:rsidR="00777B5A" w:rsidRPr="00777B5A" w:rsidRDefault="00777B5A" w:rsidP="003D1551">
      <w:pPr>
        <w:spacing w:after="0"/>
        <w:rPr>
          <w:sz w:val="20"/>
          <w:lang w:val="de-DE"/>
        </w:rPr>
      </w:pPr>
    </w:p>
    <w:p w:rsidR="00777B5A" w:rsidRDefault="00777B5A" w:rsidP="007C28DE">
      <w:pPr>
        <w:spacing w:after="0"/>
        <w:ind w:right="566"/>
        <w:jc w:val="both"/>
        <w:rPr>
          <w:sz w:val="20"/>
          <w:lang w:val="de-DE"/>
        </w:rPr>
      </w:pPr>
      <w:r w:rsidRPr="00777B5A">
        <w:rPr>
          <w:sz w:val="20"/>
          <w:lang w:val="de-DE"/>
        </w:rPr>
        <w:t>14.</w:t>
      </w:r>
      <w:r w:rsidRPr="00777B5A">
        <w:rPr>
          <w:sz w:val="20"/>
          <w:lang w:val="de-DE"/>
        </w:rPr>
        <w:tab/>
        <w:t>Zusätzliche Schwierigkeiten</w:t>
      </w:r>
      <w:r>
        <w:rPr>
          <w:sz w:val="20"/>
          <w:lang w:val="de-DE"/>
        </w:rPr>
        <w:t xml:space="preserve"> traten durch die nicht mehr dem aktuellen Vorschriftenstand entsprechende Formulierung der Bemerkung 38 in der Tabelle C auf.</w:t>
      </w:r>
      <w:r w:rsidR="00C80727">
        <w:rPr>
          <w:sz w:val="20"/>
          <w:lang w:val="de-DE"/>
        </w:rPr>
        <w:t xml:space="preserve"> Es wird dabei auf die Bedingungen der Verpackungsgruppe II verwiesen, obwohl man schon bei einem Eintrag mit der Verpackungsgruppe II ist.</w:t>
      </w:r>
    </w:p>
    <w:p w:rsidR="00C80727" w:rsidRDefault="00C80727" w:rsidP="007C28DE">
      <w:pPr>
        <w:spacing w:after="0"/>
        <w:ind w:right="566"/>
        <w:jc w:val="both"/>
        <w:rPr>
          <w:sz w:val="20"/>
          <w:lang w:val="de-DE"/>
        </w:rPr>
      </w:pPr>
    </w:p>
    <w:p w:rsidR="00C80727" w:rsidRPr="00777B5A" w:rsidRDefault="00C80727" w:rsidP="007C28DE">
      <w:pPr>
        <w:spacing w:after="0"/>
        <w:ind w:right="566"/>
        <w:jc w:val="both"/>
        <w:rPr>
          <w:sz w:val="20"/>
          <w:lang w:val="de-DE"/>
        </w:rPr>
      </w:pPr>
      <w:r>
        <w:rPr>
          <w:sz w:val="20"/>
          <w:lang w:val="de-DE"/>
        </w:rPr>
        <w:t>15.</w:t>
      </w:r>
      <w:r>
        <w:rPr>
          <w:sz w:val="20"/>
          <w:lang w:val="de-DE"/>
        </w:rPr>
        <w:tab/>
        <w:t>Die Informelle Arbeitsgruppe beschäftigte sich mehrmals intensiv mit dieser Problematik und stellt im Ergebnis fest, dass grundsätzlich drei Situationen möglich sind:</w:t>
      </w:r>
    </w:p>
    <w:p w:rsidR="003D1551" w:rsidRPr="00777B5A" w:rsidRDefault="003D1551" w:rsidP="007C28DE">
      <w:pPr>
        <w:spacing w:after="0"/>
        <w:ind w:right="566"/>
        <w:jc w:val="both"/>
        <w:rPr>
          <w:sz w:val="20"/>
          <w:lang w:val="de-DE"/>
        </w:rPr>
      </w:pPr>
    </w:p>
    <w:p w:rsidR="007C28DE" w:rsidRDefault="00C80727" w:rsidP="007C28DE">
      <w:pPr>
        <w:numPr>
          <w:ilvl w:val="0"/>
          <w:numId w:val="20"/>
        </w:numPr>
        <w:spacing w:after="0"/>
        <w:ind w:right="566"/>
        <w:jc w:val="both"/>
        <w:rPr>
          <w:sz w:val="20"/>
          <w:lang w:val="de-DE"/>
        </w:rPr>
      </w:pPr>
      <w:r>
        <w:rPr>
          <w:sz w:val="20"/>
          <w:lang w:val="de-DE"/>
        </w:rPr>
        <w:t>Die Beförderung erfolgt in einem C-Schiff. Es sind al</w:t>
      </w:r>
      <w:r w:rsidR="003D1551" w:rsidRPr="00777B5A">
        <w:rPr>
          <w:sz w:val="20"/>
          <w:lang w:val="de-DE"/>
        </w:rPr>
        <w:t xml:space="preserve">le Daten </w:t>
      </w:r>
      <w:r>
        <w:rPr>
          <w:sz w:val="20"/>
          <w:lang w:val="de-DE"/>
        </w:rPr>
        <w:t xml:space="preserve">für die Berechnung des </w:t>
      </w:r>
      <w:r w:rsidRPr="00777B5A">
        <w:rPr>
          <w:sz w:val="20"/>
          <w:lang w:val="de-DE"/>
        </w:rPr>
        <w:t>Tankinnenüberdruck</w:t>
      </w:r>
      <w:r>
        <w:rPr>
          <w:sz w:val="20"/>
          <w:lang w:val="de-DE"/>
        </w:rPr>
        <w:t>s</w:t>
      </w:r>
      <w:r w:rsidRPr="00777B5A">
        <w:rPr>
          <w:sz w:val="20"/>
          <w:lang w:val="de-DE"/>
        </w:rPr>
        <w:t xml:space="preserve"> </w:t>
      </w:r>
      <w:r w:rsidR="003D1551" w:rsidRPr="00777B5A">
        <w:rPr>
          <w:sz w:val="20"/>
          <w:lang w:val="de-DE"/>
        </w:rPr>
        <w:t>vorhanden</w:t>
      </w:r>
      <w:r>
        <w:rPr>
          <w:sz w:val="20"/>
          <w:lang w:val="de-DE"/>
        </w:rPr>
        <w:t xml:space="preserve">. Die Beförderungsbedingungen können </w:t>
      </w:r>
      <w:r w:rsidR="00354FB0">
        <w:rPr>
          <w:sz w:val="20"/>
          <w:lang w:val="de-DE"/>
        </w:rPr>
        <w:t xml:space="preserve">nach Schema A des Entscheidungsdiagramms </w:t>
      </w:r>
      <w:r>
        <w:rPr>
          <w:sz w:val="20"/>
          <w:lang w:val="de-DE"/>
        </w:rPr>
        <w:t>festgelegt werden.</w:t>
      </w:r>
    </w:p>
    <w:p w:rsidR="003D1551" w:rsidRPr="00777B5A" w:rsidRDefault="003D1551" w:rsidP="007C28DE">
      <w:pPr>
        <w:spacing w:after="0"/>
        <w:ind w:left="720" w:right="566"/>
        <w:jc w:val="both"/>
        <w:rPr>
          <w:sz w:val="20"/>
          <w:lang w:val="de-DE"/>
        </w:rPr>
      </w:pPr>
    </w:p>
    <w:p w:rsidR="007C28DE" w:rsidRDefault="00C80727" w:rsidP="007C28DE">
      <w:pPr>
        <w:numPr>
          <w:ilvl w:val="0"/>
          <w:numId w:val="20"/>
        </w:numPr>
        <w:spacing w:after="0"/>
        <w:ind w:right="566"/>
        <w:jc w:val="both"/>
        <w:rPr>
          <w:sz w:val="20"/>
          <w:lang w:val="de-DE"/>
        </w:rPr>
      </w:pPr>
      <w:r>
        <w:rPr>
          <w:sz w:val="20"/>
          <w:lang w:val="de-DE"/>
        </w:rPr>
        <w:t>Die Beförderung erfolgt in einem C-Schiff. Es sind nicht al</w:t>
      </w:r>
      <w:r w:rsidRPr="00777B5A">
        <w:rPr>
          <w:sz w:val="20"/>
          <w:lang w:val="de-DE"/>
        </w:rPr>
        <w:t xml:space="preserve">le Daten </w:t>
      </w:r>
      <w:r>
        <w:rPr>
          <w:sz w:val="20"/>
          <w:lang w:val="de-DE"/>
        </w:rPr>
        <w:t xml:space="preserve">für die Berechnung des </w:t>
      </w:r>
      <w:r w:rsidRPr="00777B5A">
        <w:rPr>
          <w:sz w:val="20"/>
          <w:lang w:val="de-DE"/>
        </w:rPr>
        <w:t>Tankinnenüberdruck</w:t>
      </w:r>
      <w:r>
        <w:rPr>
          <w:sz w:val="20"/>
          <w:lang w:val="de-DE"/>
        </w:rPr>
        <w:t>s</w:t>
      </w:r>
      <w:r w:rsidRPr="00777B5A">
        <w:rPr>
          <w:sz w:val="20"/>
          <w:lang w:val="de-DE"/>
        </w:rPr>
        <w:t xml:space="preserve"> vorhanden</w:t>
      </w:r>
      <w:r>
        <w:rPr>
          <w:sz w:val="20"/>
          <w:lang w:val="de-DE"/>
        </w:rPr>
        <w:t xml:space="preserve"> (</w:t>
      </w:r>
      <w:r w:rsidRPr="00777B5A">
        <w:rPr>
          <w:sz w:val="20"/>
          <w:lang w:val="de-DE"/>
        </w:rPr>
        <w:t>Mangel an Daten</w:t>
      </w:r>
      <w:r>
        <w:rPr>
          <w:sz w:val="20"/>
          <w:lang w:val="de-DE"/>
        </w:rPr>
        <w:t>). Die Festlegung der Beförderungsbedingungen erfolgt entsprechend den Ber</w:t>
      </w:r>
      <w:r w:rsidR="003D1551" w:rsidRPr="00777B5A">
        <w:rPr>
          <w:sz w:val="20"/>
          <w:lang w:val="de-DE"/>
        </w:rPr>
        <w:t>eiche</w:t>
      </w:r>
      <w:r>
        <w:rPr>
          <w:sz w:val="20"/>
          <w:lang w:val="de-DE"/>
        </w:rPr>
        <w:t>n</w:t>
      </w:r>
      <w:r w:rsidR="003D1551" w:rsidRPr="00777B5A">
        <w:rPr>
          <w:sz w:val="20"/>
          <w:lang w:val="de-DE"/>
        </w:rPr>
        <w:t xml:space="preserve"> für </w:t>
      </w:r>
      <w:r>
        <w:rPr>
          <w:sz w:val="20"/>
          <w:lang w:val="de-DE"/>
        </w:rPr>
        <w:t xml:space="preserve">den </w:t>
      </w:r>
      <w:r w:rsidR="003D1551" w:rsidRPr="00777B5A">
        <w:rPr>
          <w:sz w:val="20"/>
          <w:lang w:val="de-DE"/>
        </w:rPr>
        <w:t>Siedebeginn</w:t>
      </w:r>
      <w:r w:rsidR="00354FB0">
        <w:rPr>
          <w:sz w:val="20"/>
          <w:lang w:val="de-DE"/>
        </w:rPr>
        <w:t xml:space="preserve"> (Schema A des Entscheidungsdiagramms Spalte 4)</w:t>
      </w:r>
      <w:r>
        <w:rPr>
          <w:sz w:val="20"/>
          <w:lang w:val="de-DE"/>
        </w:rPr>
        <w:t>.</w:t>
      </w:r>
    </w:p>
    <w:p w:rsidR="003D1551" w:rsidRPr="00777B5A" w:rsidRDefault="003D1551" w:rsidP="007C28DE">
      <w:pPr>
        <w:spacing w:after="0"/>
        <w:ind w:left="720" w:right="566"/>
        <w:jc w:val="both"/>
        <w:rPr>
          <w:sz w:val="20"/>
          <w:lang w:val="de-DE"/>
        </w:rPr>
      </w:pPr>
    </w:p>
    <w:p w:rsidR="003D1551" w:rsidRDefault="001824E1" w:rsidP="007C28DE">
      <w:pPr>
        <w:numPr>
          <w:ilvl w:val="0"/>
          <w:numId w:val="20"/>
        </w:numPr>
        <w:spacing w:after="0"/>
        <w:ind w:right="566"/>
        <w:jc w:val="both"/>
        <w:rPr>
          <w:sz w:val="20"/>
          <w:lang w:val="de-DE"/>
        </w:rPr>
      </w:pPr>
      <w:r>
        <w:rPr>
          <w:sz w:val="20"/>
          <w:lang w:val="de-DE"/>
        </w:rPr>
        <w:t xml:space="preserve">Die Beförderung erfolgt in einem </w:t>
      </w:r>
      <w:r w:rsidR="003D1551" w:rsidRPr="00777B5A">
        <w:rPr>
          <w:sz w:val="20"/>
          <w:lang w:val="de-DE"/>
        </w:rPr>
        <w:t>N-Schiff, geschlossen</w:t>
      </w:r>
      <w:r>
        <w:rPr>
          <w:sz w:val="20"/>
          <w:lang w:val="de-DE"/>
        </w:rPr>
        <w:t xml:space="preserve">. Entscheidend für die </w:t>
      </w:r>
      <w:r w:rsidRPr="00777B5A">
        <w:rPr>
          <w:sz w:val="20"/>
          <w:lang w:val="de-DE"/>
        </w:rPr>
        <w:t>Festlegung der B</w:t>
      </w:r>
      <w:r>
        <w:rPr>
          <w:sz w:val="20"/>
          <w:lang w:val="de-DE"/>
        </w:rPr>
        <w:t>eförderungsb</w:t>
      </w:r>
      <w:r w:rsidRPr="00777B5A">
        <w:rPr>
          <w:sz w:val="20"/>
          <w:lang w:val="de-DE"/>
        </w:rPr>
        <w:t xml:space="preserve">edingungen </w:t>
      </w:r>
      <w:r>
        <w:rPr>
          <w:sz w:val="20"/>
          <w:lang w:val="de-DE"/>
        </w:rPr>
        <w:t>ist der D</w:t>
      </w:r>
      <w:r w:rsidR="003D1551" w:rsidRPr="00777B5A">
        <w:rPr>
          <w:sz w:val="20"/>
          <w:lang w:val="de-DE"/>
        </w:rPr>
        <w:t>ampfdruck bei 50 °C</w:t>
      </w:r>
      <w:r w:rsidR="00354FB0">
        <w:rPr>
          <w:sz w:val="20"/>
          <w:lang w:val="de-DE"/>
        </w:rPr>
        <w:t xml:space="preserve"> (Schema B des Entscheidungsdiagramms)</w:t>
      </w:r>
      <w:r>
        <w:rPr>
          <w:sz w:val="20"/>
          <w:lang w:val="de-DE"/>
        </w:rPr>
        <w:t>.</w:t>
      </w:r>
    </w:p>
    <w:p w:rsidR="005A24F3" w:rsidRDefault="005A24F3" w:rsidP="007C28DE">
      <w:pPr>
        <w:spacing w:after="0"/>
        <w:ind w:right="566"/>
        <w:jc w:val="both"/>
        <w:rPr>
          <w:sz w:val="20"/>
          <w:lang w:val="de-DE"/>
        </w:rPr>
      </w:pPr>
    </w:p>
    <w:p w:rsidR="005A24F3" w:rsidRDefault="005A24F3" w:rsidP="007C28DE">
      <w:pPr>
        <w:spacing w:after="0"/>
        <w:ind w:right="566"/>
        <w:jc w:val="both"/>
        <w:rPr>
          <w:sz w:val="20"/>
          <w:lang w:val="de-DE"/>
        </w:rPr>
      </w:pPr>
      <w:r>
        <w:rPr>
          <w:sz w:val="20"/>
          <w:lang w:val="de-DE"/>
        </w:rPr>
        <w:t>16.</w:t>
      </w:r>
      <w:r>
        <w:rPr>
          <w:sz w:val="20"/>
          <w:lang w:val="de-DE"/>
        </w:rPr>
        <w:tab/>
      </w:r>
      <w:r w:rsidR="007E3149">
        <w:rPr>
          <w:sz w:val="20"/>
          <w:lang w:val="de-DE"/>
        </w:rPr>
        <w:t xml:space="preserve">Die Methode zur Bestimmung des Siedebeginns ASTM D86-01 liefert aufgrund ihrer Versuchsbedingungen in niedrigen Temperaturbereichen erhöhte Werte. Dieses hat sicherheitstechnische Bedeutung beim Siedebeginn im Bereich um 60 °C, der Grenze zur Beförderung im Drucktank. Deshalb soll bei einem Siedebeginn </w:t>
      </w:r>
      <w:r w:rsidR="00147198">
        <w:rPr>
          <w:sz w:val="20"/>
          <w:lang w:val="de-DE"/>
        </w:rPr>
        <w:t>von größer</w:t>
      </w:r>
      <w:r w:rsidR="00354FB0">
        <w:rPr>
          <w:sz w:val="20"/>
          <w:lang w:val="de-DE"/>
        </w:rPr>
        <w:t xml:space="preserve"> 60 °C und kleiner gleich 85 °C, wenn er nach SATM D86-01 bestimmt wurde, </w:t>
      </w:r>
      <w:r w:rsidR="00147198">
        <w:rPr>
          <w:sz w:val="20"/>
          <w:lang w:val="de-DE"/>
        </w:rPr>
        <w:t>trotzdem die Beförderung in einem Drucktank erfolgen.</w:t>
      </w:r>
    </w:p>
    <w:p w:rsidR="00D832FF" w:rsidRDefault="00D832FF" w:rsidP="007C28DE">
      <w:pPr>
        <w:spacing w:after="0"/>
        <w:ind w:right="566"/>
        <w:jc w:val="both"/>
        <w:rPr>
          <w:sz w:val="20"/>
          <w:lang w:val="de-DE"/>
        </w:rPr>
      </w:pPr>
    </w:p>
    <w:p w:rsidR="00D832FF" w:rsidRDefault="00D832FF" w:rsidP="007C28DE">
      <w:pPr>
        <w:spacing w:after="0"/>
        <w:ind w:right="566"/>
        <w:jc w:val="both"/>
        <w:rPr>
          <w:sz w:val="20"/>
          <w:lang w:val="de-DE"/>
        </w:rPr>
      </w:pPr>
      <w:r>
        <w:rPr>
          <w:sz w:val="20"/>
          <w:lang w:val="de-DE"/>
        </w:rPr>
        <w:t>17.</w:t>
      </w:r>
      <w:r>
        <w:rPr>
          <w:sz w:val="20"/>
          <w:lang w:val="de-DE"/>
        </w:rPr>
        <w:tab/>
        <w:t>Für die Situation (1) sind Eintragungen zu den Verpackungsgruppe I, II und III ohne Ergänzungen in der Benennung/Bezeichnung erforderlich. Über einen Verweis kann deutlich gemacht werden, dass zur Festlegung der Beförderungsbedingungen das Durchlaufen des Entscheidungsdiagramms notwendig ist.</w:t>
      </w:r>
    </w:p>
    <w:p w:rsidR="00D832FF" w:rsidRDefault="00D832FF" w:rsidP="007C28DE">
      <w:pPr>
        <w:spacing w:after="0"/>
        <w:ind w:right="566"/>
        <w:jc w:val="both"/>
        <w:rPr>
          <w:sz w:val="20"/>
          <w:lang w:val="de-DE"/>
        </w:rPr>
      </w:pPr>
    </w:p>
    <w:p w:rsidR="00D832FF" w:rsidRPr="00777B5A" w:rsidRDefault="00D832FF" w:rsidP="007C28DE">
      <w:pPr>
        <w:spacing w:after="0"/>
        <w:ind w:right="566"/>
        <w:jc w:val="both"/>
        <w:rPr>
          <w:sz w:val="20"/>
          <w:lang w:val="de-DE"/>
        </w:rPr>
      </w:pPr>
      <w:r>
        <w:rPr>
          <w:sz w:val="20"/>
          <w:lang w:val="de-DE"/>
        </w:rPr>
        <w:t>18.</w:t>
      </w:r>
      <w:r>
        <w:rPr>
          <w:sz w:val="20"/>
          <w:lang w:val="de-DE"/>
        </w:rPr>
        <w:tab/>
        <w:t>Für die Situation (2) (Mangel an Daten) sind folgende Eintragungen erforderlich:</w:t>
      </w:r>
    </w:p>
    <w:p w:rsidR="003D1551" w:rsidRDefault="003D1551" w:rsidP="003D1551">
      <w:pPr>
        <w:spacing w:after="0"/>
        <w:rPr>
          <w:sz w:val="20"/>
          <w:lang w:val="de-DE"/>
        </w:rPr>
      </w:pPr>
    </w:p>
    <w:tbl>
      <w:tblPr>
        <w:tblW w:w="8647" w:type="dxa"/>
        <w:tblInd w:w="675" w:type="dxa"/>
        <w:tblLook w:val="04A0" w:firstRow="1" w:lastRow="0" w:firstColumn="1" w:lastColumn="0" w:noHBand="0" w:noVBand="1"/>
      </w:tblPr>
      <w:tblGrid>
        <w:gridCol w:w="1827"/>
        <w:gridCol w:w="3560"/>
        <w:gridCol w:w="3260"/>
      </w:tblGrid>
      <w:tr w:rsidR="0041579A" w:rsidRPr="000038C0" w:rsidTr="00F02045">
        <w:tc>
          <w:tcPr>
            <w:tcW w:w="1827"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r w:rsidRPr="000038C0">
              <w:rPr>
                <w:sz w:val="20"/>
                <w:lang w:val="de-DE"/>
              </w:rPr>
              <w:t>Verpackungsgruppe</w:t>
            </w:r>
          </w:p>
        </w:tc>
        <w:tc>
          <w:tcPr>
            <w:tcW w:w="35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Ergänzung der Bennenung/Bezeichnung</w:t>
            </w:r>
          </w:p>
        </w:tc>
        <w:tc>
          <w:tcPr>
            <w:tcW w:w="32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Beförderungsbedingen</w:t>
            </w:r>
          </w:p>
        </w:tc>
      </w:tr>
      <w:tr w:rsidR="0041579A" w:rsidRPr="000038C0" w:rsidTr="00F02045">
        <w:tc>
          <w:tcPr>
            <w:tcW w:w="1827"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c>
          <w:tcPr>
            <w:tcW w:w="32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r>
      <w:tr w:rsidR="0041579A" w:rsidRPr="000038C0" w:rsidTr="00F02045">
        <w:tc>
          <w:tcPr>
            <w:tcW w:w="1827"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r w:rsidRPr="000038C0">
              <w:rPr>
                <w:sz w:val="20"/>
                <w:lang w:val="de-DE"/>
              </w:rPr>
              <w:t>I</w:t>
            </w:r>
          </w:p>
        </w:tc>
        <w:tc>
          <w:tcPr>
            <w:tcW w:w="35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Sdbg. ≤ 60 °C</w:t>
            </w:r>
          </w:p>
        </w:tc>
        <w:tc>
          <w:tcPr>
            <w:tcW w:w="32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Drucktank</w:t>
            </w:r>
          </w:p>
        </w:tc>
      </w:tr>
      <w:tr w:rsidR="0041579A" w:rsidRPr="000038C0" w:rsidTr="00F02045">
        <w:tc>
          <w:tcPr>
            <w:tcW w:w="1827"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c>
          <w:tcPr>
            <w:tcW w:w="32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r>
      <w:tr w:rsidR="0041579A" w:rsidRPr="000038C0" w:rsidTr="00F02045">
        <w:tc>
          <w:tcPr>
            <w:tcW w:w="1827"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r w:rsidRPr="000038C0">
              <w:rPr>
                <w:sz w:val="20"/>
                <w:lang w:val="de-DE"/>
              </w:rPr>
              <w:t>II</w:t>
            </w:r>
          </w:p>
        </w:tc>
        <w:tc>
          <w:tcPr>
            <w:tcW w:w="35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Sdbg. ≤ 60 °C</w:t>
            </w:r>
          </w:p>
        </w:tc>
        <w:tc>
          <w:tcPr>
            <w:tcW w:w="32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Drucktank</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60 °C &lt; Sdbg. ≤ 85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50 kPa mit Berieselung (Bem. 38)</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85 °C &lt; Sdbg. ≤ 115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50 kPa</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Sdbg &gt; 115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35 kPa</w:t>
            </w:r>
          </w:p>
        </w:tc>
      </w:tr>
      <w:tr w:rsidR="0041579A" w:rsidRPr="000038C0" w:rsidTr="00F02045">
        <w:tc>
          <w:tcPr>
            <w:tcW w:w="1827"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c>
          <w:tcPr>
            <w:tcW w:w="3260" w:type="dxa"/>
            <w:tcBorders>
              <w:left w:val="single" w:sz="4" w:space="0" w:color="auto"/>
              <w:bottom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p>
        </w:tc>
      </w:tr>
      <w:tr w:rsidR="0041579A" w:rsidRPr="000038C0" w:rsidTr="00F02045">
        <w:tc>
          <w:tcPr>
            <w:tcW w:w="1827"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r w:rsidRPr="000038C0">
              <w:rPr>
                <w:sz w:val="20"/>
                <w:lang w:val="de-DE"/>
              </w:rPr>
              <w:t>III</w:t>
            </w:r>
          </w:p>
        </w:tc>
        <w:tc>
          <w:tcPr>
            <w:tcW w:w="35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Sdbg. ≤ 60 °C</w:t>
            </w:r>
          </w:p>
        </w:tc>
        <w:tc>
          <w:tcPr>
            <w:tcW w:w="3260" w:type="dxa"/>
            <w:tcBorders>
              <w:top w:val="single" w:sz="4" w:space="0" w:color="auto"/>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Drucktank</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60 °C &lt; Sdbg. ≤ 85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50 kPa mit Berieselung (Bem. 38)</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85 °C &lt; Sdbg. ≤ 115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50 kPa</w:t>
            </w:r>
          </w:p>
        </w:tc>
      </w:tr>
      <w:tr w:rsidR="0041579A" w:rsidRPr="000038C0" w:rsidTr="00F02045">
        <w:tc>
          <w:tcPr>
            <w:tcW w:w="1827"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center"/>
              <w:rPr>
                <w:sz w:val="20"/>
                <w:lang w:val="de-DE"/>
              </w:rPr>
            </w:pPr>
          </w:p>
        </w:tc>
        <w:tc>
          <w:tcPr>
            <w:tcW w:w="35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Sdbg &gt; 115 °C</w:t>
            </w:r>
          </w:p>
        </w:tc>
        <w:tc>
          <w:tcPr>
            <w:tcW w:w="3260" w:type="dxa"/>
            <w:tcBorders>
              <w:left w:val="single" w:sz="4" w:space="0" w:color="auto"/>
              <w:right w:val="single" w:sz="4" w:space="0" w:color="auto"/>
            </w:tcBorders>
            <w:shd w:val="clear" w:color="auto" w:fill="auto"/>
          </w:tcPr>
          <w:p w:rsidR="0041579A" w:rsidRPr="000038C0" w:rsidRDefault="0041579A" w:rsidP="000038C0">
            <w:pPr>
              <w:tabs>
                <w:tab w:val="left" w:pos="425"/>
                <w:tab w:val="left" w:pos="851"/>
                <w:tab w:val="left" w:pos="1276"/>
              </w:tabs>
              <w:spacing w:after="0"/>
              <w:jc w:val="both"/>
              <w:rPr>
                <w:sz w:val="20"/>
                <w:lang w:val="de-DE"/>
              </w:rPr>
            </w:pPr>
            <w:r w:rsidRPr="000038C0">
              <w:rPr>
                <w:sz w:val="20"/>
                <w:lang w:val="de-DE"/>
              </w:rPr>
              <w:t>35 kPa</w:t>
            </w:r>
          </w:p>
        </w:tc>
      </w:tr>
      <w:tr w:rsidR="00F02045" w:rsidRPr="000038C0" w:rsidTr="00F02045">
        <w:tc>
          <w:tcPr>
            <w:tcW w:w="1827" w:type="dxa"/>
            <w:tcBorders>
              <w:left w:val="single" w:sz="4" w:space="0" w:color="auto"/>
              <w:bottom w:val="single" w:sz="4" w:space="0" w:color="auto"/>
              <w:right w:val="single" w:sz="4" w:space="0" w:color="auto"/>
            </w:tcBorders>
            <w:shd w:val="clear" w:color="auto" w:fill="auto"/>
          </w:tcPr>
          <w:p w:rsidR="00F02045" w:rsidRPr="000038C0" w:rsidRDefault="00F02045" w:rsidP="000038C0">
            <w:pPr>
              <w:tabs>
                <w:tab w:val="left" w:pos="425"/>
                <w:tab w:val="left" w:pos="851"/>
                <w:tab w:val="left" w:pos="1276"/>
              </w:tabs>
              <w:spacing w:after="0"/>
              <w:jc w:val="center"/>
              <w:rPr>
                <w:sz w:val="20"/>
                <w:lang w:val="de-DE"/>
              </w:rPr>
            </w:pPr>
          </w:p>
        </w:tc>
        <w:tc>
          <w:tcPr>
            <w:tcW w:w="3560" w:type="dxa"/>
            <w:tcBorders>
              <w:left w:val="single" w:sz="4" w:space="0" w:color="auto"/>
              <w:bottom w:val="single" w:sz="4" w:space="0" w:color="auto"/>
              <w:right w:val="single" w:sz="4" w:space="0" w:color="auto"/>
            </w:tcBorders>
            <w:shd w:val="clear" w:color="auto" w:fill="auto"/>
          </w:tcPr>
          <w:p w:rsidR="00F02045" w:rsidRPr="000038C0" w:rsidRDefault="00F02045" w:rsidP="000038C0">
            <w:pPr>
              <w:tabs>
                <w:tab w:val="left" w:pos="425"/>
                <w:tab w:val="left" w:pos="851"/>
                <w:tab w:val="left" w:pos="1276"/>
              </w:tabs>
              <w:spacing w:after="0"/>
              <w:jc w:val="both"/>
              <w:rPr>
                <w:sz w:val="20"/>
                <w:lang w:val="de-DE"/>
              </w:rPr>
            </w:pPr>
          </w:p>
        </w:tc>
        <w:tc>
          <w:tcPr>
            <w:tcW w:w="3260" w:type="dxa"/>
            <w:tcBorders>
              <w:left w:val="single" w:sz="4" w:space="0" w:color="auto"/>
              <w:bottom w:val="single" w:sz="4" w:space="0" w:color="auto"/>
              <w:right w:val="single" w:sz="4" w:space="0" w:color="auto"/>
            </w:tcBorders>
            <w:shd w:val="clear" w:color="auto" w:fill="auto"/>
          </w:tcPr>
          <w:p w:rsidR="00F02045" w:rsidRPr="000038C0" w:rsidRDefault="00F02045" w:rsidP="000038C0">
            <w:pPr>
              <w:tabs>
                <w:tab w:val="left" w:pos="425"/>
                <w:tab w:val="left" w:pos="851"/>
                <w:tab w:val="left" w:pos="1276"/>
              </w:tabs>
              <w:spacing w:after="0"/>
              <w:jc w:val="both"/>
              <w:rPr>
                <w:sz w:val="20"/>
                <w:lang w:val="de-DE"/>
              </w:rPr>
            </w:pPr>
          </w:p>
        </w:tc>
      </w:tr>
    </w:tbl>
    <w:p w:rsidR="0033405A" w:rsidRDefault="0033405A" w:rsidP="003D1551">
      <w:pPr>
        <w:spacing w:after="0"/>
        <w:rPr>
          <w:sz w:val="20"/>
          <w:lang w:val="de-DE"/>
        </w:rPr>
      </w:pPr>
    </w:p>
    <w:p w:rsidR="00A52144" w:rsidRDefault="0033405A" w:rsidP="007C28DE">
      <w:pPr>
        <w:spacing w:after="0"/>
        <w:ind w:right="566"/>
        <w:jc w:val="both"/>
        <w:rPr>
          <w:bCs/>
          <w:sz w:val="20"/>
          <w:lang w:val="de-DE"/>
        </w:rPr>
      </w:pPr>
      <w:r>
        <w:rPr>
          <w:sz w:val="20"/>
          <w:lang w:val="de-DE"/>
        </w:rPr>
        <w:br w:type="page"/>
      </w:r>
      <w:r w:rsidR="00A52144">
        <w:rPr>
          <w:sz w:val="20"/>
          <w:lang w:val="de-DE"/>
        </w:rPr>
        <w:lastRenderedPageBreak/>
        <w:t>19</w:t>
      </w:r>
      <w:r w:rsidR="00A52144">
        <w:rPr>
          <w:bCs/>
          <w:sz w:val="20"/>
          <w:lang w:val="de-DE"/>
        </w:rPr>
        <w:t>.</w:t>
      </w:r>
      <w:r w:rsidR="00A52144">
        <w:rPr>
          <w:bCs/>
          <w:sz w:val="20"/>
          <w:lang w:val="de-DE"/>
        </w:rPr>
        <w:tab/>
        <w:t>Die im Zusammenhang mit dem aktuellen Vorschriftenstand missverständliche Formulierung der Bemerkung 38 sollte ersetzt werden durch:</w:t>
      </w:r>
    </w:p>
    <w:p w:rsidR="00A52144" w:rsidRDefault="00A52144" w:rsidP="007C28DE">
      <w:pPr>
        <w:spacing w:after="0"/>
        <w:ind w:right="566"/>
        <w:jc w:val="both"/>
        <w:rPr>
          <w:sz w:val="20"/>
          <w:lang w:val="de-DE"/>
        </w:rPr>
      </w:pPr>
      <w:r>
        <w:rPr>
          <w:bCs/>
          <w:sz w:val="20"/>
          <w:lang w:val="de-DE"/>
        </w:rPr>
        <w:t>„Bemerkung 38: B</w:t>
      </w:r>
      <w:r>
        <w:rPr>
          <w:sz w:val="20"/>
          <w:lang w:val="de-DE"/>
        </w:rPr>
        <w:t>ei einem Siedebeginn von größer 60 °C und kleiner gleich 85 °C, bestimmt nach SATM D86-01, sind die Beförderungsbedingungen wie bei einem Siedebeginn von kleiner gleich 60 °C anzuwenden.“</w:t>
      </w:r>
    </w:p>
    <w:p w:rsidR="00A52144" w:rsidRDefault="00A52144" w:rsidP="007C28DE">
      <w:pPr>
        <w:spacing w:after="0"/>
        <w:ind w:right="566"/>
        <w:jc w:val="both"/>
        <w:rPr>
          <w:sz w:val="20"/>
          <w:lang w:val="de-DE"/>
        </w:rPr>
      </w:pPr>
    </w:p>
    <w:p w:rsidR="00A52144" w:rsidRDefault="00A52144" w:rsidP="007C28DE">
      <w:pPr>
        <w:spacing w:after="0"/>
        <w:ind w:right="566"/>
        <w:jc w:val="both"/>
        <w:rPr>
          <w:bCs/>
          <w:sz w:val="20"/>
          <w:lang w:val="de-DE"/>
        </w:rPr>
      </w:pPr>
      <w:r>
        <w:rPr>
          <w:sz w:val="20"/>
          <w:lang w:val="de-DE"/>
        </w:rPr>
        <w:t>20.</w:t>
      </w:r>
      <w:r>
        <w:rPr>
          <w:sz w:val="20"/>
          <w:lang w:val="de-DE"/>
        </w:rPr>
        <w:tab/>
        <w:t>Die Bemerkung 38 soll allen Eintragungen der Verpackungsgruppen II und III in der Tabelle C zugeordnet werden, bei denen in der Benennung/Bezeichnung die Ergänzung „Siedebeginn von größer 60 °C und kleiner gleich 85 °C“ vorhanden ist.</w:t>
      </w:r>
    </w:p>
    <w:p w:rsidR="00A52144" w:rsidRDefault="00A52144" w:rsidP="007C28DE">
      <w:pPr>
        <w:spacing w:after="0"/>
        <w:ind w:right="566"/>
        <w:jc w:val="both"/>
        <w:rPr>
          <w:bCs/>
          <w:sz w:val="20"/>
          <w:lang w:val="de-DE"/>
        </w:rPr>
      </w:pPr>
    </w:p>
    <w:p w:rsidR="0041579A" w:rsidRDefault="0041579A" w:rsidP="003D1551">
      <w:pPr>
        <w:spacing w:after="0"/>
        <w:rPr>
          <w:sz w:val="20"/>
          <w:lang w:val="de-DE"/>
        </w:rPr>
      </w:pPr>
    </w:p>
    <w:p w:rsidR="0041579A" w:rsidRDefault="00A52144" w:rsidP="003D1551">
      <w:pPr>
        <w:spacing w:after="0"/>
        <w:rPr>
          <w:sz w:val="20"/>
          <w:lang w:val="de-DE"/>
        </w:rPr>
      </w:pPr>
      <w:r>
        <w:rPr>
          <w:sz w:val="20"/>
          <w:lang w:val="de-DE"/>
        </w:rPr>
        <w:t>2</w:t>
      </w:r>
      <w:r w:rsidR="0033405A">
        <w:rPr>
          <w:sz w:val="20"/>
          <w:lang w:val="de-DE"/>
        </w:rPr>
        <w:t>1.</w:t>
      </w:r>
      <w:r w:rsidR="0033405A">
        <w:rPr>
          <w:sz w:val="20"/>
          <w:lang w:val="de-DE"/>
        </w:rPr>
        <w:tab/>
        <w:t>Für die Situation (3) sind folgende Eintragungen erforderlich:</w:t>
      </w:r>
    </w:p>
    <w:p w:rsidR="0033405A" w:rsidRDefault="0033405A" w:rsidP="003D1551">
      <w:pPr>
        <w:spacing w:after="0"/>
        <w:rPr>
          <w:sz w:val="20"/>
          <w:lang w:val="de-DE"/>
        </w:rPr>
      </w:pPr>
    </w:p>
    <w:tbl>
      <w:tblPr>
        <w:tblW w:w="8647" w:type="dxa"/>
        <w:tblInd w:w="675" w:type="dxa"/>
        <w:tblLook w:val="04A0" w:firstRow="1" w:lastRow="0" w:firstColumn="1" w:lastColumn="0" w:noHBand="0" w:noVBand="1"/>
      </w:tblPr>
      <w:tblGrid>
        <w:gridCol w:w="3930"/>
        <w:gridCol w:w="4717"/>
      </w:tblGrid>
      <w:tr w:rsidR="0033405A" w:rsidRPr="000038C0" w:rsidTr="00F02045">
        <w:tc>
          <w:tcPr>
            <w:tcW w:w="3930" w:type="dxa"/>
            <w:tcBorders>
              <w:top w:val="single" w:sz="4" w:space="0" w:color="auto"/>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Ergänzung der Bennenung/Bezeichnung</w:t>
            </w:r>
          </w:p>
        </w:tc>
        <w:tc>
          <w:tcPr>
            <w:tcW w:w="4717" w:type="dxa"/>
            <w:tcBorders>
              <w:top w:val="single" w:sz="4" w:space="0" w:color="auto"/>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Beförderungsbedingen</w:t>
            </w:r>
          </w:p>
        </w:tc>
      </w:tr>
      <w:tr w:rsidR="0033405A" w:rsidRPr="000038C0" w:rsidTr="00F02045">
        <w:tc>
          <w:tcPr>
            <w:tcW w:w="3930" w:type="dxa"/>
            <w:tcBorders>
              <w:left w:val="single" w:sz="4" w:space="0" w:color="auto"/>
              <w:bottom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p>
        </w:tc>
        <w:tc>
          <w:tcPr>
            <w:tcW w:w="4717" w:type="dxa"/>
            <w:tcBorders>
              <w:left w:val="single" w:sz="4" w:space="0" w:color="auto"/>
              <w:bottom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p>
        </w:tc>
      </w:tr>
      <w:tr w:rsidR="0033405A" w:rsidRPr="000038C0" w:rsidTr="00F02045">
        <w:tc>
          <w:tcPr>
            <w:tcW w:w="3930" w:type="dxa"/>
            <w:tcBorders>
              <w:top w:val="single" w:sz="4" w:space="0" w:color="auto"/>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175 kPa ≤ pd50 &lt; 300 kPa</w:t>
            </w:r>
          </w:p>
        </w:tc>
        <w:tc>
          <w:tcPr>
            <w:tcW w:w="4717" w:type="dxa"/>
            <w:tcBorders>
              <w:top w:val="single" w:sz="4" w:space="0" w:color="auto"/>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Drucktank</w:t>
            </w:r>
          </w:p>
        </w:tc>
      </w:tr>
      <w:tr w:rsidR="0033405A" w:rsidRPr="000038C0" w:rsidTr="00F02045">
        <w:tc>
          <w:tcPr>
            <w:tcW w:w="3930" w:type="dxa"/>
            <w:tcBorders>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175 kPa ≤ pd50 &lt; 300 kPa</w:t>
            </w:r>
          </w:p>
        </w:tc>
        <w:tc>
          <w:tcPr>
            <w:tcW w:w="4717" w:type="dxa"/>
            <w:tcBorders>
              <w:left w:val="single" w:sz="4" w:space="0" w:color="auto"/>
              <w:right w:val="single" w:sz="4" w:space="0" w:color="auto"/>
            </w:tcBorders>
            <w:shd w:val="clear" w:color="auto" w:fill="auto"/>
          </w:tcPr>
          <w:p w:rsidR="0033405A" w:rsidRPr="000038C0" w:rsidRDefault="00FF1129" w:rsidP="000038C0">
            <w:pPr>
              <w:tabs>
                <w:tab w:val="left" w:pos="425"/>
                <w:tab w:val="left" w:pos="851"/>
                <w:tab w:val="left" w:pos="1276"/>
              </w:tabs>
              <w:spacing w:after="0"/>
              <w:jc w:val="both"/>
              <w:rPr>
                <w:sz w:val="20"/>
                <w:lang w:val="de-DE"/>
              </w:rPr>
            </w:pPr>
            <w:r w:rsidRPr="000038C0">
              <w:rPr>
                <w:sz w:val="20"/>
                <w:lang w:val="de-DE"/>
              </w:rPr>
              <w:t>50 kPa mit Kühlung</w:t>
            </w:r>
          </w:p>
        </w:tc>
      </w:tr>
      <w:tr w:rsidR="0033405A" w:rsidRPr="000038C0" w:rsidTr="00F02045">
        <w:tc>
          <w:tcPr>
            <w:tcW w:w="3930" w:type="dxa"/>
            <w:tcBorders>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110 kPa ≤ pd50 &lt; 175 kPa</w:t>
            </w:r>
          </w:p>
        </w:tc>
        <w:tc>
          <w:tcPr>
            <w:tcW w:w="4717" w:type="dxa"/>
            <w:tcBorders>
              <w:left w:val="single" w:sz="4" w:space="0" w:color="auto"/>
              <w:right w:val="single" w:sz="4" w:space="0" w:color="auto"/>
            </w:tcBorders>
            <w:shd w:val="clear" w:color="auto" w:fill="auto"/>
          </w:tcPr>
          <w:p w:rsidR="0033405A" w:rsidRPr="000038C0" w:rsidRDefault="00FF1129" w:rsidP="000038C0">
            <w:pPr>
              <w:tabs>
                <w:tab w:val="left" w:pos="425"/>
                <w:tab w:val="left" w:pos="851"/>
                <w:tab w:val="left" w:pos="1276"/>
              </w:tabs>
              <w:spacing w:after="0"/>
              <w:jc w:val="both"/>
              <w:rPr>
                <w:sz w:val="20"/>
                <w:lang w:val="de-DE"/>
              </w:rPr>
            </w:pPr>
            <w:r w:rsidRPr="000038C0">
              <w:rPr>
                <w:sz w:val="20"/>
                <w:lang w:val="de-DE"/>
              </w:rPr>
              <w:t>50 kPa</w:t>
            </w:r>
          </w:p>
        </w:tc>
      </w:tr>
      <w:tr w:rsidR="0033405A" w:rsidRPr="000038C0" w:rsidTr="00F02045">
        <w:tc>
          <w:tcPr>
            <w:tcW w:w="3930" w:type="dxa"/>
            <w:tcBorders>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lang w:val="de-DE"/>
              </w:rPr>
              <w:t>110 kPa ≤ pd50 &lt; 150 kPa</w:t>
            </w:r>
          </w:p>
        </w:tc>
        <w:tc>
          <w:tcPr>
            <w:tcW w:w="4717" w:type="dxa"/>
            <w:tcBorders>
              <w:left w:val="single" w:sz="4" w:space="0" w:color="auto"/>
              <w:right w:val="single" w:sz="4" w:space="0" w:color="auto"/>
            </w:tcBorders>
            <w:shd w:val="clear" w:color="auto" w:fill="auto"/>
          </w:tcPr>
          <w:p w:rsidR="0033405A" w:rsidRPr="000038C0" w:rsidRDefault="00FF1129" w:rsidP="000038C0">
            <w:pPr>
              <w:tabs>
                <w:tab w:val="left" w:pos="425"/>
                <w:tab w:val="left" w:pos="851"/>
                <w:tab w:val="left" w:pos="1276"/>
              </w:tabs>
              <w:spacing w:after="0"/>
              <w:jc w:val="both"/>
              <w:rPr>
                <w:sz w:val="20"/>
                <w:lang w:val="de-DE"/>
              </w:rPr>
            </w:pPr>
            <w:r w:rsidRPr="000038C0">
              <w:rPr>
                <w:sz w:val="20"/>
                <w:lang w:val="de-DE"/>
              </w:rPr>
              <w:t>10 kPa mit Berieselung</w:t>
            </w:r>
          </w:p>
        </w:tc>
      </w:tr>
      <w:tr w:rsidR="0033405A" w:rsidRPr="000038C0" w:rsidTr="00F02045">
        <w:tc>
          <w:tcPr>
            <w:tcW w:w="3930" w:type="dxa"/>
            <w:tcBorders>
              <w:left w:val="single" w:sz="4" w:space="0" w:color="auto"/>
              <w:right w:val="single" w:sz="4" w:space="0" w:color="auto"/>
            </w:tcBorders>
            <w:shd w:val="clear" w:color="auto" w:fill="auto"/>
          </w:tcPr>
          <w:p w:rsidR="0033405A" w:rsidRPr="000038C0" w:rsidRDefault="0033405A" w:rsidP="000038C0">
            <w:pPr>
              <w:tabs>
                <w:tab w:val="left" w:pos="425"/>
                <w:tab w:val="left" w:pos="851"/>
                <w:tab w:val="left" w:pos="1276"/>
              </w:tabs>
              <w:spacing w:after="0"/>
              <w:jc w:val="both"/>
              <w:rPr>
                <w:sz w:val="20"/>
                <w:lang w:val="de-DE"/>
              </w:rPr>
            </w:pPr>
            <w:r w:rsidRPr="000038C0">
              <w:rPr>
                <w:sz w:val="20"/>
              </w:rPr>
              <w:t>pd50 &lt; 110 kPa</w:t>
            </w:r>
          </w:p>
        </w:tc>
        <w:tc>
          <w:tcPr>
            <w:tcW w:w="4717" w:type="dxa"/>
            <w:tcBorders>
              <w:left w:val="single" w:sz="4" w:space="0" w:color="auto"/>
              <w:right w:val="single" w:sz="4" w:space="0" w:color="auto"/>
            </w:tcBorders>
            <w:shd w:val="clear" w:color="auto" w:fill="auto"/>
          </w:tcPr>
          <w:p w:rsidR="0033405A" w:rsidRPr="000038C0" w:rsidRDefault="00FF1129" w:rsidP="000038C0">
            <w:pPr>
              <w:tabs>
                <w:tab w:val="left" w:pos="425"/>
                <w:tab w:val="left" w:pos="851"/>
                <w:tab w:val="left" w:pos="1276"/>
              </w:tabs>
              <w:spacing w:after="0"/>
              <w:jc w:val="both"/>
              <w:rPr>
                <w:sz w:val="20"/>
                <w:lang w:val="de-DE"/>
              </w:rPr>
            </w:pPr>
            <w:r w:rsidRPr="000038C0">
              <w:rPr>
                <w:sz w:val="20"/>
                <w:lang w:val="de-DE"/>
              </w:rPr>
              <w:t>10 kPa</w:t>
            </w:r>
          </w:p>
        </w:tc>
      </w:tr>
      <w:tr w:rsidR="00F02045" w:rsidRPr="000038C0" w:rsidTr="00F02045">
        <w:tc>
          <w:tcPr>
            <w:tcW w:w="3930" w:type="dxa"/>
            <w:tcBorders>
              <w:left w:val="single" w:sz="4" w:space="0" w:color="auto"/>
              <w:bottom w:val="single" w:sz="4" w:space="0" w:color="auto"/>
              <w:right w:val="single" w:sz="4" w:space="0" w:color="auto"/>
            </w:tcBorders>
            <w:shd w:val="clear" w:color="auto" w:fill="auto"/>
          </w:tcPr>
          <w:p w:rsidR="00F02045" w:rsidRPr="000038C0" w:rsidRDefault="00F02045" w:rsidP="000038C0">
            <w:pPr>
              <w:tabs>
                <w:tab w:val="left" w:pos="425"/>
                <w:tab w:val="left" w:pos="851"/>
                <w:tab w:val="left" w:pos="1276"/>
              </w:tabs>
              <w:spacing w:after="0"/>
              <w:jc w:val="both"/>
              <w:rPr>
                <w:sz w:val="20"/>
              </w:rPr>
            </w:pPr>
          </w:p>
        </w:tc>
        <w:tc>
          <w:tcPr>
            <w:tcW w:w="4717" w:type="dxa"/>
            <w:tcBorders>
              <w:left w:val="single" w:sz="4" w:space="0" w:color="auto"/>
              <w:bottom w:val="single" w:sz="4" w:space="0" w:color="auto"/>
              <w:right w:val="single" w:sz="4" w:space="0" w:color="auto"/>
            </w:tcBorders>
            <w:shd w:val="clear" w:color="auto" w:fill="auto"/>
          </w:tcPr>
          <w:p w:rsidR="00F02045" w:rsidRPr="000038C0" w:rsidRDefault="00F02045" w:rsidP="000038C0">
            <w:pPr>
              <w:tabs>
                <w:tab w:val="left" w:pos="425"/>
                <w:tab w:val="left" w:pos="851"/>
                <w:tab w:val="left" w:pos="1276"/>
              </w:tabs>
              <w:spacing w:after="0"/>
              <w:jc w:val="both"/>
              <w:rPr>
                <w:sz w:val="20"/>
                <w:lang w:val="de-DE"/>
              </w:rPr>
            </w:pPr>
          </w:p>
        </w:tc>
      </w:tr>
    </w:tbl>
    <w:p w:rsidR="0033405A" w:rsidRDefault="0033405A" w:rsidP="003D1551">
      <w:pPr>
        <w:spacing w:after="0"/>
        <w:rPr>
          <w:sz w:val="20"/>
          <w:lang w:val="de-DE"/>
        </w:rPr>
      </w:pPr>
    </w:p>
    <w:p w:rsidR="00A52144" w:rsidRDefault="00A52144" w:rsidP="003D1551">
      <w:pPr>
        <w:spacing w:after="0"/>
        <w:rPr>
          <w:bCs/>
          <w:sz w:val="20"/>
          <w:lang w:val="de-DE"/>
        </w:rPr>
      </w:pPr>
    </w:p>
    <w:p w:rsidR="00FF1129" w:rsidRPr="00FF1129" w:rsidRDefault="00FF1129" w:rsidP="003D1551">
      <w:pPr>
        <w:spacing w:after="0"/>
        <w:rPr>
          <w:sz w:val="20"/>
          <w:lang w:val="de-DE"/>
        </w:rPr>
      </w:pPr>
      <w:r>
        <w:rPr>
          <w:bCs/>
          <w:sz w:val="20"/>
          <w:lang w:val="de-DE"/>
        </w:rPr>
        <w:t>2</w:t>
      </w:r>
      <w:r w:rsidR="00A52144">
        <w:rPr>
          <w:bCs/>
          <w:sz w:val="20"/>
          <w:lang w:val="de-DE"/>
        </w:rPr>
        <w:t>2</w:t>
      </w:r>
      <w:r>
        <w:rPr>
          <w:bCs/>
          <w:sz w:val="20"/>
          <w:lang w:val="de-DE"/>
        </w:rPr>
        <w:t>.</w:t>
      </w:r>
      <w:r>
        <w:rPr>
          <w:bCs/>
          <w:sz w:val="20"/>
          <w:lang w:val="de-DE"/>
        </w:rPr>
        <w:tab/>
        <w:t>Als Folgeänderung müsste auch das Beispiel zu UN 1993 in 3.1.2.8.1.4 angepasst werden.</w:t>
      </w:r>
    </w:p>
    <w:p w:rsidR="00927375" w:rsidRDefault="00927375" w:rsidP="004C730B">
      <w:pPr>
        <w:spacing w:after="0"/>
        <w:ind w:right="566"/>
        <w:jc w:val="both"/>
        <w:rPr>
          <w:sz w:val="20"/>
          <w:lang w:val="de-DE"/>
        </w:rPr>
      </w:pPr>
    </w:p>
    <w:p w:rsidR="00A52144" w:rsidRDefault="00DE025E" w:rsidP="004C730B">
      <w:pPr>
        <w:spacing w:after="0"/>
        <w:ind w:right="566"/>
        <w:jc w:val="both"/>
        <w:rPr>
          <w:sz w:val="20"/>
          <w:lang w:val="de-DE"/>
        </w:rPr>
      </w:pPr>
      <w:r>
        <w:rPr>
          <w:sz w:val="20"/>
          <w:lang w:val="de-DE"/>
        </w:rPr>
        <w:t>23.</w:t>
      </w:r>
      <w:r>
        <w:rPr>
          <w:sz w:val="20"/>
          <w:lang w:val="de-DE"/>
        </w:rPr>
        <w:tab/>
        <w:t>Außerdem empfiehlt die Informelle Arbeitsgruppe, bei allen Eintragungen in der Tabelle C mit der der Ergänzung „MIT MEHR ALS 10 % BENZENE“ in der Benennung/Bezeichnung in der Spalte (5) Gefahren „(N1, N2 oder N3) zu ergänzen.</w:t>
      </w:r>
    </w:p>
    <w:p w:rsidR="00A52144" w:rsidRDefault="00A52144" w:rsidP="004C730B">
      <w:pPr>
        <w:spacing w:after="0"/>
        <w:ind w:right="566"/>
        <w:jc w:val="both"/>
        <w:rPr>
          <w:sz w:val="20"/>
          <w:lang w:val="de-DE"/>
        </w:rPr>
      </w:pPr>
    </w:p>
    <w:p w:rsidR="00907569" w:rsidRDefault="00907569" w:rsidP="004C730B">
      <w:pPr>
        <w:spacing w:after="0"/>
        <w:ind w:right="566"/>
        <w:jc w:val="both"/>
        <w:rPr>
          <w:sz w:val="20"/>
          <w:lang w:val="de-DE"/>
        </w:rPr>
      </w:pPr>
    </w:p>
    <w:p w:rsidR="00907569" w:rsidRPr="00907569" w:rsidRDefault="00907569" w:rsidP="004C730B">
      <w:pPr>
        <w:spacing w:after="0"/>
        <w:ind w:right="566"/>
        <w:jc w:val="both"/>
        <w:rPr>
          <w:sz w:val="20"/>
          <w:lang w:val="de-DE"/>
        </w:rPr>
      </w:pPr>
      <w:r>
        <w:rPr>
          <w:b/>
          <w:bCs/>
          <w:sz w:val="20"/>
          <w:lang w:val="de-DE"/>
        </w:rPr>
        <w:t>D.</w:t>
      </w:r>
      <w:r>
        <w:rPr>
          <w:b/>
          <w:bCs/>
          <w:sz w:val="20"/>
          <w:lang w:val="de-DE"/>
        </w:rPr>
        <w:tab/>
      </w:r>
      <w:r w:rsidRPr="00907569">
        <w:rPr>
          <w:b/>
          <w:bCs/>
          <w:sz w:val="20"/>
          <w:lang w:val="de-DE"/>
        </w:rPr>
        <w:t>Ersetzung des Begriffs „Siedepunkt“ durch „Siedebeginn“</w:t>
      </w:r>
    </w:p>
    <w:p w:rsidR="00907569" w:rsidRDefault="00907569" w:rsidP="004C730B">
      <w:pPr>
        <w:spacing w:after="0"/>
        <w:ind w:right="566"/>
        <w:jc w:val="both"/>
        <w:rPr>
          <w:sz w:val="20"/>
          <w:lang w:val="de-DE"/>
        </w:rPr>
      </w:pPr>
    </w:p>
    <w:p w:rsidR="00845A5E" w:rsidRDefault="00845A5E" w:rsidP="004C730B">
      <w:pPr>
        <w:spacing w:after="0"/>
        <w:ind w:right="566"/>
        <w:jc w:val="both"/>
        <w:rPr>
          <w:sz w:val="20"/>
          <w:lang w:val="de-DE"/>
        </w:rPr>
      </w:pPr>
      <w:r>
        <w:rPr>
          <w:sz w:val="20"/>
          <w:lang w:val="de-DE"/>
        </w:rPr>
        <w:t>2</w:t>
      </w:r>
      <w:r w:rsidR="00DE025E">
        <w:rPr>
          <w:sz w:val="20"/>
          <w:lang w:val="de-DE"/>
        </w:rPr>
        <w:t>4</w:t>
      </w:r>
      <w:r>
        <w:rPr>
          <w:sz w:val="20"/>
          <w:lang w:val="de-DE"/>
        </w:rPr>
        <w:t>.</w:t>
      </w:r>
      <w:r>
        <w:rPr>
          <w:sz w:val="20"/>
          <w:lang w:val="de-DE"/>
        </w:rPr>
        <w:tab/>
        <w:t>Die Mitglieder der Informellen Arbeitsgruppe kommen zu der Auffassung, dass im ADN der veraltete Begriff „Siedepunkt“ durch den heute gebräuchlichen Begriff „Siedebeginn“ ersetzt werden sollte</w:t>
      </w:r>
    </w:p>
    <w:p w:rsidR="00845A5E" w:rsidRPr="000B697D" w:rsidRDefault="00845A5E" w:rsidP="004C730B">
      <w:pPr>
        <w:spacing w:after="0"/>
        <w:ind w:right="566"/>
        <w:jc w:val="both"/>
        <w:rPr>
          <w:sz w:val="20"/>
          <w:lang w:val="de-DE"/>
        </w:rPr>
      </w:pPr>
    </w:p>
    <w:p w:rsidR="00F14F53" w:rsidRDefault="00845A5E" w:rsidP="004C730B">
      <w:pPr>
        <w:spacing w:after="0"/>
        <w:ind w:right="566"/>
        <w:jc w:val="both"/>
        <w:rPr>
          <w:sz w:val="20"/>
          <w:lang w:val="de-DE"/>
        </w:rPr>
      </w:pPr>
      <w:r>
        <w:rPr>
          <w:sz w:val="20"/>
          <w:lang w:val="de-DE"/>
        </w:rPr>
        <w:t>2</w:t>
      </w:r>
      <w:r w:rsidR="00DE025E">
        <w:rPr>
          <w:sz w:val="20"/>
          <w:lang w:val="de-DE"/>
        </w:rPr>
        <w:t>5</w:t>
      </w:r>
      <w:r w:rsidR="00CF7145" w:rsidRPr="000B697D">
        <w:rPr>
          <w:sz w:val="20"/>
          <w:lang w:val="de-DE"/>
        </w:rPr>
        <w:t>.</w:t>
      </w:r>
      <w:r w:rsidR="00CF7145" w:rsidRPr="000B697D">
        <w:rPr>
          <w:sz w:val="20"/>
          <w:lang w:val="de-DE"/>
        </w:rPr>
        <w:tab/>
      </w:r>
      <w:r w:rsidR="00A84AB9" w:rsidRPr="000B697D">
        <w:rPr>
          <w:sz w:val="20"/>
          <w:lang w:val="de-DE"/>
        </w:rPr>
        <w:t>Im</w:t>
      </w:r>
      <w:r w:rsidR="00CF7145" w:rsidRPr="000B697D">
        <w:rPr>
          <w:sz w:val="20"/>
          <w:lang w:val="de-DE"/>
        </w:rPr>
        <w:t xml:space="preserve"> </w:t>
      </w:r>
      <w:r>
        <w:rPr>
          <w:sz w:val="20"/>
          <w:lang w:val="de-DE"/>
        </w:rPr>
        <w:t>ADN 2015 gib</w:t>
      </w:r>
      <w:r w:rsidR="00DE025E">
        <w:rPr>
          <w:sz w:val="20"/>
          <w:lang w:val="de-DE"/>
        </w:rPr>
        <w:t>t</w:t>
      </w:r>
      <w:r>
        <w:rPr>
          <w:sz w:val="20"/>
          <w:lang w:val="de-DE"/>
        </w:rPr>
        <w:t xml:space="preserve"> es für den Begriff „Siedepunkt“ insgesamt 36 Fundstellen. 25 von diesen Fundstellen sind spezifisch für das ADN, d.h. sie können ohne Auswirkungen auf die Vorschriften anderer Verkehrsträger geändert werden.</w:t>
      </w:r>
    </w:p>
    <w:p w:rsidR="00845A5E" w:rsidRDefault="00845A5E" w:rsidP="004C730B">
      <w:pPr>
        <w:spacing w:after="0"/>
        <w:ind w:right="566"/>
        <w:jc w:val="both"/>
        <w:rPr>
          <w:sz w:val="20"/>
          <w:lang w:val="de-DE"/>
        </w:rPr>
      </w:pPr>
    </w:p>
    <w:p w:rsidR="00845A5E" w:rsidRPr="000B697D" w:rsidRDefault="00845A5E" w:rsidP="004C730B">
      <w:pPr>
        <w:spacing w:after="0"/>
        <w:ind w:right="566"/>
        <w:jc w:val="both"/>
        <w:rPr>
          <w:sz w:val="20"/>
          <w:lang w:val="de-DE"/>
        </w:rPr>
      </w:pPr>
      <w:r>
        <w:rPr>
          <w:sz w:val="20"/>
          <w:lang w:val="de-DE"/>
        </w:rPr>
        <w:t>2</w:t>
      </w:r>
      <w:r w:rsidR="00DE025E">
        <w:rPr>
          <w:sz w:val="20"/>
          <w:lang w:val="de-DE"/>
        </w:rPr>
        <w:t>6</w:t>
      </w:r>
      <w:r>
        <w:rPr>
          <w:sz w:val="20"/>
          <w:lang w:val="de-DE"/>
        </w:rPr>
        <w:t>.</w:t>
      </w:r>
      <w:r>
        <w:rPr>
          <w:sz w:val="20"/>
          <w:lang w:val="de-DE"/>
        </w:rPr>
        <w:tab/>
        <w:t>Bei 11 Fundstellen handelt es sich um Texte, die aus dem ADR übernommen wurden. Die Mitgliede</w:t>
      </w:r>
      <w:r w:rsidR="00DE025E">
        <w:rPr>
          <w:sz w:val="20"/>
          <w:lang w:val="de-DE"/>
        </w:rPr>
        <w:t>r der Informellen Arbeitsgruppe</w:t>
      </w:r>
      <w:r>
        <w:rPr>
          <w:sz w:val="20"/>
          <w:lang w:val="de-DE"/>
        </w:rPr>
        <w:t xml:space="preserve"> bitten den Sicherheitsausschuss zu prüfen, ob hier der Gemeinsamen Tagung Änderungen vorgeschlagen werden sollen.</w:t>
      </w:r>
    </w:p>
    <w:p w:rsidR="00DF1938" w:rsidRDefault="00DF1938" w:rsidP="004C730B">
      <w:pPr>
        <w:spacing w:after="0"/>
        <w:ind w:right="566"/>
        <w:jc w:val="both"/>
        <w:rPr>
          <w:sz w:val="20"/>
          <w:lang w:val="de-DE"/>
        </w:rPr>
      </w:pPr>
    </w:p>
    <w:p w:rsidR="00907569" w:rsidRDefault="00907569" w:rsidP="004C730B">
      <w:pPr>
        <w:spacing w:after="0"/>
        <w:ind w:right="566"/>
        <w:jc w:val="both"/>
        <w:rPr>
          <w:sz w:val="20"/>
          <w:lang w:val="de-DE"/>
        </w:rPr>
      </w:pPr>
    </w:p>
    <w:p w:rsidR="00907569" w:rsidRPr="00907569" w:rsidRDefault="00907569" w:rsidP="004C730B">
      <w:pPr>
        <w:spacing w:after="0"/>
        <w:ind w:right="566"/>
        <w:jc w:val="both"/>
        <w:rPr>
          <w:sz w:val="20"/>
          <w:lang w:val="de-DE"/>
        </w:rPr>
      </w:pPr>
      <w:r>
        <w:rPr>
          <w:b/>
          <w:bCs/>
          <w:sz w:val="20"/>
          <w:lang w:val="de-DE"/>
        </w:rPr>
        <w:t>E.</w:t>
      </w:r>
      <w:r>
        <w:rPr>
          <w:b/>
          <w:bCs/>
          <w:sz w:val="20"/>
          <w:lang w:val="de-DE"/>
        </w:rPr>
        <w:tab/>
      </w:r>
      <w:r w:rsidRPr="00907569">
        <w:rPr>
          <w:b/>
          <w:bCs/>
          <w:sz w:val="20"/>
          <w:lang w:val="de-DE"/>
        </w:rPr>
        <w:t>Zuweisung von Untergruppen in der Explosionsgruppe II B</w:t>
      </w:r>
    </w:p>
    <w:p w:rsidR="00907569" w:rsidRPr="000B697D" w:rsidRDefault="00907569" w:rsidP="004C730B">
      <w:pPr>
        <w:spacing w:after="0"/>
        <w:ind w:right="566"/>
        <w:jc w:val="both"/>
        <w:rPr>
          <w:sz w:val="20"/>
          <w:lang w:val="de-DE"/>
        </w:rPr>
      </w:pPr>
    </w:p>
    <w:p w:rsidR="00C35588" w:rsidRDefault="006C78BD" w:rsidP="004C730B">
      <w:pPr>
        <w:spacing w:after="0"/>
        <w:ind w:right="566"/>
        <w:jc w:val="both"/>
        <w:rPr>
          <w:sz w:val="20"/>
          <w:lang w:val="de-DE"/>
        </w:rPr>
      </w:pPr>
      <w:r>
        <w:rPr>
          <w:sz w:val="20"/>
          <w:lang w:val="de-DE"/>
        </w:rPr>
        <w:t>2</w:t>
      </w:r>
      <w:r w:rsidR="00DE025E">
        <w:rPr>
          <w:sz w:val="20"/>
          <w:lang w:val="de-DE"/>
        </w:rPr>
        <w:t>7</w:t>
      </w:r>
      <w:r w:rsidR="00DF1938" w:rsidRPr="000B697D">
        <w:rPr>
          <w:sz w:val="20"/>
          <w:lang w:val="de-DE"/>
        </w:rPr>
        <w:t>.</w:t>
      </w:r>
      <w:r w:rsidR="00DF1938" w:rsidRPr="000B697D">
        <w:rPr>
          <w:sz w:val="20"/>
          <w:lang w:val="de-DE"/>
        </w:rPr>
        <w:tab/>
      </w:r>
      <w:r w:rsidR="00060CCD">
        <w:rPr>
          <w:sz w:val="20"/>
          <w:lang w:val="de-DE"/>
        </w:rPr>
        <w:t xml:space="preserve">Von der Physikalisch-Technischen Bundesanstalt (PTB) in Braunschweig </w:t>
      </w:r>
      <w:r w:rsidR="002F0DAB">
        <w:rPr>
          <w:sz w:val="20"/>
          <w:lang w:val="de-DE"/>
        </w:rPr>
        <w:t>wurden Daten zur Verfügung gestellt</w:t>
      </w:r>
      <w:r w:rsidR="00C35588">
        <w:rPr>
          <w:sz w:val="20"/>
          <w:lang w:val="de-DE"/>
        </w:rPr>
        <w:t xml:space="preserve"> (Anhang 2)</w:t>
      </w:r>
      <w:r w:rsidR="002F0DAB">
        <w:rPr>
          <w:sz w:val="20"/>
          <w:lang w:val="de-DE"/>
        </w:rPr>
        <w:t xml:space="preserve">. </w:t>
      </w:r>
      <w:r w:rsidR="00C35588">
        <w:rPr>
          <w:sz w:val="20"/>
          <w:lang w:val="de-DE"/>
        </w:rPr>
        <w:t>Dabei handelt es sich um:</w:t>
      </w:r>
    </w:p>
    <w:p w:rsidR="00C35588" w:rsidRDefault="00C35588" w:rsidP="00C35588">
      <w:pPr>
        <w:spacing w:after="0"/>
        <w:ind w:right="566" w:firstLine="567"/>
        <w:jc w:val="both"/>
        <w:rPr>
          <w:sz w:val="20"/>
          <w:lang w:val="de-DE"/>
        </w:rPr>
      </w:pPr>
      <w:r>
        <w:rPr>
          <w:sz w:val="20"/>
          <w:lang w:val="de-DE"/>
        </w:rPr>
        <w:t>-</w:t>
      </w:r>
      <w:r>
        <w:rPr>
          <w:sz w:val="20"/>
          <w:lang w:val="de-DE"/>
        </w:rPr>
        <w:tab/>
        <w:t>gemessene Werte</w:t>
      </w:r>
      <w:r w:rsidR="004D682A">
        <w:rPr>
          <w:sz w:val="20"/>
          <w:lang w:val="de-DE"/>
        </w:rPr>
        <w:t xml:space="preserve"> zur Unterteilung der Explosionsgruppe II</w:t>
      </w:r>
      <w:r w:rsidR="00D97B6C">
        <w:rPr>
          <w:sz w:val="20"/>
          <w:lang w:val="de-DE"/>
        </w:rPr>
        <w:t xml:space="preserve"> </w:t>
      </w:r>
      <w:r w:rsidR="004D682A">
        <w:rPr>
          <w:sz w:val="20"/>
          <w:lang w:val="de-DE"/>
        </w:rPr>
        <w:t>B</w:t>
      </w:r>
      <w:r>
        <w:rPr>
          <w:sz w:val="20"/>
          <w:lang w:val="de-DE"/>
        </w:rPr>
        <w:t>,</w:t>
      </w:r>
    </w:p>
    <w:p w:rsidR="00DF1938" w:rsidRDefault="00C35588" w:rsidP="00C35588">
      <w:pPr>
        <w:spacing w:after="0"/>
        <w:ind w:right="566" w:firstLine="567"/>
        <w:jc w:val="both"/>
        <w:rPr>
          <w:sz w:val="20"/>
          <w:lang w:val="de-DE"/>
        </w:rPr>
      </w:pPr>
      <w:r>
        <w:rPr>
          <w:sz w:val="20"/>
          <w:lang w:val="de-DE"/>
        </w:rPr>
        <w:t>-</w:t>
      </w:r>
      <w:r>
        <w:rPr>
          <w:sz w:val="20"/>
          <w:lang w:val="de-DE"/>
        </w:rPr>
        <w:tab/>
        <w:t>abgeschätzte Angaben zur Unterteilung der Explosionsgruppe II</w:t>
      </w:r>
      <w:r w:rsidR="00D97B6C">
        <w:rPr>
          <w:sz w:val="20"/>
          <w:lang w:val="de-DE"/>
        </w:rPr>
        <w:t xml:space="preserve"> </w:t>
      </w:r>
      <w:r>
        <w:rPr>
          <w:sz w:val="20"/>
          <w:lang w:val="de-DE"/>
        </w:rPr>
        <w:t xml:space="preserve">B und </w:t>
      </w:r>
    </w:p>
    <w:p w:rsidR="00C35588" w:rsidRDefault="00C35588" w:rsidP="00C35588">
      <w:pPr>
        <w:spacing w:after="0"/>
        <w:ind w:right="566" w:firstLine="567"/>
        <w:jc w:val="both"/>
        <w:rPr>
          <w:sz w:val="20"/>
          <w:lang w:val="de-DE"/>
        </w:rPr>
      </w:pPr>
      <w:r>
        <w:rPr>
          <w:sz w:val="20"/>
          <w:lang w:val="de-DE"/>
        </w:rPr>
        <w:t>-</w:t>
      </w:r>
      <w:r>
        <w:rPr>
          <w:sz w:val="20"/>
          <w:lang w:val="de-DE"/>
        </w:rPr>
        <w:tab/>
      </w:r>
      <w:r w:rsidR="004D682A">
        <w:rPr>
          <w:sz w:val="20"/>
          <w:lang w:val="de-DE"/>
        </w:rPr>
        <w:t>abgeschätzte Angaben zur Umstufung der Explosionsgruppe von II</w:t>
      </w:r>
      <w:r w:rsidR="00D97B6C">
        <w:rPr>
          <w:sz w:val="20"/>
          <w:lang w:val="de-DE"/>
        </w:rPr>
        <w:t xml:space="preserve"> </w:t>
      </w:r>
      <w:r w:rsidR="004D682A">
        <w:rPr>
          <w:sz w:val="20"/>
          <w:lang w:val="de-DE"/>
        </w:rPr>
        <w:t>B nach II</w:t>
      </w:r>
      <w:r w:rsidR="00D97B6C">
        <w:rPr>
          <w:sz w:val="20"/>
          <w:lang w:val="de-DE"/>
        </w:rPr>
        <w:t xml:space="preserve"> </w:t>
      </w:r>
      <w:r w:rsidR="004D682A">
        <w:rPr>
          <w:sz w:val="20"/>
          <w:lang w:val="de-DE"/>
        </w:rPr>
        <w:t>A.</w:t>
      </w:r>
    </w:p>
    <w:p w:rsidR="004D682A" w:rsidRDefault="004D682A" w:rsidP="004D682A">
      <w:pPr>
        <w:spacing w:after="0"/>
        <w:ind w:right="566"/>
        <w:jc w:val="both"/>
        <w:rPr>
          <w:sz w:val="20"/>
          <w:lang w:val="de-DE"/>
        </w:rPr>
      </w:pPr>
      <w:r>
        <w:rPr>
          <w:sz w:val="20"/>
          <w:lang w:val="de-DE"/>
        </w:rPr>
        <w:t>Die Mitglieder der Informellen Arbeitsgruppe stimmen der Übernahme dieser Daten zu.</w:t>
      </w:r>
    </w:p>
    <w:p w:rsidR="004D682A" w:rsidRDefault="004D682A" w:rsidP="004D682A">
      <w:pPr>
        <w:spacing w:after="0"/>
        <w:ind w:right="566"/>
        <w:jc w:val="both"/>
        <w:rPr>
          <w:sz w:val="20"/>
          <w:lang w:val="de-DE"/>
        </w:rPr>
      </w:pPr>
    </w:p>
    <w:p w:rsidR="007C28DE" w:rsidRDefault="007C28DE">
      <w:pPr>
        <w:spacing w:after="0"/>
        <w:rPr>
          <w:sz w:val="20"/>
          <w:lang w:val="de-DE"/>
        </w:rPr>
      </w:pPr>
      <w:r>
        <w:rPr>
          <w:sz w:val="20"/>
          <w:lang w:val="de-DE"/>
        </w:rPr>
        <w:br w:type="page"/>
      </w:r>
    </w:p>
    <w:p w:rsidR="007C28DE" w:rsidRDefault="007C28DE" w:rsidP="004D682A">
      <w:pPr>
        <w:spacing w:after="0"/>
        <w:ind w:right="566"/>
        <w:jc w:val="both"/>
        <w:rPr>
          <w:sz w:val="20"/>
          <w:lang w:val="de-DE"/>
        </w:rPr>
      </w:pPr>
    </w:p>
    <w:p w:rsidR="004D682A" w:rsidRDefault="00DE025E" w:rsidP="004D682A">
      <w:pPr>
        <w:spacing w:after="0"/>
        <w:ind w:right="566"/>
        <w:jc w:val="both"/>
        <w:rPr>
          <w:sz w:val="20"/>
          <w:lang w:val="de-DE"/>
        </w:rPr>
      </w:pPr>
      <w:r>
        <w:rPr>
          <w:sz w:val="20"/>
          <w:lang w:val="de-DE"/>
        </w:rPr>
        <w:t>28</w:t>
      </w:r>
      <w:r w:rsidR="004D682A">
        <w:rPr>
          <w:sz w:val="20"/>
          <w:lang w:val="de-DE"/>
        </w:rPr>
        <w:t>.</w:t>
      </w:r>
      <w:r w:rsidR="004D682A">
        <w:rPr>
          <w:sz w:val="20"/>
          <w:lang w:val="de-DE"/>
        </w:rPr>
        <w:tab/>
        <w:t>In Bezug auf die Darstellung in der Tabelle C wird vorgeschlagen, die bestehenden Angaben in der Spalte (16) Explosionsgruppe beizubehalten. Ergänzend dazu sollen die neuen Werte zur Unterteilung der Explosionsgruppe II</w:t>
      </w:r>
      <w:r w:rsidR="00D97B6C">
        <w:rPr>
          <w:sz w:val="20"/>
          <w:lang w:val="de-DE"/>
        </w:rPr>
        <w:t xml:space="preserve"> </w:t>
      </w:r>
      <w:r w:rsidR="004D682A">
        <w:rPr>
          <w:sz w:val="20"/>
          <w:lang w:val="de-DE"/>
        </w:rPr>
        <w:t>B und zur Umstufung von II</w:t>
      </w:r>
      <w:r w:rsidR="00D97B6C">
        <w:rPr>
          <w:sz w:val="20"/>
          <w:lang w:val="de-DE"/>
        </w:rPr>
        <w:t xml:space="preserve"> </w:t>
      </w:r>
      <w:r w:rsidR="004D682A">
        <w:rPr>
          <w:sz w:val="20"/>
          <w:lang w:val="de-DE"/>
        </w:rPr>
        <w:t>B nach II</w:t>
      </w:r>
      <w:r w:rsidR="00D97B6C">
        <w:rPr>
          <w:sz w:val="20"/>
          <w:lang w:val="de-DE"/>
        </w:rPr>
        <w:t xml:space="preserve"> </w:t>
      </w:r>
      <w:r w:rsidR="004D682A">
        <w:rPr>
          <w:sz w:val="20"/>
          <w:lang w:val="de-DE"/>
        </w:rPr>
        <w:t xml:space="preserve">A in Klammern hinzugefügt werden. In der Erläuterung zur Spalte (16) soll der Hinweis aufgenommen werden, dass sich die Angaben in Klammern nur </w:t>
      </w:r>
      <w:r w:rsidR="00D97B6C">
        <w:rPr>
          <w:sz w:val="20"/>
          <w:lang w:val="de-DE"/>
        </w:rPr>
        <w:t>auf die autonomen Schutzsysteme (Flammendurchschlagsicherung und Hochgeschwindigkeitsventil) beziehen. Der verbleibende Explosionsschutz wird durch die Angabe ohne Klammern geregelt.</w:t>
      </w:r>
    </w:p>
    <w:p w:rsidR="00D97B6C" w:rsidRDefault="00D97B6C" w:rsidP="004D682A">
      <w:pPr>
        <w:spacing w:after="0"/>
        <w:ind w:right="566"/>
        <w:jc w:val="both"/>
        <w:rPr>
          <w:sz w:val="20"/>
          <w:lang w:val="de-DE"/>
        </w:rPr>
      </w:pPr>
    </w:p>
    <w:p w:rsidR="00D97B6C" w:rsidRDefault="00D97B6C" w:rsidP="004D682A">
      <w:pPr>
        <w:spacing w:after="0"/>
        <w:ind w:right="566"/>
        <w:jc w:val="both"/>
        <w:rPr>
          <w:sz w:val="20"/>
          <w:lang w:val="de-DE"/>
        </w:rPr>
      </w:pPr>
      <w:r>
        <w:rPr>
          <w:sz w:val="20"/>
          <w:lang w:val="de-DE"/>
        </w:rPr>
        <w:t>2</w:t>
      </w:r>
      <w:r w:rsidR="00DE025E">
        <w:rPr>
          <w:sz w:val="20"/>
          <w:lang w:val="de-DE"/>
        </w:rPr>
        <w:t>9</w:t>
      </w:r>
      <w:r>
        <w:rPr>
          <w:sz w:val="20"/>
          <w:lang w:val="de-DE"/>
        </w:rPr>
        <w:t>.</w:t>
      </w:r>
      <w:r>
        <w:rPr>
          <w:sz w:val="20"/>
          <w:lang w:val="de-DE"/>
        </w:rPr>
        <w:tab/>
        <w:t>Die Informelle Arbeitsgruppe nimmt zur Kenntnis, dass es nach 1995 in Betrieb gegangene Schiffe gibt, die für die Explosionsgruppe II B3 ausgerüstet sind, aber eine Schiffstoffliste entsprechend der Explosionsgruppe II B haben. Nach Auffassung der Mitglieder der Informellen Arbeitsgruppe ist das eine nichtkonsistente Umsetzung der bestehenden Vorschriften.</w:t>
      </w:r>
    </w:p>
    <w:p w:rsidR="00D97B6C" w:rsidRDefault="00D97B6C" w:rsidP="004D682A">
      <w:pPr>
        <w:spacing w:after="0"/>
        <w:ind w:right="566"/>
        <w:jc w:val="both"/>
        <w:rPr>
          <w:sz w:val="20"/>
          <w:lang w:val="de-DE"/>
        </w:rPr>
      </w:pPr>
    </w:p>
    <w:p w:rsidR="00D97B6C" w:rsidRDefault="00DE025E" w:rsidP="004D682A">
      <w:pPr>
        <w:spacing w:after="0"/>
        <w:ind w:right="566"/>
        <w:jc w:val="both"/>
        <w:rPr>
          <w:sz w:val="20"/>
          <w:lang w:val="de-DE"/>
        </w:rPr>
      </w:pPr>
      <w:r>
        <w:rPr>
          <w:sz w:val="20"/>
          <w:lang w:val="de-DE"/>
        </w:rPr>
        <w:t>30</w:t>
      </w:r>
      <w:r w:rsidR="00D97B6C">
        <w:rPr>
          <w:sz w:val="20"/>
          <w:lang w:val="de-DE"/>
        </w:rPr>
        <w:t>.</w:t>
      </w:r>
      <w:r w:rsidR="00D97B6C">
        <w:rPr>
          <w:sz w:val="20"/>
          <w:lang w:val="de-DE"/>
        </w:rPr>
        <w:tab/>
      </w:r>
      <w:r w:rsidR="003B5C47">
        <w:rPr>
          <w:sz w:val="20"/>
          <w:lang w:val="de-DE"/>
        </w:rPr>
        <w:t>Bei der Diskussion über</w:t>
      </w:r>
      <w:r w:rsidR="00D97B6C">
        <w:rPr>
          <w:sz w:val="20"/>
          <w:lang w:val="de-DE"/>
        </w:rPr>
        <w:t xml:space="preserve"> die Übergangsvorschrift, die es vor 1995 in Betrieb gegangenen Schiffen</w:t>
      </w:r>
      <w:r w:rsidR="00493F3A">
        <w:rPr>
          <w:sz w:val="20"/>
          <w:lang w:val="de-DE"/>
        </w:rPr>
        <w:t xml:space="preserve"> mit einer Ausrüstung entsprechend der Explosionsgruppe II A</w:t>
      </w:r>
      <w:r w:rsidR="00D97B6C">
        <w:rPr>
          <w:sz w:val="20"/>
          <w:lang w:val="de-DE"/>
        </w:rPr>
        <w:t xml:space="preserve"> gest</w:t>
      </w:r>
      <w:r w:rsidR="00493F3A">
        <w:rPr>
          <w:sz w:val="20"/>
          <w:lang w:val="de-DE"/>
        </w:rPr>
        <w:t xml:space="preserve">attet bis 2034 Stoffe zu befördern, für die eigentliche die Explosionsgruppe II B erforderlich ist, gelangt die Informelle Arbeitsgruppe zu keinem einheitlichen Standpunkt. Zum einen wird wegen der sicherheitstechnischen Bedenklichkeit vorgeschlagen, die Übergangsfrist auf 2020 zu verkürzen und zum anderen wird </w:t>
      </w:r>
      <w:r w:rsidR="00435FBA">
        <w:rPr>
          <w:sz w:val="20"/>
          <w:lang w:val="de-DE"/>
        </w:rPr>
        <w:t xml:space="preserve">insbesondere von niederländischer Seite mit Nachdruck </w:t>
      </w:r>
      <w:r w:rsidR="00493F3A">
        <w:rPr>
          <w:sz w:val="20"/>
          <w:lang w:val="de-DE"/>
        </w:rPr>
        <w:t>darauf verwiesen, dass die mit der Übergangsfrist beabsichtigte Rechtssicherheit bis 2034 für diese Schiffe bei Verkürzung auf 2020 dann nicht mehr gegeben wäre.</w:t>
      </w:r>
    </w:p>
    <w:p w:rsidR="004D682A" w:rsidRDefault="004D682A" w:rsidP="004D682A">
      <w:pPr>
        <w:spacing w:after="0"/>
        <w:ind w:right="566"/>
        <w:jc w:val="both"/>
        <w:rPr>
          <w:sz w:val="20"/>
          <w:lang w:val="de-DE"/>
        </w:rPr>
      </w:pPr>
    </w:p>
    <w:p w:rsidR="004277C7" w:rsidRPr="000B697D" w:rsidRDefault="004277C7" w:rsidP="004C730B">
      <w:pPr>
        <w:spacing w:after="0"/>
        <w:ind w:right="566"/>
        <w:jc w:val="both"/>
        <w:rPr>
          <w:sz w:val="20"/>
          <w:lang w:val="de-DE"/>
        </w:rPr>
      </w:pPr>
    </w:p>
    <w:p w:rsidR="001B478E" w:rsidRPr="004277C7" w:rsidRDefault="004277C7" w:rsidP="004C730B">
      <w:pPr>
        <w:spacing w:after="0"/>
        <w:ind w:right="566"/>
        <w:jc w:val="both"/>
        <w:rPr>
          <w:sz w:val="20"/>
          <w:lang w:val="de-DE"/>
        </w:rPr>
      </w:pPr>
      <w:r>
        <w:rPr>
          <w:b/>
          <w:bCs/>
          <w:sz w:val="20"/>
          <w:lang w:val="de-DE"/>
        </w:rPr>
        <w:t>F.</w:t>
      </w:r>
      <w:r>
        <w:rPr>
          <w:b/>
          <w:bCs/>
          <w:sz w:val="20"/>
          <w:lang w:val="de-DE"/>
        </w:rPr>
        <w:tab/>
      </w:r>
      <w:r w:rsidRPr="004277C7">
        <w:rPr>
          <w:b/>
          <w:bCs/>
          <w:sz w:val="20"/>
          <w:lang w:val="de-DE"/>
        </w:rPr>
        <w:t>Ergänzung der Erläuterungen zu Tabelle C Spalte 5 und Spalten 6 bis 18</w:t>
      </w:r>
    </w:p>
    <w:p w:rsidR="004A70B5" w:rsidRPr="000B697D" w:rsidRDefault="004A70B5" w:rsidP="004C730B">
      <w:pPr>
        <w:tabs>
          <w:tab w:val="left" w:pos="1418"/>
          <w:tab w:val="left" w:pos="1985"/>
          <w:tab w:val="left" w:pos="2552"/>
          <w:tab w:val="left" w:pos="3119"/>
          <w:tab w:val="left" w:pos="3686"/>
        </w:tabs>
        <w:spacing w:after="0"/>
        <w:ind w:right="566"/>
        <w:jc w:val="both"/>
        <w:rPr>
          <w:sz w:val="20"/>
          <w:lang w:val="de-DE"/>
        </w:rPr>
      </w:pPr>
    </w:p>
    <w:p w:rsidR="00EA4020" w:rsidRPr="008804A8" w:rsidRDefault="00DE025E" w:rsidP="004C730B">
      <w:pPr>
        <w:tabs>
          <w:tab w:val="left" w:pos="567"/>
          <w:tab w:val="left" w:pos="1985"/>
          <w:tab w:val="left" w:pos="2552"/>
          <w:tab w:val="left" w:pos="3119"/>
          <w:tab w:val="left" w:pos="3686"/>
        </w:tabs>
        <w:spacing w:after="0"/>
        <w:ind w:right="566"/>
        <w:jc w:val="both"/>
        <w:rPr>
          <w:color w:val="000000"/>
          <w:sz w:val="20"/>
          <w:lang w:val="de-DE"/>
        </w:rPr>
      </w:pPr>
      <w:r>
        <w:rPr>
          <w:sz w:val="20"/>
          <w:lang w:val="de-DE"/>
        </w:rPr>
        <w:t>31</w:t>
      </w:r>
      <w:r w:rsidR="00BB473A" w:rsidRPr="004F21B6">
        <w:rPr>
          <w:sz w:val="20"/>
          <w:lang w:val="de-DE"/>
        </w:rPr>
        <w:t>.</w:t>
      </w:r>
      <w:r w:rsidR="00BB473A" w:rsidRPr="004F21B6">
        <w:rPr>
          <w:sz w:val="20"/>
          <w:lang w:val="de-DE"/>
        </w:rPr>
        <w:tab/>
      </w:r>
      <w:r w:rsidR="00D27EF4" w:rsidRPr="004F21B6">
        <w:rPr>
          <w:sz w:val="20"/>
          <w:lang w:val="de-DE"/>
        </w:rPr>
        <w:t xml:space="preserve">Die Mitglieder der informellen Arbeitsgruppe waren der Auffassung, </w:t>
      </w:r>
      <w:r w:rsidR="0064425A" w:rsidRPr="004F21B6">
        <w:rPr>
          <w:sz w:val="20"/>
          <w:lang w:val="de-DE"/>
        </w:rPr>
        <w:t xml:space="preserve">dass </w:t>
      </w:r>
      <w:r w:rsidR="004F21B6" w:rsidRPr="004F21B6">
        <w:rPr>
          <w:sz w:val="20"/>
          <w:lang w:val="de-DE"/>
        </w:rPr>
        <w:t xml:space="preserve">im zweiten Anstrich in 3.2.3.1 Erläuterungen zur Tabelle C </w:t>
      </w:r>
      <w:r w:rsidR="004F21B6">
        <w:rPr>
          <w:sz w:val="20"/>
          <w:lang w:val="de-DE"/>
        </w:rPr>
        <w:t>das Wort „anwendbaren“ durch „a</w:t>
      </w:r>
      <w:r w:rsidR="008F7A9D">
        <w:rPr>
          <w:sz w:val="20"/>
          <w:lang w:val="de-DE"/>
        </w:rPr>
        <w:t>n</w:t>
      </w:r>
      <w:r w:rsidR="004F21B6">
        <w:rPr>
          <w:sz w:val="20"/>
          <w:lang w:val="de-DE"/>
        </w:rPr>
        <w:t xml:space="preserve">zuwendenden“ ersetzt werden sollte. </w:t>
      </w:r>
      <w:r w:rsidR="004F21B6" w:rsidRPr="008804A8">
        <w:rPr>
          <w:color w:val="000000"/>
          <w:sz w:val="20"/>
          <w:lang w:val="de-DE"/>
        </w:rPr>
        <w:t>Des Weiteren sollte ein dritter Anstrich mit folgendem Wortlaut hinzugefügt werden</w:t>
      </w:r>
      <w:r w:rsidR="00AD34EE" w:rsidRPr="008804A8">
        <w:rPr>
          <w:color w:val="000000"/>
          <w:sz w:val="20"/>
          <w:lang w:val="de-DE"/>
        </w:rPr>
        <w:t>: „- ist in einer Zelle ein „*“ angegeben, so sind die anzuwendenden Vorschriften in Anwendung von 3.2.3.3 zu ermitteln.“</w:t>
      </w:r>
    </w:p>
    <w:p w:rsidR="00AD34EE" w:rsidRPr="008804A8" w:rsidRDefault="00AD34EE" w:rsidP="004C730B">
      <w:pPr>
        <w:tabs>
          <w:tab w:val="left" w:pos="567"/>
          <w:tab w:val="left" w:pos="1985"/>
          <w:tab w:val="left" w:pos="2552"/>
          <w:tab w:val="left" w:pos="3119"/>
          <w:tab w:val="left" w:pos="3686"/>
        </w:tabs>
        <w:spacing w:after="0"/>
        <w:ind w:right="566"/>
        <w:jc w:val="both"/>
        <w:rPr>
          <w:color w:val="000000"/>
          <w:sz w:val="20"/>
          <w:lang w:val="de-DE"/>
        </w:rPr>
      </w:pPr>
    </w:p>
    <w:p w:rsidR="00AD34EE" w:rsidRPr="008804A8" w:rsidRDefault="00DE025E" w:rsidP="004C730B">
      <w:pPr>
        <w:tabs>
          <w:tab w:val="left" w:pos="567"/>
          <w:tab w:val="left" w:pos="1985"/>
          <w:tab w:val="left" w:pos="2552"/>
          <w:tab w:val="left" w:pos="3119"/>
          <w:tab w:val="left" w:pos="3686"/>
        </w:tabs>
        <w:spacing w:after="0"/>
        <w:ind w:right="566"/>
        <w:jc w:val="both"/>
        <w:rPr>
          <w:color w:val="000000"/>
          <w:sz w:val="20"/>
          <w:lang w:val="de-DE"/>
        </w:rPr>
      </w:pPr>
      <w:r>
        <w:rPr>
          <w:color w:val="000000"/>
          <w:sz w:val="20"/>
          <w:lang w:val="de-DE"/>
        </w:rPr>
        <w:t>3</w:t>
      </w:r>
      <w:r w:rsidR="00AD34EE" w:rsidRPr="008804A8">
        <w:rPr>
          <w:color w:val="000000"/>
          <w:sz w:val="20"/>
          <w:lang w:val="de-DE"/>
        </w:rPr>
        <w:t>2.</w:t>
      </w:r>
      <w:r w:rsidR="00AD34EE" w:rsidRPr="008804A8">
        <w:rPr>
          <w:color w:val="000000"/>
          <w:sz w:val="20"/>
          <w:lang w:val="de-DE"/>
        </w:rPr>
        <w:tab/>
        <w:t>In den erläuternden Bemerkungen für jede Spalte sollte bei Spalte (5) Gefahren am Ende der Satz „Bei Angaben über Gefahren in Klammern sind nur die für die konkrete Beförderung zutreffenden Codes zu verwenden.“ angefügt werden.</w:t>
      </w:r>
    </w:p>
    <w:p w:rsidR="00AD34EE" w:rsidRPr="008804A8" w:rsidRDefault="00AD34EE" w:rsidP="004C730B">
      <w:pPr>
        <w:tabs>
          <w:tab w:val="left" w:pos="567"/>
          <w:tab w:val="left" w:pos="1985"/>
          <w:tab w:val="left" w:pos="2552"/>
          <w:tab w:val="left" w:pos="3119"/>
          <w:tab w:val="left" w:pos="3686"/>
        </w:tabs>
        <w:spacing w:after="0"/>
        <w:ind w:right="566"/>
        <w:jc w:val="both"/>
        <w:rPr>
          <w:color w:val="000000"/>
          <w:sz w:val="20"/>
          <w:lang w:val="de-DE"/>
        </w:rPr>
      </w:pPr>
    </w:p>
    <w:p w:rsidR="00AD34EE" w:rsidRPr="008804A8" w:rsidRDefault="00AD34EE" w:rsidP="004C730B">
      <w:pPr>
        <w:tabs>
          <w:tab w:val="left" w:pos="567"/>
          <w:tab w:val="left" w:pos="1985"/>
          <w:tab w:val="left" w:pos="2552"/>
          <w:tab w:val="left" w:pos="3119"/>
          <w:tab w:val="left" w:pos="3686"/>
        </w:tabs>
        <w:spacing w:after="0"/>
        <w:ind w:right="566"/>
        <w:jc w:val="both"/>
        <w:rPr>
          <w:color w:val="000000"/>
          <w:sz w:val="20"/>
          <w:lang w:val="de-DE"/>
        </w:rPr>
      </w:pPr>
      <w:r w:rsidRPr="008804A8">
        <w:rPr>
          <w:color w:val="000000"/>
          <w:sz w:val="20"/>
          <w:lang w:val="de-DE"/>
        </w:rPr>
        <w:t>3</w:t>
      </w:r>
      <w:r w:rsidR="00DE025E">
        <w:rPr>
          <w:color w:val="000000"/>
          <w:sz w:val="20"/>
          <w:lang w:val="de-DE"/>
        </w:rPr>
        <w:t>3</w:t>
      </w:r>
      <w:r w:rsidRPr="008804A8">
        <w:rPr>
          <w:color w:val="000000"/>
          <w:sz w:val="20"/>
          <w:lang w:val="de-DE"/>
        </w:rPr>
        <w:t>.</w:t>
      </w:r>
      <w:r w:rsidRPr="008804A8">
        <w:rPr>
          <w:color w:val="000000"/>
          <w:sz w:val="20"/>
          <w:lang w:val="de-DE"/>
        </w:rPr>
        <w:tab/>
        <w:t>Die konsolidierten Texte für diese Änderungsvorschläge sind im Anhang 3 aufgeführt.</w:t>
      </w:r>
    </w:p>
    <w:p w:rsidR="002E4C45" w:rsidRPr="004F21B6" w:rsidRDefault="002E4C45" w:rsidP="004C730B">
      <w:pPr>
        <w:tabs>
          <w:tab w:val="left" w:pos="709"/>
          <w:tab w:val="left" w:pos="2552"/>
          <w:tab w:val="left" w:pos="3119"/>
          <w:tab w:val="left" w:pos="3686"/>
        </w:tabs>
        <w:spacing w:after="0"/>
        <w:ind w:right="566"/>
        <w:jc w:val="both"/>
        <w:rPr>
          <w:sz w:val="20"/>
          <w:lang w:val="de-DE"/>
        </w:rPr>
      </w:pPr>
    </w:p>
    <w:p w:rsidR="004277C7" w:rsidRDefault="004277C7" w:rsidP="004C730B">
      <w:pPr>
        <w:tabs>
          <w:tab w:val="left" w:pos="709"/>
          <w:tab w:val="left" w:pos="2552"/>
          <w:tab w:val="left" w:pos="3119"/>
          <w:tab w:val="left" w:pos="3686"/>
        </w:tabs>
        <w:spacing w:after="0"/>
        <w:ind w:right="566"/>
        <w:jc w:val="both"/>
        <w:rPr>
          <w:sz w:val="20"/>
          <w:lang w:val="de-DE"/>
        </w:rPr>
      </w:pPr>
    </w:p>
    <w:p w:rsidR="004277C7" w:rsidRPr="004277C7" w:rsidRDefault="004277C7" w:rsidP="00C735E5">
      <w:pPr>
        <w:tabs>
          <w:tab w:val="left" w:pos="567"/>
          <w:tab w:val="left" w:pos="2552"/>
          <w:tab w:val="left" w:pos="3119"/>
          <w:tab w:val="left" w:pos="3686"/>
        </w:tabs>
        <w:spacing w:after="0"/>
        <w:ind w:right="566"/>
        <w:jc w:val="both"/>
        <w:rPr>
          <w:sz w:val="20"/>
          <w:lang w:val="de-DE"/>
        </w:rPr>
      </w:pPr>
      <w:r>
        <w:rPr>
          <w:b/>
          <w:bCs/>
          <w:sz w:val="20"/>
          <w:lang w:val="de-DE"/>
        </w:rPr>
        <w:t>G.</w:t>
      </w:r>
      <w:r>
        <w:rPr>
          <w:b/>
          <w:bCs/>
          <w:sz w:val="20"/>
          <w:lang w:val="de-DE"/>
        </w:rPr>
        <w:tab/>
      </w:r>
      <w:r w:rsidRPr="004277C7">
        <w:rPr>
          <w:b/>
          <w:bCs/>
          <w:sz w:val="20"/>
          <w:lang w:val="de-DE"/>
        </w:rPr>
        <w:t>Hinweis zur Einstufung von Floatern</w:t>
      </w:r>
    </w:p>
    <w:p w:rsidR="004277C7" w:rsidRPr="000B697D" w:rsidRDefault="004277C7" w:rsidP="004C730B">
      <w:pPr>
        <w:tabs>
          <w:tab w:val="left" w:pos="709"/>
          <w:tab w:val="left" w:pos="2552"/>
          <w:tab w:val="left" w:pos="3119"/>
          <w:tab w:val="left" w:pos="3686"/>
        </w:tabs>
        <w:spacing w:after="0"/>
        <w:ind w:right="566"/>
        <w:jc w:val="both"/>
        <w:rPr>
          <w:sz w:val="20"/>
          <w:lang w:val="de-DE"/>
        </w:rPr>
      </w:pPr>
    </w:p>
    <w:p w:rsidR="001C43FA" w:rsidRPr="001C43FA" w:rsidRDefault="001C43FA" w:rsidP="001C43FA">
      <w:pPr>
        <w:tabs>
          <w:tab w:val="left" w:pos="567"/>
          <w:tab w:val="left" w:pos="993"/>
          <w:tab w:val="left" w:pos="2552"/>
          <w:tab w:val="left" w:pos="3119"/>
          <w:tab w:val="left" w:pos="3686"/>
        </w:tabs>
        <w:spacing w:after="0"/>
        <w:ind w:right="566"/>
        <w:jc w:val="both"/>
        <w:rPr>
          <w:sz w:val="20"/>
          <w:lang w:val="de-DE"/>
        </w:rPr>
      </w:pPr>
      <w:r>
        <w:rPr>
          <w:sz w:val="20"/>
          <w:lang w:val="de-DE"/>
        </w:rPr>
        <w:t>3</w:t>
      </w:r>
      <w:r w:rsidR="00DE025E">
        <w:rPr>
          <w:sz w:val="20"/>
          <w:lang w:val="de-DE"/>
        </w:rPr>
        <w:t>4</w:t>
      </w:r>
      <w:r w:rsidR="001B478E" w:rsidRPr="000B697D">
        <w:rPr>
          <w:sz w:val="20"/>
          <w:lang w:val="de-DE"/>
        </w:rPr>
        <w:t>.</w:t>
      </w:r>
      <w:r w:rsidR="001B478E" w:rsidRPr="000B697D">
        <w:rPr>
          <w:sz w:val="20"/>
          <w:lang w:val="de-DE"/>
        </w:rPr>
        <w:tab/>
      </w:r>
      <w:r w:rsidRPr="001C43FA">
        <w:rPr>
          <w:sz w:val="20"/>
          <w:lang w:val="de-DE"/>
        </w:rPr>
        <w:t>Die Definition nach welchen Kriterien ein Produkt als Floater oder als Sinker zuzuordnen ist, ist i</w:t>
      </w:r>
      <w:r>
        <w:rPr>
          <w:sz w:val="20"/>
          <w:lang w:val="de-DE"/>
        </w:rPr>
        <w:t xml:space="preserve">n 2.2.9.1.10.5 des </w:t>
      </w:r>
      <w:r w:rsidRPr="001C43FA">
        <w:rPr>
          <w:sz w:val="20"/>
          <w:lang w:val="de-DE"/>
        </w:rPr>
        <w:t>ADN 2015 beschrieben</w:t>
      </w:r>
      <w:r>
        <w:rPr>
          <w:sz w:val="20"/>
          <w:lang w:val="de-DE"/>
        </w:rPr>
        <w:t xml:space="preserve">. </w:t>
      </w:r>
      <w:r w:rsidRPr="001C43FA">
        <w:rPr>
          <w:sz w:val="20"/>
          <w:lang w:val="de-DE"/>
        </w:rPr>
        <w:t>Es gibt in der Tabelle C Einträge, denen ein F zugeordnet wurde, obwohl sie die</w:t>
      </w:r>
      <w:r>
        <w:rPr>
          <w:sz w:val="20"/>
          <w:lang w:val="de-DE"/>
        </w:rPr>
        <w:t>se</w:t>
      </w:r>
      <w:r w:rsidRPr="001C43FA">
        <w:rPr>
          <w:sz w:val="20"/>
          <w:lang w:val="de-DE"/>
        </w:rPr>
        <w:t xml:space="preserve"> Kriterien nicht erfüllen. Dazu gehören </w:t>
      </w:r>
      <w:r>
        <w:rPr>
          <w:sz w:val="20"/>
          <w:lang w:val="de-DE"/>
        </w:rPr>
        <w:t>insbesondere</w:t>
      </w:r>
      <w:r w:rsidRPr="001C43FA">
        <w:rPr>
          <w:sz w:val="20"/>
          <w:lang w:val="de-DE"/>
        </w:rPr>
        <w:t xml:space="preserve"> Einträge mit Verpackungsgruppe I</w:t>
      </w:r>
      <w:r w:rsidR="00DE025E">
        <w:rPr>
          <w:sz w:val="20"/>
          <w:lang w:val="de-DE"/>
        </w:rPr>
        <w:t xml:space="preserve"> </w:t>
      </w:r>
      <w:r w:rsidR="005A0A89">
        <w:rPr>
          <w:sz w:val="20"/>
          <w:lang w:val="de-DE"/>
        </w:rPr>
        <w:t>mit einem „F“ im Klassifizierungscode</w:t>
      </w:r>
      <w:r w:rsidRPr="001C43FA">
        <w:rPr>
          <w:sz w:val="20"/>
          <w:lang w:val="de-DE"/>
        </w:rPr>
        <w:t>.</w:t>
      </w:r>
      <w:r>
        <w:rPr>
          <w:sz w:val="20"/>
          <w:lang w:val="de-DE"/>
        </w:rPr>
        <w:t xml:space="preserve"> </w:t>
      </w:r>
      <w:r w:rsidRPr="001C43FA">
        <w:rPr>
          <w:sz w:val="20"/>
          <w:lang w:val="de-DE"/>
        </w:rPr>
        <w:t>Bei der Bewertung dieser Stoffe wurde der GESAMP-Grundsatz</w:t>
      </w:r>
      <w:r>
        <w:rPr>
          <w:sz w:val="20"/>
          <w:lang w:val="de-DE"/>
        </w:rPr>
        <w:t xml:space="preserve"> angewendet, dass für Mischungen mit einem gewissen Bereich der relevanten Eigenschaft der konservativste Wert anzunehmen ist. </w:t>
      </w:r>
      <w:r w:rsidR="00C735E5">
        <w:rPr>
          <w:sz w:val="20"/>
          <w:lang w:val="de-DE"/>
        </w:rPr>
        <w:t xml:space="preserve">Die Informelle Arbeitsgruppe schlägt vor, </w:t>
      </w:r>
      <w:r w:rsidRPr="001C43FA">
        <w:rPr>
          <w:sz w:val="20"/>
          <w:lang w:val="de-DE"/>
        </w:rPr>
        <w:t xml:space="preserve">eine zusätzlichen Bemerkung in Spalte 20 der Tabelle C </w:t>
      </w:r>
      <w:r w:rsidR="00C735E5">
        <w:rPr>
          <w:sz w:val="20"/>
          <w:lang w:val="de-DE"/>
        </w:rPr>
        <w:t>mit folgendem Wortlaut e</w:t>
      </w:r>
      <w:r w:rsidR="00C735E5" w:rsidRPr="001C43FA">
        <w:rPr>
          <w:sz w:val="20"/>
          <w:lang w:val="de-DE"/>
        </w:rPr>
        <w:t>in</w:t>
      </w:r>
      <w:r w:rsidR="00C735E5">
        <w:rPr>
          <w:sz w:val="20"/>
          <w:lang w:val="de-DE"/>
        </w:rPr>
        <w:t>zu</w:t>
      </w:r>
      <w:r w:rsidR="00C735E5" w:rsidRPr="001C43FA">
        <w:rPr>
          <w:sz w:val="20"/>
          <w:lang w:val="de-DE"/>
        </w:rPr>
        <w:t>fügen</w:t>
      </w:r>
      <w:r w:rsidRPr="001C43FA">
        <w:rPr>
          <w:sz w:val="20"/>
          <w:lang w:val="de-DE"/>
        </w:rPr>
        <w:t>, damit diese Entscheidung</w:t>
      </w:r>
      <w:r w:rsidR="00C735E5">
        <w:rPr>
          <w:sz w:val="20"/>
          <w:lang w:val="de-DE"/>
        </w:rPr>
        <w:t>en</w:t>
      </w:r>
      <w:r w:rsidRPr="001C43FA">
        <w:rPr>
          <w:sz w:val="20"/>
          <w:lang w:val="de-DE"/>
        </w:rPr>
        <w:t xml:space="preserve"> nachvollziehbar </w:t>
      </w:r>
      <w:r w:rsidR="00C735E5">
        <w:rPr>
          <w:sz w:val="20"/>
          <w:lang w:val="de-DE"/>
        </w:rPr>
        <w:t>sind</w:t>
      </w:r>
      <w:r w:rsidRPr="001C43FA">
        <w:rPr>
          <w:sz w:val="20"/>
          <w:lang w:val="de-DE"/>
        </w:rPr>
        <w:t>.</w:t>
      </w:r>
    </w:p>
    <w:p w:rsidR="001C43FA" w:rsidRPr="001C43FA" w:rsidRDefault="001C43FA" w:rsidP="001C43FA">
      <w:pPr>
        <w:tabs>
          <w:tab w:val="left" w:pos="567"/>
          <w:tab w:val="left" w:pos="993"/>
          <w:tab w:val="left" w:pos="2552"/>
          <w:tab w:val="left" w:pos="3119"/>
          <w:tab w:val="left" w:pos="3686"/>
        </w:tabs>
        <w:spacing w:after="0"/>
        <w:ind w:right="566"/>
        <w:jc w:val="both"/>
        <w:rPr>
          <w:sz w:val="20"/>
          <w:lang w:val="de-DE"/>
        </w:rPr>
      </w:pPr>
    </w:p>
    <w:p w:rsidR="001C43FA" w:rsidRPr="001C43FA" w:rsidRDefault="00C735E5" w:rsidP="001C43FA">
      <w:pPr>
        <w:tabs>
          <w:tab w:val="left" w:pos="567"/>
          <w:tab w:val="left" w:pos="993"/>
          <w:tab w:val="left" w:pos="2552"/>
          <w:tab w:val="left" w:pos="3119"/>
          <w:tab w:val="left" w:pos="3686"/>
        </w:tabs>
        <w:spacing w:after="0"/>
        <w:ind w:right="566"/>
        <w:jc w:val="both"/>
        <w:rPr>
          <w:sz w:val="20"/>
          <w:lang w:val="de-DE"/>
        </w:rPr>
      </w:pPr>
      <w:r>
        <w:rPr>
          <w:sz w:val="20"/>
          <w:lang w:val="de-DE"/>
        </w:rPr>
        <w:t>„</w:t>
      </w:r>
      <w:r w:rsidR="001C43FA" w:rsidRPr="001C43FA">
        <w:rPr>
          <w:sz w:val="20"/>
          <w:lang w:val="de-DE"/>
        </w:rPr>
        <w:t>Bemerkung 43)</w:t>
      </w:r>
    </w:p>
    <w:p w:rsidR="00A31158" w:rsidRPr="000B697D" w:rsidRDefault="00C735E5" w:rsidP="001C43FA">
      <w:pPr>
        <w:tabs>
          <w:tab w:val="left" w:pos="567"/>
          <w:tab w:val="left" w:pos="993"/>
          <w:tab w:val="left" w:pos="2552"/>
          <w:tab w:val="left" w:pos="3119"/>
          <w:tab w:val="left" w:pos="3686"/>
        </w:tabs>
        <w:spacing w:after="0"/>
        <w:ind w:right="566"/>
        <w:jc w:val="both"/>
        <w:rPr>
          <w:sz w:val="20"/>
          <w:lang w:val="de-DE"/>
        </w:rPr>
      </w:pPr>
      <w:r>
        <w:rPr>
          <w:sz w:val="20"/>
          <w:lang w:val="de-DE"/>
        </w:rPr>
        <w:t xml:space="preserve">Es besteht die Möglichkeit, dass die </w:t>
      </w:r>
      <w:r w:rsidR="001C43FA" w:rsidRPr="001C43FA">
        <w:rPr>
          <w:sz w:val="20"/>
          <w:lang w:val="de-DE"/>
        </w:rPr>
        <w:t>Mischung konservativ als Floater bewertet</w:t>
      </w:r>
      <w:r w:rsidRPr="00C735E5">
        <w:rPr>
          <w:sz w:val="20"/>
          <w:lang w:val="de-DE"/>
        </w:rPr>
        <w:t xml:space="preserve"> </w:t>
      </w:r>
      <w:r w:rsidRPr="001C43FA">
        <w:rPr>
          <w:sz w:val="20"/>
          <w:lang w:val="de-DE"/>
        </w:rPr>
        <w:t>wurde</w:t>
      </w:r>
      <w:r w:rsidR="001C43FA" w:rsidRPr="001C43FA">
        <w:rPr>
          <w:sz w:val="20"/>
          <w:lang w:val="de-DE"/>
        </w:rPr>
        <w:t>, da enthaltene Komponenten die entsprechenden Kriterien erfüllen.</w:t>
      </w:r>
      <w:r>
        <w:rPr>
          <w:sz w:val="20"/>
          <w:lang w:val="de-DE"/>
        </w:rPr>
        <w:t>“</w:t>
      </w:r>
    </w:p>
    <w:p w:rsidR="002E4C45" w:rsidRPr="000B697D" w:rsidRDefault="002E4C45" w:rsidP="004C730B">
      <w:pPr>
        <w:tabs>
          <w:tab w:val="left" w:pos="567"/>
          <w:tab w:val="left" w:pos="993"/>
          <w:tab w:val="left" w:pos="2552"/>
          <w:tab w:val="left" w:pos="3119"/>
          <w:tab w:val="left" w:pos="3686"/>
        </w:tabs>
        <w:spacing w:after="0"/>
        <w:ind w:right="566"/>
        <w:jc w:val="both"/>
        <w:rPr>
          <w:sz w:val="20"/>
          <w:lang w:val="de-DE"/>
        </w:rPr>
      </w:pPr>
    </w:p>
    <w:p w:rsidR="00EA4020" w:rsidRDefault="005A0A89" w:rsidP="004C730B">
      <w:pPr>
        <w:tabs>
          <w:tab w:val="left" w:pos="567"/>
          <w:tab w:val="left" w:pos="993"/>
          <w:tab w:val="left" w:pos="2552"/>
          <w:tab w:val="left" w:pos="3119"/>
          <w:tab w:val="left" w:pos="3686"/>
        </w:tabs>
        <w:spacing w:after="0"/>
        <w:ind w:right="566"/>
        <w:jc w:val="both"/>
        <w:rPr>
          <w:sz w:val="20"/>
          <w:lang w:val="de-DE"/>
        </w:rPr>
      </w:pPr>
      <w:r>
        <w:rPr>
          <w:sz w:val="20"/>
          <w:lang w:val="de-DE"/>
        </w:rPr>
        <w:t>35.</w:t>
      </w:r>
      <w:r>
        <w:rPr>
          <w:sz w:val="20"/>
          <w:lang w:val="de-DE"/>
        </w:rPr>
        <w:tab/>
        <w:t>Die Bemerkung 43 sollte für alle Einträge der Verpackungsgruppe I der Tabelle C in Spalte (20) ergänzt werden, bei denen in Spalte (3b) Klassifizierungscode ein „F“ (entzündbar) und in Spalte (5) Gefahren ein „F“ (Floater) zu finden ist.</w:t>
      </w:r>
    </w:p>
    <w:p w:rsidR="005A0A89" w:rsidRDefault="005A0A89" w:rsidP="004C730B">
      <w:pPr>
        <w:tabs>
          <w:tab w:val="left" w:pos="567"/>
          <w:tab w:val="left" w:pos="993"/>
          <w:tab w:val="left" w:pos="2552"/>
          <w:tab w:val="left" w:pos="3119"/>
          <w:tab w:val="left" w:pos="3686"/>
        </w:tabs>
        <w:spacing w:after="0"/>
        <w:ind w:right="566"/>
        <w:jc w:val="both"/>
        <w:rPr>
          <w:sz w:val="20"/>
          <w:lang w:val="de-DE"/>
        </w:rPr>
      </w:pPr>
    </w:p>
    <w:p w:rsidR="007C28DE" w:rsidRDefault="007C28DE">
      <w:pPr>
        <w:spacing w:after="0"/>
        <w:rPr>
          <w:sz w:val="20"/>
          <w:lang w:val="de-DE"/>
        </w:rPr>
      </w:pPr>
      <w:r>
        <w:rPr>
          <w:sz w:val="20"/>
          <w:lang w:val="de-DE"/>
        </w:rPr>
        <w:br w:type="page"/>
      </w:r>
    </w:p>
    <w:p w:rsidR="005A0A89" w:rsidRDefault="005A0A89" w:rsidP="004C730B">
      <w:pPr>
        <w:tabs>
          <w:tab w:val="left" w:pos="567"/>
          <w:tab w:val="left" w:pos="993"/>
          <w:tab w:val="left" w:pos="2552"/>
          <w:tab w:val="left" w:pos="3119"/>
          <w:tab w:val="left" w:pos="3686"/>
        </w:tabs>
        <w:spacing w:after="0"/>
        <w:ind w:right="566"/>
        <w:jc w:val="both"/>
        <w:rPr>
          <w:sz w:val="20"/>
          <w:lang w:val="de-DE"/>
        </w:rPr>
      </w:pPr>
    </w:p>
    <w:p w:rsidR="004277C7" w:rsidRPr="004277C7" w:rsidRDefault="004277C7" w:rsidP="004C730B">
      <w:pPr>
        <w:tabs>
          <w:tab w:val="left" w:pos="567"/>
          <w:tab w:val="left" w:pos="993"/>
          <w:tab w:val="left" w:pos="2552"/>
          <w:tab w:val="left" w:pos="3119"/>
          <w:tab w:val="left" w:pos="3686"/>
        </w:tabs>
        <w:spacing w:after="0"/>
        <w:ind w:right="566"/>
        <w:jc w:val="both"/>
        <w:rPr>
          <w:sz w:val="20"/>
          <w:lang w:val="de-DE"/>
        </w:rPr>
      </w:pPr>
      <w:r>
        <w:rPr>
          <w:b/>
          <w:bCs/>
          <w:sz w:val="20"/>
          <w:lang w:val="de-DE"/>
        </w:rPr>
        <w:t>H.</w:t>
      </w:r>
      <w:r>
        <w:rPr>
          <w:b/>
          <w:bCs/>
          <w:sz w:val="20"/>
          <w:lang w:val="de-DE"/>
        </w:rPr>
        <w:tab/>
      </w:r>
      <w:r w:rsidRPr="004277C7">
        <w:rPr>
          <w:b/>
          <w:bCs/>
          <w:sz w:val="20"/>
          <w:lang w:val="de-DE"/>
        </w:rPr>
        <w:t>Ergänzung des Dampfdruckkriteriums für die Gruppe „N1“ in den Zuordnungskriterien für die Stoffe in 3.2.4.3</w:t>
      </w:r>
    </w:p>
    <w:p w:rsidR="004277C7" w:rsidRDefault="004277C7" w:rsidP="004C730B">
      <w:pPr>
        <w:tabs>
          <w:tab w:val="left" w:pos="567"/>
          <w:tab w:val="left" w:pos="993"/>
          <w:tab w:val="left" w:pos="2552"/>
          <w:tab w:val="left" w:pos="3119"/>
          <w:tab w:val="left" w:pos="3686"/>
        </w:tabs>
        <w:spacing w:after="0"/>
        <w:ind w:right="566"/>
        <w:jc w:val="both"/>
        <w:rPr>
          <w:sz w:val="20"/>
          <w:lang w:val="de-DE"/>
        </w:rPr>
      </w:pPr>
    </w:p>
    <w:p w:rsidR="00067498" w:rsidRPr="000B697D" w:rsidRDefault="00C735E5" w:rsidP="00C735E5">
      <w:pPr>
        <w:tabs>
          <w:tab w:val="left" w:pos="567"/>
          <w:tab w:val="left" w:pos="993"/>
          <w:tab w:val="left" w:pos="1560"/>
          <w:tab w:val="left" w:pos="3119"/>
          <w:tab w:val="left" w:pos="3686"/>
        </w:tabs>
        <w:spacing w:after="0"/>
        <w:ind w:right="566"/>
        <w:jc w:val="both"/>
        <w:rPr>
          <w:sz w:val="20"/>
          <w:lang w:val="de-DE"/>
        </w:rPr>
      </w:pPr>
      <w:r>
        <w:rPr>
          <w:sz w:val="20"/>
          <w:lang w:val="de-DE"/>
        </w:rPr>
        <w:t>3</w:t>
      </w:r>
      <w:r w:rsidR="005A0A89">
        <w:rPr>
          <w:sz w:val="20"/>
          <w:lang w:val="de-DE"/>
        </w:rPr>
        <w:t>6</w:t>
      </w:r>
      <w:r w:rsidR="001B478E" w:rsidRPr="000B697D">
        <w:rPr>
          <w:sz w:val="20"/>
          <w:lang w:val="de-DE"/>
        </w:rPr>
        <w:t>.</w:t>
      </w:r>
      <w:r w:rsidR="001B478E" w:rsidRPr="000B697D">
        <w:rPr>
          <w:sz w:val="20"/>
          <w:lang w:val="de-DE"/>
        </w:rPr>
        <w:tab/>
      </w:r>
      <w:r w:rsidRPr="004F21B6">
        <w:rPr>
          <w:sz w:val="20"/>
          <w:lang w:val="de-DE"/>
        </w:rPr>
        <w:t xml:space="preserve">Die Mitglieder der informellen Arbeitsgruppe </w:t>
      </w:r>
      <w:r>
        <w:rPr>
          <w:sz w:val="20"/>
          <w:lang w:val="de-DE"/>
        </w:rPr>
        <w:t xml:space="preserve">schlagen vor, in den </w:t>
      </w:r>
      <w:r w:rsidRPr="00C735E5">
        <w:rPr>
          <w:sz w:val="20"/>
          <w:lang w:val="de-DE"/>
        </w:rPr>
        <w:t>Zuordnungskriterien für die Stoffe</w:t>
      </w:r>
      <w:r>
        <w:rPr>
          <w:sz w:val="20"/>
          <w:lang w:val="de-DE"/>
        </w:rPr>
        <w:t xml:space="preserve"> </w:t>
      </w:r>
      <w:r w:rsidR="00453FF2">
        <w:rPr>
          <w:sz w:val="20"/>
          <w:lang w:val="de-DE"/>
        </w:rPr>
        <w:t>(</w:t>
      </w:r>
      <w:r w:rsidRPr="00C735E5">
        <w:rPr>
          <w:sz w:val="20"/>
          <w:lang w:val="de-DE"/>
        </w:rPr>
        <w:t>3.2.4.3</w:t>
      </w:r>
      <w:r w:rsidR="00453FF2">
        <w:rPr>
          <w:sz w:val="20"/>
          <w:lang w:val="de-DE"/>
        </w:rPr>
        <w:t xml:space="preserve"> des ADN) unter A Punkt 2</w:t>
      </w:r>
      <w:r w:rsidR="00453FF2" w:rsidRPr="00453FF2">
        <w:rPr>
          <w:sz w:val="20"/>
          <w:lang w:val="de-DE"/>
        </w:rPr>
        <w:t xml:space="preserve"> </w:t>
      </w:r>
      <w:r w:rsidR="00453FF2" w:rsidRPr="00C735E5">
        <w:rPr>
          <w:sz w:val="20"/>
          <w:lang w:val="de-DE"/>
        </w:rPr>
        <w:t>Halogenierte Kohlenwasserstoffe</w:t>
      </w:r>
      <w:r w:rsidR="00453FF2">
        <w:rPr>
          <w:sz w:val="20"/>
          <w:lang w:val="de-DE"/>
        </w:rPr>
        <w:t xml:space="preserve"> den letzten Absatz in Analogie zum Entscheidungsdiagramm mit dem Dampfdruckkriterium für umweltgefährdende Stoffe wie folgt zu ergänzen: „</w:t>
      </w:r>
      <w:r w:rsidRPr="00C735E5">
        <w:rPr>
          <w:sz w:val="20"/>
          <w:lang w:val="de-DE"/>
        </w:rPr>
        <w:t xml:space="preserve">Umweltgefährdende Stoffe, akute oder chronische Giftigkeit 1 in Wasser (Gruppe N1 gemäß 2.2.9.1.10.2 ADN) </w:t>
      </w:r>
      <w:r w:rsidRPr="00453FF2">
        <w:rPr>
          <w:sz w:val="20"/>
          <w:u w:val="single"/>
          <w:lang w:val="de-DE"/>
        </w:rPr>
        <w:t>und Dampfdruck bei 50°C von ≥ 1 kPa</w:t>
      </w:r>
      <w:r w:rsidR="00453FF2">
        <w:rPr>
          <w:sz w:val="20"/>
          <w:lang w:val="de-DE"/>
        </w:rPr>
        <w:t>“</w:t>
      </w:r>
      <w:r w:rsidR="00D16F47">
        <w:rPr>
          <w:sz w:val="20"/>
          <w:lang w:val="de-DE"/>
        </w:rPr>
        <w:t>.</w:t>
      </w:r>
    </w:p>
    <w:p w:rsidR="00067498" w:rsidRDefault="00067498" w:rsidP="004C730B">
      <w:pPr>
        <w:tabs>
          <w:tab w:val="left" w:pos="567"/>
          <w:tab w:val="left" w:pos="993"/>
          <w:tab w:val="left" w:pos="1560"/>
          <w:tab w:val="left" w:pos="3119"/>
          <w:tab w:val="left" w:pos="3686"/>
        </w:tabs>
        <w:spacing w:after="0"/>
        <w:ind w:right="566"/>
        <w:jc w:val="both"/>
        <w:rPr>
          <w:sz w:val="20"/>
          <w:lang w:val="de-DE"/>
        </w:rPr>
      </w:pPr>
    </w:p>
    <w:p w:rsidR="004277C7" w:rsidRDefault="004277C7" w:rsidP="004C730B">
      <w:pPr>
        <w:tabs>
          <w:tab w:val="left" w:pos="567"/>
          <w:tab w:val="left" w:pos="993"/>
          <w:tab w:val="left" w:pos="1560"/>
          <w:tab w:val="left" w:pos="3119"/>
          <w:tab w:val="left" w:pos="3686"/>
        </w:tabs>
        <w:spacing w:after="0"/>
        <w:ind w:right="566"/>
        <w:jc w:val="both"/>
        <w:rPr>
          <w:sz w:val="20"/>
          <w:lang w:val="de-DE"/>
        </w:rPr>
      </w:pPr>
    </w:p>
    <w:p w:rsidR="004277C7" w:rsidRPr="004277C7" w:rsidRDefault="004277C7" w:rsidP="004277C7">
      <w:pPr>
        <w:tabs>
          <w:tab w:val="left" w:pos="567"/>
          <w:tab w:val="left" w:pos="993"/>
          <w:tab w:val="left" w:pos="1560"/>
          <w:tab w:val="left" w:pos="3119"/>
          <w:tab w:val="left" w:pos="3686"/>
        </w:tabs>
        <w:spacing w:after="0"/>
        <w:ind w:right="566"/>
        <w:jc w:val="both"/>
        <w:rPr>
          <w:sz w:val="20"/>
          <w:lang w:val="de-DE"/>
        </w:rPr>
      </w:pPr>
      <w:r w:rsidRPr="004277C7">
        <w:rPr>
          <w:b/>
          <w:bCs/>
          <w:sz w:val="20"/>
          <w:lang w:val="de-DE"/>
        </w:rPr>
        <w:t>I.</w:t>
      </w:r>
      <w:r w:rsidRPr="004277C7">
        <w:rPr>
          <w:b/>
          <w:bCs/>
          <w:sz w:val="20"/>
          <w:lang w:val="de-DE"/>
        </w:rPr>
        <w:tab/>
      </w:r>
      <w:r w:rsidR="00E22751">
        <w:rPr>
          <w:b/>
          <w:bCs/>
          <w:sz w:val="20"/>
          <w:lang w:val="de-DE"/>
        </w:rPr>
        <w:t xml:space="preserve">Überprüfung der Beförderungsbedingungen für </w:t>
      </w:r>
      <w:r w:rsidRPr="004277C7">
        <w:rPr>
          <w:b/>
          <w:bCs/>
          <w:sz w:val="20"/>
          <w:lang w:val="de-DE"/>
        </w:rPr>
        <w:t>Ammoniak (UN 1005 und UN 2672)</w:t>
      </w:r>
    </w:p>
    <w:p w:rsidR="004277C7" w:rsidRPr="000B697D" w:rsidRDefault="004277C7" w:rsidP="004C730B">
      <w:pPr>
        <w:tabs>
          <w:tab w:val="left" w:pos="567"/>
          <w:tab w:val="left" w:pos="993"/>
          <w:tab w:val="left" w:pos="1560"/>
          <w:tab w:val="left" w:pos="3119"/>
          <w:tab w:val="left" w:pos="3686"/>
        </w:tabs>
        <w:spacing w:after="0"/>
        <w:ind w:right="566"/>
        <w:jc w:val="both"/>
        <w:rPr>
          <w:sz w:val="20"/>
          <w:lang w:val="de-DE"/>
        </w:rPr>
      </w:pPr>
    </w:p>
    <w:p w:rsidR="008D659E" w:rsidRDefault="00D16F47" w:rsidP="004C730B">
      <w:pPr>
        <w:tabs>
          <w:tab w:val="left" w:pos="567"/>
          <w:tab w:val="left" w:pos="993"/>
          <w:tab w:val="left" w:pos="1560"/>
          <w:tab w:val="left" w:pos="3119"/>
          <w:tab w:val="left" w:pos="3686"/>
        </w:tabs>
        <w:spacing w:after="0"/>
        <w:ind w:right="566"/>
        <w:jc w:val="both"/>
        <w:rPr>
          <w:sz w:val="20"/>
          <w:lang w:val="de-DE"/>
        </w:rPr>
      </w:pPr>
      <w:r>
        <w:rPr>
          <w:sz w:val="20"/>
          <w:lang w:val="de-DE"/>
        </w:rPr>
        <w:t>3</w:t>
      </w:r>
      <w:r w:rsidR="005A0A89">
        <w:rPr>
          <w:sz w:val="20"/>
          <w:lang w:val="de-DE"/>
        </w:rPr>
        <w:t>7</w:t>
      </w:r>
      <w:r w:rsidR="00067498" w:rsidRPr="000B697D">
        <w:rPr>
          <w:sz w:val="20"/>
          <w:lang w:val="de-DE"/>
        </w:rPr>
        <w:t>.</w:t>
      </w:r>
      <w:r w:rsidR="00067498" w:rsidRPr="000B697D">
        <w:rPr>
          <w:sz w:val="20"/>
          <w:lang w:val="de-DE"/>
        </w:rPr>
        <w:tab/>
      </w:r>
      <w:r w:rsidR="00453FF2">
        <w:rPr>
          <w:sz w:val="20"/>
          <w:lang w:val="de-DE"/>
        </w:rPr>
        <w:t xml:space="preserve">Der UN 1005 ist in der Tabelle A die Sondervorschrift 23 zugeordnet, die besagt, dass unter bestimmten Voraussetzungen die Gefahr der Entzündbarkeit besteht. </w:t>
      </w:r>
      <w:r>
        <w:rPr>
          <w:sz w:val="20"/>
          <w:lang w:val="de-DE"/>
        </w:rPr>
        <w:t>Diese Voraussetzungen können bei der Beförderung in einem Tankschiff gegeben sein. Deshalb wurde in der Tabelle C die Nebengefahr 2.1 zugeordnet.</w:t>
      </w:r>
      <w:r w:rsidR="00E22751">
        <w:rPr>
          <w:sz w:val="20"/>
          <w:lang w:val="de-DE"/>
        </w:rPr>
        <w:t xml:space="preserve"> Die Informelle Arbeitsgruppe hält diese Zuordnung für korrekt.</w:t>
      </w:r>
    </w:p>
    <w:p w:rsidR="00D16F47" w:rsidRDefault="00D16F47" w:rsidP="004C730B">
      <w:pPr>
        <w:tabs>
          <w:tab w:val="left" w:pos="567"/>
          <w:tab w:val="left" w:pos="993"/>
          <w:tab w:val="left" w:pos="1560"/>
          <w:tab w:val="left" w:pos="3119"/>
          <w:tab w:val="left" w:pos="3686"/>
        </w:tabs>
        <w:spacing w:after="0"/>
        <w:ind w:right="566"/>
        <w:jc w:val="both"/>
        <w:rPr>
          <w:sz w:val="20"/>
          <w:lang w:val="de-DE"/>
        </w:rPr>
      </w:pPr>
    </w:p>
    <w:p w:rsidR="00D16F47" w:rsidRPr="000B697D" w:rsidRDefault="00D16F47" w:rsidP="004C730B">
      <w:pPr>
        <w:tabs>
          <w:tab w:val="left" w:pos="567"/>
          <w:tab w:val="left" w:pos="993"/>
          <w:tab w:val="left" w:pos="1560"/>
          <w:tab w:val="left" w:pos="3119"/>
          <w:tab w:val="left" w:pos="3686"/>
        </w:tabs>
        <w:spacing w:after="0"/>
        <w:ind w:right="566"/>
        <w:jc w:val="both"/>
        <w:rPr>
          <w:sz w:val="20"/>
          <w:lang w:val="de-DE"/>
        </w:rPr>
      </w:pPr>
      <w:r>
        <w:rPr>
          <w:sz w:val="20"/>
          <w:lang w:val="de-DE"/>
        </w:rPr>
        <w:t>3</w:t>
      </w:r>
      <w:r w:rsidR="005A0A89">
        <w:rPr>
          <w:sz w:val="20"/>
          <w:lang w:val="de-DE"/>
        </w:rPr>
        <w:t>8</w:t>
      </w:r>
      <w:r>
        <w:rPr>
          <w:sz w:val="20"/>
          <w:lang w:val="de-DE"/>
        </w:rPr>
        <w:t>.</w:t>
      </w:r>
      <w:r>
        <w:rPr>
          <w:sz w:val="20"/>
          <w:lang w:val="de-DE"/>
        </w:rPr>
        <w:tab/>
        <w:t xml:space="preserve">Für die UN 2672 ergab die nochmalige Prüfung, dass aufgrund der hohen Dampfdruckwerte bei 50 °C insbesondere für den Konzentrationsbereich von 25 % bis 35 % die Beförderung in einem Drucktank oder mit einer Absicherung von 50 kPa mit Kühlung erforderlich </w:t>
      </w:r>
      <w:r w:rsidR="00C06322">
        <w:rPr>
          <w:sz w:val="20"/>
          <w:lang w:val="de-DE"/>
        </w:rPr>
        <w:t>ist</w:t>
      </w:r>
      <w:r>
        <w:rPr>
          <w:sz w:val="20"/>
          <w:lang w:val="de-DE"/>
        </w:rPr>
        <w:t>.</w:t>
      </w:r>
    </w:p>
    <w:p w:rsidR="001B478E" w:rsidRPr="000B697D" w:rsidRDefault="001B478E" w:rsidP="004C730B">
      <w:pPr>
        <w:tabs>
          <w:tab w:val="left" w:pos="567"/>
          <w:tab w:val="left" w:pos="993"/>
          <w:tab w:val="left" w:pos="2552"/>
          <w:tab w:val="left" w:pos="3119"/>
          <w:tab w:val="left" w:pos="3686"/>
        </w:tabs>
        <w:spacing w:after="0"/>
        <w:ind w:right="566"/>
        <w:jc w:val="both"/>
        <w:rPr>
          <w:sz w:val="20"/>
          <w:lang w:val="de-DE"/>
        </w:rPr>
      </w:pPr>
    </w:p>
    <w:p w:rsidR="009E05E7" w:rsidRPr="000B697D" w:rsidRDefault="009E05E7" w:rsidP="004C730B">
      <w:pPr>
        <w:tabs>
          <w:tab w:val="left" w:pos="567"/>
          <w:tab w:val="left" w:pos="1985"/>
          <w:tab w:val="left" w:pos="2552"/>
          <w:tab w:val="left" w:pos="3119"/>
          <w:tab w:val="left" w:pos="3686"/>
        </w:tabs>
        <w:spacing w:after="0"/>
        <w:ind w:right="566"/>
        <w:jc w:val="both"/>
        <w:rPr>
          <w:sz w:val="20"/>
          <w:lang w:val="de-DE"/>
        </w:rPr>
      </w:pPr>
    </w:p>
    <w:p w:rsidR="004277C7" w:rsidRPr="004277C7" w:rsidRDefault="004277C7" w:rsidP="004C730B">
      <w:pPr>
        <w:tabs>
          <w:tab w:val="left" w:pos="567"/>
          <w:tab w:val="left" w:pos="1985"/>
          <w:tab w:val="left" w:pos="2552"/>
          <w:tab w:val="left" w:pos="3119"/>
          <w:tab w:val="left" w:pos="3686"/>
        </w:tabs>
        <w:spacing w:after="0"/>
        <w:ind w:right="566"/>
        <w:jc w:val="both"/>
        <w:rPr>
          <w:sz w:val="20"/>
          <w:lang w:val="de-DE"/>
        </w:rPr>
      </w:pPr>
      <w:r w:rsidRPr="004277C7">
        <w:rPr>
          <w:b/>
          <w:bCs/>
          <w:sz w:val="20"/>
          <w:lang w:val="de-DE"/>
        </w:rPr>
        <w:t>J.</w:t>
      </w:r>
      <w:r w:rsidRPr="004277C7">
        <w:rPr>
          <w:b/>
          <w:bCs/>
          <w:sz w:val="20"/>
          <w:lang w:val="de-DE"/>
        </w:rPr>
        <w:tab/>
      </w:r>
      <w:r w:rsidR="00642D96" w:rsidRPr="00642D96">
        <w:rPr>
          <w:b/>
          <w:bCs/>
          <w:sz w:val="20"/>
          <w:lang w:val="de-DE"/>
        </w:rPr>
        <w:t>Zuordnung der Bemerkungen 35 und 36 in der Tabelle C</w:t>
      </w:r>
    </w:p>
    <w:p w:rsidR="004277C7" w:rsidRDefault="004277C7" w:rsidP="004C730B">
      <w:pPr>
        <w:tabs>
          <w:tab w:val="left" w:pos="567"/>
          <w:tab w:val="left" w:pos="1985"/>
          <w:tab w:val="left" w:pos="2552"/>
          <w:tab w:val="left" w:pos="3119"/>
          <w:tab w:val="left" w:pos="3686"/>
        </w:tabs>
        <w:spacing w:after="0"/>
        <w:ind w:right="566"/>
        <w:jc w:val="both"/>
        <w:rPr>
          <w:sz w:val="20"/>
          <w:lang w:val="de-DE"/>
        </w:rPr>
      </w:pPr>
    </w:p>
    <w:p w:rsidR="00642D96" w:rsidRDefault="005A0A89" w:rsidP="007C28DE">
      <w:pPr>
        <w:tabs>
          <w:tab w:val="left" w:pos="567"/>
          <w:tab w:val="left" w:pos="1985"/>
          <w:tab w:val="left" w:pos="2552"/>
          <w:tab w:val="left" w:pos="3119"/>
          <w:tab w:val="left" w:pos="3686"/>
        </w:tabs>
        <w:spacing w:after="0"/>
        <w:ind w:right="566"/>
        <w:jc w:val="both"/>
        <w:rPr>
          <w:sz w:val="20"/>
          <w:lang w:val="de-DE"/>
        </w:rPr>
      </w:pPr>
      <w:r>
        <w:rPr>
          <w:sz w:val="20"/>
          <w:lang w:val="de-DE"/>
        </w:rPr>
        <w:t>39</w:t>
      </w:r>
      <w:r w:rsidR="006B7CD6" w:rsidRPr="000B697D">
        <w:rPr>
          <w:sz w:val="20"/>
          <w:lang w:val="de-DE"/>
        </w:rPr>
        <w:t>.</w:t>
      </w:r>
      <w:r w:rsidR="006B7CD6" w:rsidRPr="000B697D">
        <w:rPr>
          <w:sz w:val="20"/>
          <w:lang w:val="de-DE"/>
        </w:rPr>
        <w:tab/>
      </w:r>
      <w:r w:rsidR="0039615E">
        <w:rPr>
          <w:sz w:val="20"/>
          <w:lang w:val="de-DE"/>
        </w:rPr>
        <w:t xml:space="preserve">Entsprechend den Bauvorschriften gibt es neben den direkten und den indirekten Kühlsystemen auch noch kombinierte Systeme. </w:t>
      </w:r>
      <w:r w:rsidR="00C06322">
        <w:rPr>
          <w:sz w:val="20"/>
          <w:lang w:val="de-DE"/>
        </w:rPr>
        <w:t xml:space="preserve">Die Bemerkung 35 besagt, dass direkte Kühlsysteme nicht verwendet werden dürfen. In Bemerkung 36 wird die Verwendung eines indirekten Kühlsystems vorgeschrieben. Nach dem aktuellen Vorschriftenstand </w:t>
      </w:r>
      <w:r w:rsidR="006427B4">
        <w:rPr>
          <w:sz w:val="20"/>
          <w:lang w:val="de-DE"/>
        </w:rPr>
        <w:t xml:space="preserve">sind die Bemerkungen 35 und 36 </w:t>
      </w:r>
      <w:r w:rsidR="00C06322">
        <w:rPr>
          <w:sz w:val="20"/>
          <w:lang w:val="de-DE"/>
        </w:rPr>
        <w:t xml:space="preserve">in </w:t>
      </w:r>
      <w:r w:rsidR="006427B4">
        <w:rPr>
          <w:sz w:val="20"/>
          <w:lang w:val="de-DE"/>
        </w:rPr>
        <w:t>der Tabelle C nicht zugeordnet.</w:t>
      </w:r>
    </w:p>
    <w:p w:rsidR="006427B4" w:rsidRDefault="006427B4" w:rsidP="007C28DE">
      <w:pPr>
        <w:tabs>
          <w:tab w:val="left" w:pos="567"/>
          <w:tab w:val="left" w:pos="1985"/>
          <w:tab w:val="left" w:pos="2552"/>
          <w:tab w:val="left" w:pos="3119"/>
          <w:tab w:val="left" w:pos="3686"/>
        </w:tabs>
        <w:spacing w:after="0"/>
        <w:ind w:right="566"/>
        <w:jc w:val="both"/>
        <w:rPr>
          <w:sz w:val="20"/>
          <w:lang w:val="de-DE"/>
        </w:rPr>
      </w:pPr>
    </w:p>
    <w:p w:rsidR="006427B4" w:rsidRDefault="005A0A89" w:rsidP="007C28DE">
      <w:pPr>
        <w:tabs>
          <w:tab w:val="left" w:pos="567"/>
          <w:tab w:val="left" w:pos="1985"/>
          <w:tab w:val="left" w:pos="2552"/>
          <w:tab w:val="left" w:pos="3119"/>
          <w:tab w:val="left" w:pos="3686"/>
        </w:tabs>
        <w:spacing w:after="0"/>
        <w:ind w:right="566"/>
        <w:jc w:val="both"/>
        <w:rPr>
          <w:sz w:val="20"/>
          <w:lang w:val="de-DE"/>
        </w:rPr>
      </w:pPr>
      <w:r>
        <w:rPr>
          <w:sz w:val="20"/>
          <w:lang w:val="de-DE"/>
        </w:rPr>
        <w:t>40</w:t>
      </w:r>
      <w:r w:rsidR="006427B4">
        <w:rPr>
          <w:sz w:val="20"/>
          <w:lang w:val="de-DE"/>
        </w:rPr>
        <w:t>.</w:t>
      </w:r>
      <w:r w:rsidR="006427B4">
        <w:rPr>
          <w:sz w:val="20"/>
          <w:lang w:val="de-DE"/>
        </w:rPr>
        <w:tab/>
      </w:r>
      <w:r w:rsidR="008F7A9D" w:rsidRPr="008F7A9D">
        <w:rPr>
          <w:sz w:val="20"/>
          <w:lang w:val="de-DE"/>
        </w:rPr>
        <w:t>Durch die Zuordnung der Bemerkungen 35 und 36 soll die Anwendung von Kühlsystemen, bei denen teilweise oder vollständig die Kühlung unter Verdichtung des Ladegutes erfolgt, bei Stoffen verhindert werden, bei denen eine solche Verdichtung zu gefährlichen Reaktionen führen kann.</w:t>
      </w:r>
      <w:r w:rsidR="006427B4">
        <w:rPr>
          <w:sz w:val="20"/>
          <w:lang w:val="de-DE"/>
        </w:rPr>
        <w:t xml:space="preserve"> Dies betrifft in der Tabelle C folgende vier Eintragungen:</w:t>
      </w:r>
    </w:p>
    <w:p w:rsidR="006427B4" w:rsidRDefault="006427B4" w:rsidP="007C28DE">
      <w:pPr>
        <w:tabs>
          <w:tab w:val="left" w:pos="567"/>
          <w:tab w:val="left" w:pos="1985"/>
          <w:tab w:val="left" w:pos="2552"/>
          <w:tab w:val="left" w:pos="3119"/>
          <w:tab w:val="left" w:pos="3686"/>
        </w:tabs>
        <w:spacing w:after="0"/>
        <w:ind w:right="566"/>
        <w:jc w:val="both"/>
        <w:rPr>
          <w:sz w:val="20"/>
          <w:lang w:val="de-DE"/>
        </w:rPr>
      </w:pPr>
    </w:p>
    <w:p w:rsidR="006427B4" w:rsidRDefault="006427B4" w:rsidP="007C28DE">
      <w:pPr>
        <w:tabs>
          <w:tab w:val="left" w:pos="567"/>
          <w:tab w:val="left" w:pos="1985"/>
          <w:tab w:val="left" w:pos="2552"/>
          <w:tab w:val="left" w:pos="3119"/>
          <w:tab w:val="left" w:pos="3686"/>
        </w:tabs>
        <w:spacing w:after="0"/>
        <w:ind w:left="1701" w:right="566" w:hanging="1701"/>
        <w:jc w:val="both"/>
        <w:rPr>
          <w:sz w:val="20"/>
          <w:lang w:val="de-DE"/>
        </w:rPr>
      </w:pPr>
      <w:r>
        <w:rPr>
          <w:sz w:val="20"/>
          <w:lang w:val="de-DE"/>
        </w:rPr>
        <w:tab/>
        <w:t>UN 1040</w:t>
      </w:r>
      <w:r w:rsidR="0039615E">
        <w:rPr>
          <w:sz w:val="20"/>
          <w:lang w:val="de-DE"/>
        </w:rPr>
        <w:tab/>
      </w:r>
      <w:r w:rsidR="0039615E" w:rsidRPr="0039615E">
        <w:rPr>
          <w:sz w:val="20"/>
          <w:lang w:val="de-DE"/>
        </w:rPr>
        <w:t>ETHYLENOXID MIT STICKSTOFF bis zu einem Gesamtdruck von 1 MPa</w:t>
      </w:r>
      <w:r w:rsidR="0039615E">
        <w:rPr>
          <w:sz w:val="20"/>
          <w:lang w:val="de-DE"/>
        </w:rPr>
        <w:br/>
      </w:r>
      <w:r w:rsidR="0039615E" w:rsidRPr="0039615E">
        <w:rPr>
          <w:sz w:val="20"/>
          <w:lang w:val="de-DE"/>
        </w:rPr>
        <w:t>(10 bar) bei 50°C</w:t>
      </w:r>
      <w:r w:rsidR="0039615E">
        <w:rPr>
          <w:sz w:val="20"/>
          <w:lang w:val="de-DE"/>
        </w:rPr>
        <w:t>,</w:t>
      </w:r>
    </w:p>
    <w:p w:rsidR="006427B4" w:rsidRPr="007C28DE" w:rsidRDefault="006427B4" w:rsidP="007C28DE">
      <w:pPr>
        <w:tabs>
          <w:tab w:val="left" w:pos="567"/>
          <w:tab w:val="left" w:pos="1701"/>
          <w:tab w:val="left" w:pos="2552"/>
          <w:tab w:val="left" w:pos="3119"/>
          <w:tab w:val="left" w:pos="3686"/>
        </w:tabs>
        <w:spacing w:after="0"/>
        <w:ind w:right="566"/>
        <w:jc w:val="both"/>
        <w:rPr>
          <w:sz w:val="20"/>
          <w:lang w:val="fr-FR"/>
        </w:rPr>
      </w:pPr>
      <w:r>
        <w:rPr>
          <w:sz w:val="20"/>
          <w:lang w:val="de-DE"/>
        </w:rPr>
        <w:tab/>
      </w:r>
      <w:r w:rsidRPr="007C28DE">
        <w:rPr>
          <w:sz w:val="20"/>
          <w:lang w:val="fr-FR"/>
        </w:rPr>
        <w:t>UN 108</w:t>
      </w:r>
      <w:r w:rsidR="0039615E" w:rsidRPr="007C28DE">
        <w:rPr>
          <w:sz w:val="20"/>
          <w:lang w:val="fr-FR"/>
        </w:rPr>
        <w:t>9</w:t>
      </w:r>
      <w:r w:rsidR="0039615E" w:rsidRPr="007C28DE">
        <w:rPr>
          <w:sz w:val="20"/>
          <w:lang w:val="fr-FR"/>
        </w:rPr>
        <w:tab/>
        <w:t>ACETALDEHYD (Ethanal),</w:t>
      </w:r>
    </w:p>
    <w:p w:rsidR="006427B4" w:rsidRPr="007C28DE" w:rsidRDefault="006427B4" w:rsidP="007C28DE">
      <w:pPr>
        <w:tabs>
          <w:tab w:val="left" w:pos="567"/>
          <w:tab w:val="left" w:pos="1701"/>
          <w:tab w:val="left" w:pos="2552"/>
          <w:tab w:val="left" w:pos="3119"/>
          <w:tab w:val="left" w:pos="3686"/>
        </w:tabs>
        <w:spacing w:after="0"/>
        <w:ind w:right="566"/>
        <w:jc w:val="both"/>
        <w:rPr>
          <w:sz w:val="20"/>
          <w:lang w:val="fr-FR"/>
        </w:rPr>
      </w:pPr>
      <w:r w:rsidRPr="007C28DE">
        <w:rPr>
          <w:sz w:val="20"/>
          <w:lang w:val="fr-FR"/>
        </w:rPr>
        <w:tab/>
        <w:t>UN 1280</w:t>
      </w:r>
      <w:r w:rsidR="0039615E" w:rsidRPr="007C28DE">
        <w:rPr>
          <w:sz w:val="20"/>
          <w:lang w:val="fr-FR"/>
        </w:rPr>
        <w:tab/>
        <w:t>PROPYLENOXID und</w:t>
      </w:r>
    </w:p>
    <w:p w:rsidR="006427B4" w:rsidRDefault="006427B4" w:rsidP="007C28DE">
      <w:pPr>
        <w:tabs>
          <w:tab w:val="left" w:pos="567"/>
          <w:tab w:val="left" w:pos="1701"/>
          <w:tab w:val="left" w:pos="2552"/>
          <w:tab w:val="left" w:pos="3119"/>
          <w:tab w:val="left" w:pos="3686"/>
        </w:tabs>
        <w:spacing w:after="0"/>
        <w:ind w:left="1695" w:right="566" w:hanging="1695"/>
        <w:jc w:val="both"/>
        <w:rPr>
          <w:sz w:val="20"/>
          <w:lang w:val="de-DE"/>
        </w:rPr>
      </w:pPr>
      <w:r w:rsidRPr="007C28DE">
        <w:rPr>
          <w:sz w:val="20"/>
          <w:lang w:val="fr-FR"/>
        </w:rPr>
        <w:tab/>
      </w:r>
      <w:r>
        <w:rPr>
          <w:sz w:val="20"/>
          <w:lang w:val="de-DE"/>
        </w:rPr>
        <w:t>UN 2983</w:t>
      </w:r>
      <w:r w:rsidR="0039615E">
        <w:rPr>
          <w:sz w:val="20"/>
          <w:lang w:val="de-DE"/>
        </w:rPr>
        <w:tab/>
      </w:r>
      <w:r w:rsidR="0039615E" w:rsidRPr="0039615E">
        <w:rPr>
          <w:sz w:val="20"/>
          <w:lang w:val="de-DE"/>
        </w:rPr>
        <w:t>ETHYLENOXID UND PROPYLENOXID, MISCHUNG,mit höchstens</w:t>
      </w:r>
      <w:r w:rsidR="0039615E">
        <w:rPr>
          <w:sz w:val="20"/>
          <w:lang w:val="de-DE"/>
        </w:rPr>
        <w:t xml:space="preserve"> </w:t>
      </w:r>
      <w:r w:rsidR="0039615E" w:rsidRPr="0039615E">
        <w:rPr>
          <w:sz w:val="20"/>
          <w:lang w:val="de-DE"/>
        </w:rPr>
        <w:t>30 %</w:t>
      </w:r>
      <w:r w:rsidR="0039615E">
        <w:rPr>
          <w:sz w:val="20"/>
          <w:lang w:val="de-DE"/>
        </w:rPr>
        <w:br/>
      </w:r>
      <w:r w:rsidR="0039615E" w:rsidRPr="0039615E">
        <w:rPr>
          <w:sz w:val="20"/>
          <w:lang w:val="de-DE"/>
        </w:rPr>
        <w:t>Ethylenoxid</w:t>
      </w:r>
    </w:p>
    <w:p w:rsidR="006427B4" w:rsidRDefault="006427B4" w:rsidP="007C28DE">
      <w:pPr>
        <w:tabs>
          <w:tab w:val="left" w:pos="567"/>
          <w:tab w:val="left" w:pos="1985"/>
          <w:tab w:val="left" w:pos="2552"/>
          <w:tab w:val="left" w:pos="3119"/>
          <w:tab w:val="left" w:pos="3686"/>
        </w:tabs>
        <w:spacing w:after="0"/>
        <w:ind w:right="566"/>
        <w:jc w:val="both"/>
        <w:rPr>
          <w:sz w:val="20"/>
          <w:lang w:val="de-DE"/>
        </w:rPr>
      </w:pPr>
    </w:p>
    <w:p w:rsidR="00642D96" w:rsidRDefault="005A0A89" w:rsidP="007C28DE">
      <w:pPr>
        <w:tabs>
          <w:tab w:val="left" w:pos="567"/>
          <w:tab w:val="left" w:pos="1985"/>
          <w:tab w:val="left" w:pos="2552"/>
          <w:tab w:val="left" w:pos="3119"/>
          <w:tab w:val="left" w:pos="3686"/>
        </w:tabs>
        <w:spacing w:after="0"/>
        <w:ind w:right="566"/>
        <w:jc w:val="both"/>
        <w:rPr>
          <w:sz w:val="20"/>
          <w:lang w:val="de-DE"/>
        </w:rPr>
      </w:pPr>
      <w:r>
        <w:rPr>
          <w:sz w:val="20"/>
          <w:lang w:val="de-DE"/>
        </w:rPr>
        <w:t>41</w:t>
      </w:r>
      <w:r w:rsidR="0039615E">
        <w:rPr>
          <w:sz w:val="20"/>
          <w:lang w:val="de-DE"/>
        </w:rPr>
        <w:t>.</w:t>
      </w:r>
      <w:r w:rsidR="0039615E">
        <w:rPr>
          <w:sz w:val="20"/>
          <w:lang w:val="de-DE"/>
        </w:rPr>
        <w:tab/>
      </w:r>
      <w:r w:rsidR="002E12C4">
        <w:rPr>
          <w:sz w:val="20"/>
          <w:lang w:val="de-DE"/>
        </w:rPr>
        <w:t>Die Mitglieder der Informellen Arbeitsgruppe kamen zu der Auffassung, dass die Bemerkungen 35 und 36 zu einer Bemerkung mit folgendem Wortlaut zusammengefasst werden können: „Bemerkung 35 Für diesen Stoff darf als Kühlanlage nur ein indirektes System benutz werden. Direkte und kombinierte Systeme sind nicht erlaubt.“ Diese Bemerkung sollte in Spalte (20) der Tabelle C bei den Einträgen UN 1040, UN 1089, UN 1280 und UN 2983 eingefügt werden.</w:t>
      </w:r>
    </w:p>
    <w:p w:rsidR="0039615E" w:rsidRDefault="0039615E" w:rsidP="007C28DE">
      <w:pPr>
        <w:tabs>
          <w:tab w:val="left" w:pos="567"/>
          <w:tab w:val="left" w:pos="1985"/>
          <w:tab w:val="left" w:pos="2552"/>
          <w:tab w:val="left" w:pos="3119"/>
          <w:tab w:val="left" w:pos="3686"/>
        </w:tabs>
        <w:spacing w:after="0"/>
        <w:ind w:right="566"/>
        <w:jc w:val="both"/>
        <w:rPr>
          <w:sz w:val="20"/>
          <w:lang w:val="de-DE"/>
        </w:rPr>
      </w:pPr>
    </w:p>
    <w:p w:rsidR="00642D96" w:rsidRPr="000B697D" w:rsidRDefault="00642D96" w:rsidP="007C28DE">
      <w:pPr>
        <w:tabs>
          <w:tab w:val="left" w:pos="567"/>
          <w:tab w:val="left" w:pos="1985"/>
          <w:tab w:val="left" w:pos="2552"/>
          <w:tab w:val="left" w:pos="3119"/>
          <w:tab w:val="left" w:pos="3686"/>
        </w:tabs>
        <w:spacing w:after="0"/>
        <w:ind w:right="566"/>
        <w:jc w:val="both"/>
        <w:rPr>
          <w:sz w:val="20"/>
          <w:lang w:val="de-DE"/>
        </w:rPr>
      </w:pPr>
    </w:p>
    <w:p w:rsidR="00642D96" w:rsidRPr="004277C7" w:rsidRDefault="00642D96" w:rsidP="007C28DE">
      <w:pPr>
        <w:tabs>
          <w:tab w:val="left" w:pos="567"/>
          <w:tab w:val="left" w:pos="1985"/>
          <w:tab w:val="left" w:pos="2552"/>
          <w:tab w:val="left" w:pos="3119"/>
          <w:tab w:val="left" w:pos="3686"/>
        </w:tabs>
        <w:spacing w:after="0"/>
        <w:ind w:right="566"/>
        <w:jc w:val="both"/>
        <w:rPr>
          <w:sz w:val="20"/>
          <w:lang w:val="de-DE"/>
        </w:rPr>
      </w:pPr>
      <w:r>
        <w:rPr>
          <w:b/>
          <w:bCs/>
          <w:sz w:val="20"/>
          <w:lang w:val="de-DE"/>
        </w:rPr>
        <w:t>K</w:t>
      </w:r>
      <w:r w:rsidRPr="004277C7">
        <w:rPr>
          <w:b/>
          <w:bCs/>
          <w:sz w:val="20"/>
          <w:lang w:val="de-DE"/>
        </w:rPr>
        <w:t>.</w:t>
      </w:r>
      <w:r w:rsidRPr="004277C7">
        <w:rPr>
          <w:b/>
          <w:bCs/>
          <w:sz w:val="20"/>
          <w:lang w:val="de-DE"/>
        </w:rPr>
        <w:tab/>
      </w:r>
      <w:r w:rsidRPr="00642D96">
        <w:rPr>
          <w:b/>
          <w:bCs/>
          <w:sz w:val="20"/>
          <w:lang w:val="de-DE"/>
        </w:rPr>
        <w:t>Klassifizierung von Abfällen</w:t>
      </w:r>
    </w:p>
    <w:p w:rsidR="00642D96" w:rsidRDefault="00642D96" w:rsidP="007C28DE">
      <w:pPr>
        <w:tabs>
          <w:tab w:val="left" w:pos="567"/>
          <w:tab w:val="left" w:pos="1985"/>
          <w:tab w:val="left" w:pos="2552"/>
          <w:tab w:val="left" w:pos="3119"/>
          <w:tab w:val="left" w:pos="3686"/>
        </w:tabs>
        <w:spacing w:after="0"/>
        <w:ind w:right="566"/>
        <w:jc w:val="both"/>
        <w:rPr>
          <w:sz w:val="20"/>
          <w:lang w:val="de-DE"/>
        </w:rPr>
      </w:pPr>
    </w:p>
    <w:p w:rsidR="00642D96" w:rsidRDefault="005A0A89" w:rsidP="007C28DE">
      <w:pPr>
        <w:tabs>
          <w:tab w:val="left" w:pos="567"/>
          <w:tab w:val="left" w:pos="1985"/>
          <w:tab w:val="left" w:pos="2552"/>
          <w:tab w:val="left" w:pos="3119"/>
          <w:tab w:val="left" w:pos="3686"/>
        </w:tabs>
        <w:spacing w:after="0"/>
        <w:ind w:right="566"/>
        <w:jc w:val="both"/>
        <w:rPr>
          <w:sz w:val="20"/>
          <w:lang w:val="de-DE"/>
        </w:rPr>
      </w:pPr>
      <w:r>
        <w:rPr>
          <w:sz w:val="20"/>
          <w:lang w:val="de-DE"/>
        </w:rPr>
        <w:t>42</w:t>
      </w:r>
      <w:r w:rsidR="00642D96" w:rsidRPr="000B697D">
        <w:rPr>
          <w:sz w:val="20"/>
          <w:lang w:val="de-DE"/>
        </w:rPr>
        <w:t>.</w:t>
      </w:r>
      <w:r w:rsidR="00642D96" w:rsidRPr="000B697D">
        <w:rPr>
          <w:sz w:val="20"/>
          <w:lang w:val="de-DE"/>
        </w:rPr>
        <w:tab/>
      </w:r>
      <w:r w:rsidR="006415D0">
        <w:rPr>
          <w:sz w:val="20"/>
          <w:lang w:val="de-DE"/>
        </w:rPr>
        <w:t>Bei der Klassifizierung sollte nach Meinung der Informellen Arbeitsgruppe zwischen Sludge und Slops unterschieden werden. D</w:t>
      </w:r>
      <w:r w:rsidR="00A06582">
        <w:rPr>
          <w:sz w:val="20"/>
          <w:lang w:val="de-DE"/>
        </w:rPr>
        <w:t xml:space="preserve">er Begriff „Sludge“ </w:t>
      </w:r>
      <w:r w:rsidR="006415D0">
        <w:rPr>
          <w:sz w:val="20"/>
          <w:lang w:val="de-DE"/>
        </w:rPr>
        <w:t>umfasst Reste und Abfälle aus dem Maschinenraum. Dazu gehören Reste aus den Separatoren, Treibstoffreste, Motorenöl und Reste aus der Reinigung. „Slops“ hingegen sind Ladungsreste und Reste aus der Ladetankreinigung.</w:t>
      </w:r>
    </w:p>
    <w:p w:rsidR="006415D0" w:rsidRDefault="006415D0" w:rsidP="007C28DE">
      <w:pPr>
        <w:tabs>
          <w:tab w:val="left" w:pos="567"/>
          <w:tab w:val="left" w:pos="1985"/>
          <w:tab w:val="left" w:pos="2552"/>
          <w:tab w:val="left" w:pos="3119"/>
          <w:tab w:val="left" w:pos="3686"/>
        </w:tabs>
        <w:spacing w:after="0"/>
        <w:ind w:right="566"/>
        <w:jc w:val="both"/>
        <w:rPr>
          <w:sz w:val="20"/>
          <w:lang w:val="de-DE"/>
        </w:rPr>
      </w:pPr>
    </w:p>
    <w:p w:rsidR="006415D0" w:rsidRDefault="005A0A89" w:rsidP="00642D96">
      <w:pPr>
        <w:tabs>
          <w:tab w:val="left" w:pos="567"/>
          <w:tab w:val="left" w:pos="1985"/>
          <w:tab w:val="left" w:pos="2552"/>
          <w:tab w:val="left" w:pos="3119"/>
          <w:tab w:val="left" w:pos="3686"/>
        </w:tabs>
        <w:spacing w:after="0"/>
        <w:ind w:right="566"/>
        <w:jc w:val="both"/>
        <w:rPr>
          <w:sz w:val="20"/>
          <w:lang w:val="de-DE"/>
        </w:rPr>
      </w:pPr>
      <w:r>
        <w:rPr>
          <w:sz w:val="20"/>
          <w:lang w:val="de-DE"/>
        </w:rPr>
        <w:t>43</w:t>
      </w:r>
      <w:r w:rsidR="006415D0">
        <w:rPr>
          <w:sz w:val="20"/>
          <w:lang w:val="de-DE"/>
        </w:rPr>
        <w:t>.</w:t>
      </w:r>
      <w:r w:rsidR="006415D0">
        <w:rPr>
          <w:sz w:val="20"/>
          <w:lang w:val="de-DE"/>
        </w:rPr>
        <w:tab/>
        <w:t>Slops kommen aus der Ladung und sollten, ähnlich wie leere ungereinigte Verpackungen, wie die Ladung klassifiziert und unter den für die Ladung geltenden Bedingungen befördert werden.</w:t>
      </w:r>
    </w:p>
    <w:p w:rsidR="007C28DE" w:rsidRDefault="007C28DE">
      <w:pPr>
        <w:spacing w:after="0"/>
        <w:rPr>
          <w:sz w:val="20"/>
          <w:lang w:val="de-DE"/>
        </w:rPr>
      </w:pPr>
      <w:r>
        <w:rPr>
          <w:sz w:val="20"/>
          <w:lang w:val="de-DE"/>
        </w:rPr>
        <w:br w:type="page"/>
      </w:r>
    </w:p>
    <w:p w:rsidR="006415D0" w:rsidRDefault="006415D0" w:rsidP="00642D96">
      <w:pPr>
        <w:tabs>
          <w:tab w:val="left" w:pos="567"/>
          <w:tab w:val="left" w:pos="1985"/>
          <w:tab w:val="left" w:pos="2552"/>
          <w:tab w:val="left" w:pos="3119"/>
          <w:tab w:val="left" w:pos="3686"/>
        </w:tabs>
        <w:spacing w:after="0"/>
        <w:ind w:right="566"/>
        <w:jc w:val="both"/>
        <w:rPr>
          <w:sz w:val="20"/>
          <w:lang w:val="de-DE"/>
        </w:rPr>
      </w:pPr>
    </w:p>
    <w:p w:rsidR="006415D0" w:rsidRDefault="006415D0" w:rsidP="00642D96">
      <w:pPr>
        <w:tabs>
          <w:tab w:val="left" w:pos="567"/>
          <w:tab w:val="left" w:pos="1985"/>
          <w:tab w:val="left" w:pos="2552"/>
          <w:tab w:val="left" w:pos="3119"/>
          <w:tab w:val="left" w:pos="3686"/>
        </w:tabs>
        <w:spacing w:after="0"/>
        <w:ind w:right="566"/>
        <w:jc w:val="both"/>
        <w:rPr>
          <w:sz w:val="20"/>
          <w:lang w:val="de-DE"/>
        </w:rPr>
      </w:pPr>
      <w:r>
        <w:rPr>
          <w:sz w:val="20"/>
          <w:lang w:val="de-DE"/>
        </w:rPr>
        <w:t>4</w:t>
      </w:r>
      <w:r w:rsidR="005A0A89">
        <w:rPr>
          <w:sz w:val="20"/>
          <w:lang w:val="de-DE"/>
        </w:rPr>
        <w:t>4</w:t>
      </w:r>
      <w:r>
        <w:rPr>
          <w:sz w:val="20"/>
          <w:lang w:val="de-DE"/>
        </w:rPr>
        <w:t>.</w:t>
      </w:r>
      <w:r>
        <w:rPr>
          <w:sz w:val="20"/>
          <w:lang w:val="de-DE"/>
        </w:rPr>
        <w:tab/>
        <w:t xml:space="preserve">Bei Sludge sollte eine worst case Einstufung vorgenommen werden, da die Gefahren N1, CMR und </w:t>
      </w:r>
      <w:r w:rsidR="00435FBA">
        <w:rPr>
          <w:sz w:val="20"/>
          <w:lang w:val="de-DE"/>
        </w:rPr>
        <w:t xml:space="preserve">insbesondere </w:t>
      </w:r>
      <w:r>
        <w:rPr>
          <w:sz w:val="20"/>
          <w:lang w:val="de-DE"/>
        </w:rPr>
        <w:t>F/S</w:t>
      </w:r>
      <w:r w:rsidR="00C24C14">
        <w:rPr>
          <w:sz w:val="20"/>
          <w:lang w:val="de-DE"/>
        </w:rPr>
        <w:t xml:space="preserve"> nicht ausgeschlossen werden können. Dem zur Folge wären solche Stoffe in einem N-Schiff geschlossen mit Ladetankwand keine Außenhaut zu befördern.</w:t>
      </w:r>
    </w:p>
    <w:p w:rsidR="00642D96"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Pr="000B697D"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Pr="004277C7" w:rsidRDefault="00642D96" w:rsidP="00642D96">
      <w:pPr>
        <w:tabs>
          <w:tab w:val="left" w:pos="567"/>
          <w:tab w:val="left" w:pos="1985"/>
          <w:tab w:val="left" w:pos="2552"/>
          <w:tab w:val="left" w:pos="3119"/>
          <w:tab w:val="left" w:pos="3686"/>
        </w:tabs>
        <w:spacing w:after="0"/>
        <w:ind w:right="566"/>
        <w:jc w:val="both"/>
        <w:rPr>
          <w:sz w:val="20"/>
          <w:lang w:val="de-DE"/>
        </w:rPr>
      </w:pPr>
      <w:r>
        <w:rPr>
          <w:b/>
          <w:bCs/>
          <w:sz w:val="20"/>
          <w:lang w:val="de-DE"/>
        </w:rPr>
        <w:t>L</w:t>
      </w:r>
      <w:r w:rsidRPr="004277C7">
        <w:rPr>
          <w:b/>
          <w:bCs/>
          <w:sz w:val="20"/>
          <w:lang w:val="de-DE"/>
        </w:rPr>
        <w:t>.</w:t>
      </w:r>
      <w:r w:rsidRPr="004277C7">
        <w:rPr>
          <w:b/>
          <w:bCs/>
          <w:sz w:val="20"/>
          <w:lang w:val="de-DE"/>
        </w:rPr>
        <w:tab/>
      </w:r>
      <w:r w:rsidRPr="00642D96">
        <w:rPr>
          <w:b/>
          <w:bCs/>
          <w:sz w:val="20"/>
          <w:lang w:val="de-DE"/>
        </w:rPr>
        <w:t>Überprüfung der Lüftungsanforderungen in Zusammenhang mit der Einführung der BK3-Container</w:t>
      </w:r>
    </w:p>
    <w:p w:rsidR="00642D96"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Default="009523A3" w:rsidP="00642D96">
      <w:pPr>
        <w:tabs>
          <w:tab w:val="left" w:pos="567"/>
          <w:tab w:val="left" w:pos="1985"/>
          <w:tab w:val="left" w:pos="2552"/>
          <w:tab w:val="left" w:pos="3119"/>
          <w:tab w:val="left" w:pos="3686"/>
        </w:tabs>
        <w:spacing w:after="0"/>
        <w:ind w:right="566"/>
        <w:jc w:val="both"/>
        <w:rPr>
          <w:sz w:val="20"/>
          <w:lang w:val="de-DE"/>
        </w:rPr>
      </w:pPr>
      <w:r>
        <w:rPr>
          <w:sz w:val="20"/>
          <w:lang w:val="de-DE"/>
        </w:rPr>
        <w:t>4</w:t>
      </w:r>
      <w:r w:rsidR="005A0A89">
        <w:rPr>
          <w:sz w:val="20"/>
          <w:lang w:val="de-DE"/>
        </w:rPr>
        <w:t>5</w:t>
      </w:r>
      <w:r w:rsidR="00642D96" w:rsidRPr="000B697D">
        <w:rPr>
          <w:sz w:val="20"/>
          <w:lang w:val="de-DE"/>
        </w:rPr>
        <w:t>.</w:t>
      </w:r>
      <w:r w:rsidR="00642D96" w:rsidRPr="000B697D">
        <w:rPr>
          <w:sz w:val="20"/>
          <w:lang w:val="de-DE"/>
        </w:rPr>
        <w:tab/>
      </w:r>
      <w:r>
        <w:rPr>
          <w:sz w:val="20"/>
          <w:lang w:val="de-DE"/>
        </w:rPr>
        <w:t>Die Informelle Arbeitsgruppe überprüfte die Stoffe, bei denen nach den UN-Modellvorschriften die Beförderung in BK3-Containern erlaubt ist. Da</w:t>
      </w:r>
      <w:r w:rsidR="004E609B">
        <w:rPr>
          <w:sz w:val="20"/>
          <w:lang w:val="de-DE"/>
        </w:rPr>
        <w:t xml:space="preserve"> </w:t>
      </w:r>
      <w:r>
        <w:rPr>
          <w:sz w:val="20"/>
          <w:lang w:val="de-DE"/>
        </w:rPr>
        <w:t xml:space="preserve">im </w:t>
      </w:r>
      <w:r w:rsidR="004E609B">
        <w:rPr>
          <w:sz w:val="20"/>
          <w:lang w:val="de-DE"/>
        </w:rPr>
        <w:t xml:space="preserve">ADN </w:t>
      </w:r>
      <w:r>
        <w:rPr>
          <w:sz w:val="20"/>
          <w:lang w:val="de-DE"/>
        </w:rPr>
        <w:t>für diese Stoffe</w:t>
      </w:r>
      <w:r w:rsidR="004E609B">
        <w:rPr>
          <w:sz w:val="20"/>
          <w:lang w:val="de-DE"/>
        </w:rPr>
        <w:t xml:space="preserve">, </w:t>
      </w:r>
      <w:r>
        <w:rPr>
          <w:sz w:val="20"/>
          <w:lang w:val="de-DE"/>
        </w:rPr>
        <w:t xml:space="preserve">selbst </w:t>
      </w:r>
      <w:r w:rsidR="004E609B">
        <w:rPr>
          <w:sz w:val="20"/>
          <w:lang w:val="de-DE"/>
        </w:rPr>
        <w:t>wenn sie in loser Schüttung beför</w:t>
      </w:r>
      <w:r>
        <w:rPr>
          <w:sz w:val="20"/>
          <w:lang w:val="de-DE"/>
        </w:rPr>
        <w:t>dert werden, keine zusätzlichen Lüftungsanforderungen gestellt</w:t>
      </w:r>
      <w:r w:rsidRPr="009523A3">
        <w:rPr>
          <w:sz w:val="20"/>
          <w:lang w:val="de-DE"/>
        </w:rPr>
        <w:t xml:space="preserve"> </w:t>
      </w:r>
      <w:r>
        <w:rPr>
          <w:sz w:val="20"/>
          <w:lang w:val="de-DE"/>
        </w:rPr>
        <w:t>werden, sind nach Auffassung der Mitglieder der Informellen Arbeitsgruppe keine zusätzlichen Lüftungsanforderungen bei der Beförderung in BK3-Container</w:t>
      </w:r>
      <w:r w:rsidR="00E22751">
        <w:rPr>
          <w:sz w:val="20"/>
          <w:lang w:val="de-DE"/>
        </w:rPr>
        <w:t>n</w:t>
      </w:r>
      <w:r>
        <w:rPr>
          <w:sz w:val="20"/>
          <w:lang w:val="de-DE"/>
        </w:rPr>
        <w:t xml:space="preserve"> erforderlich.</w:t>
      </w:r>
    </w:p>
    <w:p w:rsidR="00642D96" w:rsidRPr="000B697D"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Pr="000B697D"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Pr="004277C7" w:rsidRDefault="00642D96" w:rsidP="00642D96">
      <w:pPr>
        <w:tabs>
          <w:tab w:val="left" w:pos="567"/>
          <w:tab w:val="left" w:pos="1985"/>
          <w:tab w:val="left" w:pos="2552"/>
          <w:tab w:val="left" w:pos="3119"/>
          <w:tab w:val="left" w:pos="3686"/>
        </w:tabs>
        <w:spacing w:after="0"/>
        <w:ind w:right="566"/>
        <w:jc w:val="both"/>
        <w:rPr>
          <w:sz w:val="20"/>
          <w:lang w:val="de-DE"/>
        </w:rPr>
      </w:pPr>
      <w:r>
        <w:rPr>
          <w:b/>
          <w:bCs/>
          <w:sz w:val="20"/>
          <w:lang w:val="de-DE"/>
        </w:rPr>
        <w:t>M</w:t>
      </w:r>
      <w:r w:rsidRPr="004277C7">
        <w:rPr>
          <w:b/>
          <w:bCs/>
          <w:sz w:val="20"/>
          <w:lang w:val="de-DE"/>
        </w:rPr>
        <w:t>.</w:t>
      </w:r>
      <w:r w:rsidRPr="004277C7">
        <w:rPr>
          <w:b/>
          <w:bCs/>
          <w:sz w:val="20"/>
          <w:lang w:val="de-DE"/>
        </w:rPr>
        <w:tab/>
      </w:r>
      <w:r w:rsidRPr="00642D96">
        <w:rPr>
          <w:b/>
          <w:bCs/>
          <w:sz w:val="20"/>
          <w:lang w:val="de-DE"/>
        </w:rPr>
        <w:t>Wartezeit für Probennahme nach dem Laden</w:t>
      </w:r>
    </w:p>
    <w:p w:rsidR="00642D96" w:rsidRDefault="00642D96" w:rsidP="00642D96">
      <w:pPr>
        <w:tabs>
          <w:tab w:val="left" w:pos="567"/>
          <w:tab w:val="left" w:pos="1985"/>
          <w:tab w:val="left" w:pos="2552"/>
          <w:tab w:val="left" w:pos="3119"/>
          <w:tab w:val="left" w:pos="3686"/>
        </w:tabs>
        <w:spacing w:after="0"/>
        <w:ind w:right="566"/>
        <w:jc w:val="both"/>
        <w:rPr>
          <w:sz w:val="20"/>
          <w:lang w:val="de-DE"/>
        </w:rPr>
      </w:pPr>
    </w:p>
    <w:p w:rsidR="00642D96" w:rsidRDefault="00F02045" w:rsidP="00642D96">
      <w:pPr>
        <w:tabs>
          <w:tab w:val="left" w:pos="567"/>
          <w:tab w:val="left" w:pos="1985"/>
          <w:tab w:val="left" w:pos="2552"/>
          <w:tab w:val="left" w:pos="3119"/>
          <w:tab w:val="left" w:pos="3686"/>
        </w:tabs>
        <w:spacing w:after="0"/>
        <w:ind w:right="566"/>
        <w:jc w:val="both"/>
        <w:rPr>
          <w:sz w:val="20"/>
          <w:lang w:val="de-DE" w:eastAsia="zh-CN"/>
        </w:rPr>
      </w:pPr>
      <w:r>
        <w:rPr>
          <w:sz w:val="20"/>
          <w:lang w:val="de-DE"/>
        </w:rPr>
        <w:t>4</w:t>
      </w:r>
      <w:r w:rsidR="005A0A89">
        <w:rPr>
          <w:sz w:val="20"/>
          <w:lang w:val="de-DE"/>
        </w:rPr>
        <w:t>6</w:t>
      </w:r>
      <w:r w:rsidR="00642D96" w:rsidRPr="000B697D">
        <w:rPr>
          <w:sz w:val="20"/>
          <w:lang w:val="de-DE"/>
        </w:rPr>
        <w:t>.</w:t>
      </w:r>
      <w:r w:rsidR="00642D96" w:rsidRPr="000B697D">
        <w:rPr>
          <w:sz w:val="20"/>
          <w:lang w:val="de-DE"/>
        </w:rPr>
        <w:tab/>
      </w:r>
      <w:r w:rsidR="003B565E">
        <w:rPr>
          <w:bCs/>
          <w:sz w:val="20"/>
          <w:lang w:val="de-DE" w:eastAsia="zh-CN"/>
        </w:rPr>
        <w:t>N</w:t>
      </w:r>
      <w:r w:rsidR="003B565E" w:rsidRPr="003B565E">
        <w:rPr>
          <w:bCs/>
          <w:sz w:val="20"/>
          <w:lang w:val="de-DE" w:eastAsia="zh-CN"/>
        </w:rPr>
        <w:t xml:space="preserve">ach </w:t>
      </w:r>
      <w:r w:rsidR="003B565E" w:rsidRPr="003B565E">
        <w:rPr>
          <w:sz w:val="20"/>
          <w:lang w:val="de-DE" w:eastAsia="zh-CN"/>
        </w:rPr>
        <w:t>7.2.4.22.3</w:t>
      </w:r>
      <w:r w:rsidR="003B565E" w:rsidRPr="003B565E">
        <w:rPr>
          <w:bCs/>
          <w:sz w:val="20"/>
          <w:lang w:val="de-DE" w:eastAsia="zh-CN"/>
        </w:rPr>
        <w:t xml:space="preserve"> des ADN </w:t>
      </w:r>
      <w:r w:rsidR="003B565E">
        <w:rPr>
          <w:bCs/>
          <w:sz w:val="20"/>
          <w:lang w:val="de-DE" w:eastAsia="zh-CN"/>
        </w:rPr>
        <w:t>ist d</w:t>
      </w:r>
      <w:r w:rsidR="003B565E" w:rsidRPr="003B565E">
        <w:rPr>
          <w:bCs/>
          <w:sz w:val="20"/>
          <w:lang w:val="de-DE" w:eastAsia="zh-CN"/>
        </w:rPr>
        <w:t>as Öffnen</w:t>
      </w:r>
      <w:r w:rsidR="003B565E" w:rsidRPr="003B565E">
        <w:rPr>
          <w:sz w:val="20"/>
          <w:lang w:val="de-DE" w:eastAsia="zh-CN"/>
        </w:rPr>
        <w:t xml:space="preserve"> der Probeentnahmeöffnungen und Peilöffnungen </w:t>
      </w:r>
      <w:r w:rsidR="003B565E" w:rsidRPr="003B565E">
        <w:rPr>
          <w:bCs/>
          <w:sz w:val="20"/>
          <w:lang w:val="de-DE" w:eastAsia="zh-CN"/>
        </w:rPr>
        <w:t>bei Ladetanks</w:t>
      </w:r>
      <w:r w:rsidR="003B565E" w:rsidRPr="003B565E">
        <w:rPr>
          <w:sz w:val="20"/>
          <w:lang w:val="de-DE" w:eastAsia="zh-CN"/>
        </w:rPr>
        <w:t xml:space="preserve">, die mit Stoffen, für die in Kapitel 3.2 Tabelle C Spalte 19 eine Bezeichnung </w:t>
      </w:r>
      <w:r w:rsidR="003B565E" w:rsidRPr="003B565E">
        <w:rPr>
          <w:bCs/>
          <w:sz w:val="20"/>
          <w:lang w:val="de-DE" w:eastAsia="zh-CN"/>
        </w:rPr>
        <w:t>mit einem oder zwei blauen Kegeln</w:t>
      </w:r>
      <w:r w:rsidR="003B565E" w:rsidRPr="003B565E">
        <w:rPr>
          <w:sz w:val="20"/>
          <w:lang w:val="de-DE" w:eastAsia="zh-CN"/>
        </w:rPr>
        <w:t xml:space="preserve"> oder einem oder zwei blauen Lichtern vorgeschrieben ist, </w:t>
      </w:r>
      <w:r w:rsidR="003B565E" w:rsidRPr="003B565E">
        <w:rPr>
          <w:bCs/>
          <w:sz w:val="20"/>
          <w:lang w:val="de-DE" w:eastAsia="zh-CN"/>
        </w:rPr>
        <w:t>nur gestattet</w:t>
      </w:r>
      <w:r w:rsidR="003B565E" w:rsidRPr="003B565E">
        <w:rPr>
          <w:sz w:val="20"/>
          <w:lang w:val="de-DE" w:eastAsia="zh-CN"/>
        </w:rPr>
        <w:t xml:space="preserve">, nachdem das Laden seit mindestens </w:t>
      </w:r>
      <w:r w:rsidR="003B565E" w:rsidRPr="003B565E">
        <w:rPr>
          <w:bCs/>
          <w:sz w:val="20"/>
          <w:lang w:val="de-DE" w:eastAsia="zh-CN"/>
        </w:rPr>
        <w:t>10 Minuten</w:t>
      </w:r>
      <w:r w:rsidR="003B565E" w:rsidRPr="003B565E">
        <w:rPr>
          <w:sz w:val="20"/>
          <w:lang w:val="de-DE" w:eastAsia="zh-CN"/>
        </w:rPr>
        <w:t xml:space="preserve"> unterbrochen ist.</w:t>
      </w:r>
      <w:r w:rsidR="003B565E">
        <w:rPr>
          <w:sz w:val="20"/>
          <w:lang w:val="de-DE" w:eastAsia="zh-CN"/>
        </w:rPr>
        <w:t xml:space="preserve"> </w:t>
      </w:r>
      <w:r w:rsidR="00A70B19">
        <w:rPr>
          <w:sz w:val="20"/>
          <w:lang w:val="de-DE" w:eastAsia="zh-CN"/>
        </w:rPr>
        <w:t xml:space="preserve">Der Grund für die Aufnahme dieser Vorschriften in das ADNR/ADN war nach Auffassung der Informellen Arbeitsgruppe der erforderliche Abbau der elektrostatischen Aufladung (1 Kegel) und das Absetzen von Aerosolen (2 Kegel). Die auf 30 min verlängerte Wartezeit bei Seeschiffen findet </w:t>
      </w:r>
      <w:r w:rsidR="00435FBA">
        <w:rPr>
          <w:sz w:val="20"/>
          <w:lang w:val="de-DE" w:eastAsia="zh-CN"/>
        </w:rPr>
        <w:t xml:space="preserve">vermutlich </w:t>
      </w:r>
      <w:r w:rsidR="00A70B19">
        <w:rPr>
          <w:sz w:val="20"/>
          <w:lang w:val="de-DE" w:eastAsia="zh-CN"/>
        </w:rPr>
        <w:t>ihre Begründung in den größeren Ladetanks</w:t>
      </w:r>
      <w:r w:rsidR="00FB6593">
        <w:rPr>
          <w:sz w:val="20"/>
          <w:lang w:val="de-DE" w:eastAsia="zh-CN"/>
        </w:rPr>
        <w:t>.</w:t>
      </w:r>
    </w:p>
    <w:p w:rsidR="00FB6593" w:rsidRDefault="00FB6593" w:rsidP="00642D96">
      <w:pPr>
        <w:tabs>
          <w:tab w:val="left" w:pos="567"/>
          <w:tab w:val="left" w:pos="1985"/>
          <w:tab w:val="left" w:pos="2552"/>
          <w:tab w:val="left" w:pos="3119"/>
          <w:tab w:val="left" w:pos="3686"/>
        </w:tabs>
        <w:spacing w:after="0"/>
        <w:ind w:right="566"/>
        <w:jc w:val="both"/>
        <w:rPr>
          <w:sz w:val="20"/>
          <w:lang w:val="de-DE" w:eastAsia="zh-CN"/>
        </w:rPr>
      </w:pPr>
    </w:p>
    <w:p w:rsidR="00FB6593" w:rsidRDefault="00FB6593" w:rsidP="00642D96">
      <w:pPr>
        <w:tabs>
          <w:tab w:val="left" w:pos="567"/>
          <w:tab w:val="left" w:pos="1985"/>
          <w:tab w:val="left" w:pos="2552"/>
          <w:tab w:val="left" w:pos="3119"/>
          <w:tab w:val="left" w:pos="3686"/>
        </w:tabs>
        <w:spacing w:after="0"/>
        <w:ind w:right="566"/>
        <w:jc w:val="both"/>
        <w:rPr>
          <w:sz w:val="20"/>
          <w:lang w:val="de-DE" w:eastAsia="zh-CN"/>
        </w:rPr>
      </w:pPr>
      <w:r>
        <w:rPr>
          <w:sz w:val="20"/>
          <w:lang w:val="de-DE" w:eastAsia="zh-CN"/>
        </w:rPr>
        <w:t>4</w:t>
      </w:r>
      <w:r w:rsidR="005A0A89">
        <w:rPr>
          <w:sz w:val="20"/>
          <w:lang w:val="de-DE" w:eastAsia="zh-CN"/>
        </w:rPr>
        <w:t>7</w:t>
      </w:r>
      <w:r>
        <w:rPr>
          <w:sz w:val="20"/>
          <w:lang w:val="de-DE" w:eastAsia="zh-CN"/>
        </w:rPr>
        <w:t>.</w:t>
      </w:r>
      <w:r>
        <w:rPr>
          <w:sz w:val="20"/>
          <w:lang w:val="de-DE" w:eastAsia="zh-CN"/>
        </w:rPr>
        <w:tab/>
        <w:t xml:space="preserve">Die Informelle Arbeitsgruppe kam bei der Diskussion zu diesem Thema zu keinem abschließenden Ergebnis. Als ein erster Lösungsansatz wurden gestaffelte Wartezeiten in Abhängigkeit von der Ladetankgröße </w:t>
      </w:r>
      <w:r w:rsidR="004D6CE9">
        <w:rPr>
          <w:sz w:val="20"/>
          <w:lang w:val="de-DE" w:eastAsia="zh-CN"/>
        </w:rPr>
        <w:t>in Erwägung gezogen</w:t>
      </w:r>
      <w:r>
        <w:rPr>
          <w:sz w:val="20"/>
          <w:lang w:val="de-DE" w:eastAsia="zh-CN"/>
        </w:rPr>
        <w:t>. Die Mitglieder der Informellen Arbeitsgruppe kamen überein, weitere Daten und Informationen zusammenzutragen und die Diskussion fortzusetzen.</w:t>
      </w:r>
    </w:p>
    <w:p w:rsidR="00245760" w:rsidRPr="000B697D" w:rsidRDefault="00245760" w:rsidP="00245760">
      <w:pPr>
        <w:tabs>
          <w:tab w:val="left" w:pos="567"/>
          <w:tab w:val="left" w:pos="1985"/>
          <w:tab w:val="left" w:pos="2552"/>
          <w:tab w:val="left" w:pos="3119"/>
          <w:tab w:val="left" w:pos="3686"/>
        </w:tabs>
        <w:spacing w:after="0"/>
        <w:ind w:right="566"/>
        <w:jc w:val="both"/>
        <w:rPr>
          <w:sz w:val="20"/>
          <w:lang w:val="de-DE"/>
        </w:rPr>
      </w:pPr>
    </w:p>
    <w:p w:rsidR="00245760" w:rsidRPr="004277C7" w:rsidRDefault="00245760" w:rsidP="00245760">
      <w:pPr>
        <w:tabs>
          <w:tab w:val="left" w:pos="567"/>
          <w:tab w:val="left" w:pos="1985"/>
          <w:tab w:val="left" w:pos="2552"/>
          <w:tab w:val="left" w:pos="3119"/>
          <w:tab w:val="left" w:pos="3686"/>
        </w:tabs>
        <w:spacing w:after="0"/>
        <w:ind w:right="566"/>
        <w:jc w:val="both"/>
        <w:rPr>
          <w:sz w:val="20"/>
          <w:lang w:val="de-DE"/>
        </w:rPr>
      </w:pPr>
      <w:r>
        <w:rPr>
          <w:b/>
          <w:bCs/>
          <w:sz w:val="20"/>
          <w:lang w:val="de-DE"/>
        </w:rPr>
        <w:t>N</w:t>
      </w:r>
      <w:r w:rsidRPr="004277C7">
        <w:rPr>
          <w:b/>
          <w:bCs/>
          <w:sz w:val="20"/>
          <w:lang w:val="de-DE"/>
        </w:rPr>
        <w:t>.</w:t>
      </w:r>
      <w:r w:rsidRPr="004277C7">
        <w:rPr>
          <w:b/>
          <w:bCs/>
          <w:sz w:val="20"/>
          <w:lang w:val="de-DE"/>
        </w:rPr>
        <w:tab/>
      </w:r>
      <w:r w:rsidR="00482CBF">
        <w:rPr>
          <w:b/>
          <w:bCs/>
          <w:sz w:val="20"/>
          <w:lang w:val="de-DE"/>
        </w:rPr>
        <w:t>Änderung der Beförderungsbedingen im ADN 2015</w:t>
      </w:r>
    </w:p>
    <w:p w:rsidR="00245760" w:rsidRDefault="00245760" w:rsidP="00245760">
      <w:pPr>
        <w:tabs>
          <w:tab w:val="left" w:pos="567"/>
          <w:tab w:val="left" w:pos="1985"/>
          <w:tab w:val="left" w:pos="2552"/>
          <w:tab w:val="left" w:pos="3119"/>
          <w:tab w:val="left" w:pos="3686"/>
        </w:tabs>
        <w:spacing w:after="0"/>
        <w:ind w:right="566"/>
        <w:jc w:val="both"/>
        <w:rPr>
          <w:sz w:val="20"/>
          <w:lang w:val="de-DE"/>
        </w:rPr>
      </w:pPr>
    </w:p>
    <w:p w:rsidR="00642D96" w:rsidRDefault="00245760" w:rsidP="00642D96">
      <w:pPr>
        <w:tabs>
          <w:tab w:val="left" w:pos="567"/>
          <w:tab w:val="left" w:pos="1985"/>
          <w:tab w:val="left" w:pos="2552"/>
          <w:tab w:val="left" w:pos="3119"/>
          <w:tab w:val="left" w:pos="3686"/>
        </w:tabs>
        <w:spacing w:after="0"/>
        <w:ind w:right="566"/>
        <w:jc w:val="both"/>
        <w:rPr>
          <w:sz w:val="20"/>
          <w:lang w:val="de-DE"/>
        </w:rPr>
      </w:pPr>
      <w:r>
        <w:rPr>
          <w:sz w:val="20"/>
          <w:lang w:val="de-DE"/>
        </w:rPr>
        <w:t>4</w:t>
      </w:r>
      <w:r w:rsidR="005A0A89">
        <w:rPr>
          <w:sz w:val="20"/>
          <w:lang w:val="de-DE"/>
        </w:rPr>
        <w:t>8</w:t>
      </w:r>
      <w:r w:rsidRPr="000B697D">
        <w:rPr>
          <w:sz w:val="20"/>
          <w:lang w:val="de-DE"/>
        </w:rPr>
        <w:t>.</w:t>
      </w:r>
      <w:r w:rsidRPr="000B697D">
        <w:rPr>
          <w:sz w:val="20"/>
          <w:lang w:val="de-DE"/>
        </w:rPr>
        <w:tab/>
      </w:r>
      <w:r w:rsidR="00482CBF">
        <w:rPr>
          <w:sz w:val="20"/>
          <w:lang w:val="de-DE"/>
        </w:rPr>
        <w:t xml:space="preserve">Im Zuge der Arbeiten der Informellen Arbeitsgruppe wurde festgestellt, dass es beim Übergang vom ADN 2013 auf das ADN 2015 für folgende Stoffe zu Änderungen </w:t>
      </w:r>
      <w:r w:rsidR="000D3032">
        <w:rPr>
          <w:sz w:val="20"/>
          <w:lang w:val="de-DE"/>
        </w:rPr>
        <w:t>der</w:t>
      </w:r>
      <w:r w:rsidR="00482CBF">
        <w:rPr>
          <w:sz w:val="20"/>
          <w:lang w:val="de-DE"/>
        </w:rPr>
        <w:t xml:space="preserve"> Beförderungsbedingungen </w:t>
      </w:r>
      <w:r w:rsidR="004F3218">
        <w:rPr>
          <w:sz w:val="20"/>
          <w:lang w:val="de-DE"/>
        </w:rPr>
        <w:t xml:space="preserve">(Ladetankzustand bzw Ladetanktyp) </w:t>
      </w:r>
      <w:r w:rsidR="00482CBF">
        <w:rPr>
          <w:sz w:val="20"/>
          <w:lang w:val="de-DE"/>
        </w:rPr>
        <w:t>kam:</w:t>
      </w:r>
    </w:p>
    <w:p w:rsidR="00482CBF" w:rsidRDefault="00482CBF" w:rsidP="00482CBF">
      <w:pPr>
        <w:tabs>
          <w:tab w:val="left" w:pos="567"/>
          <w:tab w:val="left" w:pos="1985"/>
          <w:tab w:val="left" w:pos="2552"/>
          <w:tab w:val="left" w:pos="3119"/>
          <w:tab w:val="left" w:pos="3686"/>
        </w:tabs>
        <w:spacing w:after="0"/>
        <w:ind w:left="1701" w:right="566" w:hanging="1701"/>
        <w:rPr>
          <w:sz w:val="20"/>
          <w:lang w:val="de-DE"/>
        </w:rPr>
      </w:pPr>
      <w:r>
        <w:rPr>
          <w:sz w:val="20"/>
          <w:lang w:val="de-DE"/>
        </w:rPr>
        <w:tab/>
        <w:t xml:space="preserve">UN </w:t>
      </w:r>
      <w:r w:rsidR="000D3032">
        <w:rPr>
          <w:sz w:val="20"/>
          <w:lang w:val="de-DE"/>
        </w:rPr>
        <w:t>1764</w:t>
      </w:r>
      <w:r>
        <w:rPr>
          <w:sz w:val="20"/>
          <w:lang w:val="de-DE"/>
        </w:rPr>
        <w:tab/>
      </w:r>
      <w:r w:rsidR="000D3032" w:rsidRPr="000D3032">
        <w:rPr>
          <w:sz w:val="20"/>
          <w:lang w:val="de-DE"/>
        </w:rPr>
        <w:t>DICHLORESSIGSÄURE</w:t>
      </w:r>
    </w:p>
    <w:p w:rsidR="00482CBF" w:rsidRDefault="00482CBF" w:rsidP="000D3032">
      <w:pPr>
        <w:tabs>
          <w:tab w:val="left" w:pos="567"/>
          <w:tab w:val="left" w:pos="1701"/>
          <w:tab w:val="left" w:pos="2552"/>
          <w:tab w:val="left" w:pos="3119"/>
          <w:tab w:val="left" w:pos="3686"/>
        </w:tabs>
        <w:spacing w:after="0"/>
        <w:ind w:left="1695" w:right="566" w:hanging="1695"/>
        <w:rPr>
          <w:sz w:val="20"/>
          <w:lang w:val="de-DE"/>
        </w:rPr>
      </w:pPr>
      <w:r>
        <w:rPr>
          <w:sz w:val="20"/>
          <w:lang w:val="de-DE"/>
        </w:rPr>
        <w:tab/>
        <w:t xml:space="preserve">UN </w:t>
      </w:r>
      <w:r w:rsidR="000D3032">
        <w:rPr>
          <w:sz w:val="20"/>
          <w:lang w:val="de-DE"/>
        </w:rPr>
        <w:t>2430</w:t>
      </w:r>
      <w:r>
        <w:rPr>
          <w:sz w:val="20"/>
          <w:lang w:val="de-DE"/>
        </w:rPr>
        <w:tab/>
      </w:r>
      <w:r w:rsidR="000D3032" w:rsidRPr="000D3032">
        <w:rPr>
          <w:sz w:val="20"/>
          <w:lang w:val="de-DE"/>
        </w:rPr>
        <w:t>ALKYLPHENOLE, FEST, N.A.G. (NONYLPHENOL-ISOMEREN-GEMISCH,</w:t>
      </w:r>
      <w:r w:rsidR="000D3032">
        <w:rPr>
          <w:sz w:val="20"/>
          <w:lang w:val="de-DE"/>
        </w:rPr>
        <w:br/>
      </w:r>
      <w:r w:rsidR="000D3032" w:rsidRPr="000D3032">
        <w:rPr>
          <w:sz w:val="20"/>
          <w:lang w:val="de-DE"/>
        </w:rPr>
        <w:t>GESCHMOLZEN)</w:t>
      </w:r>
      <w:r w:rsidR="000D3032">
        <w:rPr>
          <w:sz w:val="20"/>
          <w:lang w:val="de-DE"/>
        </w:rPr>
        <w:t>,</w:t>
      </w:r>
    </w:p>
    <w:p w:rsidR="00482CBF" w:rsidRDefault="00482CBF" w:rsidP="00482CBF">
      <w:pPr>
        <w:tabs>
          <w:tab w:val="left" w:pos="567"/>
          <w:tab w:val="left" w:pos="1701"/>
          <w:tab w:val="left" w:pos="2552"/>
          <w:tab w:val="left" w:pos="3119"/>
          <w:tab w:val="left" w:pos="3686"/>
        </w:tabs>
        <w:spacing w:after="0"/>
        <w:ind w:right="566"/>
        <w:rPr>
          <w:sz w:val="20"/>
          <w:lang w:val="de-DE"/>
        </w:rPr>
      </w:pPr>
      <w:r>
        <w:rPr>
          <w:sz w:val="20"/>
          <w:lang w:val="de-DE"/>
        </w:rPr>
        <w:tab/>
        <w:t xml:space="preserve">UN </w:t>
      </w:r>
      <w:r w:rsidR="000D3032">
        <w:rPr>
          <w:sz w:val="20"/>
          <w:lang w:val="de-DE"/>
        </w:rPr>
        <w:t>2709</w:t>
      </w:r>
      <w:r>
        <w:rPr>
          <w:sz w:val="20"/>
          <w:lang w:val="de-DE"/>
        </w:rPr>
        <w:tab/>
      </w:r>
      <w:r w:rsidR="000D3032" w:rsidRPr="000D3032">
        <w:rPr>
          <w:sz w:val="20"/>
          <w:lang w:val="de-DE"/>
        </w:rPr>
        <w:t>BUTYLBENZENE</w:t>
      </w:r>
      <w:r>
        <w:rPr>
          <w:sz w:val="20"/>
          <w:lang w:val="de-DE"/>
        </w:rPr>
        <w:t xml:space="preserve"> und</w:t>
      </w:r>
    </w:p>
    <w:p w:rsidR="00482CBF" w:rsidRDefault="00482CBF" w:rsidP="00482CBF">
      <w:pPr>
        <w:tabs>
          <w:tab w:val="left" w:pos="567"/>
          <w:tab w:val="left" w:pos="1701"/>
          <w:tab w:val="left" w:pos="2552"/>
          <w:tab w:val="left" w:pos="3119"/>
          <w:tab w:val="left" w:pos="3686"/>
        </w:tabs>
        <w:spacing w:after="0"/>
        <w:ind w:left="1695" w:right="566" w:hanging="1695"/>
        <w:rPr>
          <w:sz w:val="20"/>
          <w:lang w:val="de-DE"/>
        </w:rPr>
      </w:pPr>
      <w:r>
        <w:rPr>
          <w:sz w:val="20"/>
          <w:lang w:val="de-DE"/>
        </w:rPr>
        <w:tab/>
        <w:t xml:space="preserve">UN </w:t>
      </w:r>
      <w:r w:rsidR="000D3032">
        <w:rPr>
          <w:sz w:val="20"/>
          <w:lang w:val="de-DE"/>
        </w:rPr>
        <w:t>2850</w:t>
      </w:r>
      <w:r>
        <w:rPr>
          <w:sz w:val="20"/>
          <w:lang w:val="de-DE"/>
        </w:rPr>
        <w:tab/>
      </w:r>
      <w:r w:rsidR="000D3032" w:rsidRPr="000D3032">
        <w:rPr>
          <w:sz w:val="20"/>
          <w:lang w:val="de-DE"/>
        </w:rPr>
        <w:t>PROPYLENTETRAMER oder TETRAPROPYLEN</w:t>
      </w:r>
      <w:r w:rsidR="000D3032">
        <w:rPr>
          <w:sz w:val="20"/>
          <w:lang w:val="de-DE"/>
        </w:rPr>
        <w:t>.</w:t>
      </w:r>
    </w:p>
    <w:p w:rsidR="000D3032" w:rsidRDefault="000D3032" w:rsidP="00482CBF">
      <w:pPr>
        <w:tabs>
          <w:tab w:val="left" w:pos="567"/>
          <w:tab w:val="left" w:pos="1701"/>
          <w:tab w:val="left" w:pos="2552"/>
          <w:tab w:val="left" w:pos="3119"/>
          <w:tab w:val="left" w:pos="3686"/>
        </w:tabs>
        <w:spacing w:after="0"/>
        <w:ind w:left="1695" w:right="566" w:hanging="1695"/>
        <w:rPr>
          <w:sz w:val="20"/>
          <w:lang w:val="de-DE"/>
        </w:rPr>
      </w:pPr>
    </w:p>
    <w:p w:rsidR="000D3032" w:rsidRDefault="000D3032" w:rsidP="007C28DE">
      <w:pPr>
        <w:tabs>
          <w:tab w:val="left" w:pos="0"/>
          <w:tab w:val="left" w:pos="567"/>
          <w:tab w:val="left" w:pos="3119"/>
          <w:tab w:val="left" w:pos="3686"/>
        </w:tabs>
        <w:spacing w:after="0"/>
        <w:ind w:right="567"/>
        <w:jc w:val="both"/>
        <w:rPr>
          <w:sz w:val="20"/>
          <w:lang w:val="de-DE"/>
        </w:rPr>
      </w:pPr>
      <w:r>
        <w:rPr>
          <w:sz w:val="20"/>
          <w:lang w:val="de-DE"/>
        </w:rPr>
        <w:t>4</w:t>
      </w:r>
      <w:r w:rsidR="005A0A89">
        <w:rPr>
          <w:sz w:val="20"/>
          <w:lang w:val="de-DE"/>
        </w:rPr>
        <w:t>9</w:t>
      </w:r>
      <w:r>
        <w:rPr>
          <w:sz w:val="20"/>
          <w:lang w:val="de-DE"/>
        </w:rPr>
        <w:t>.</w:t>
      </w:r>
      <w:r>
        <w:rPr>
          <w:sz w:val="20"/>
          <w:lang w:val="de-DE"/>
        </w:rPr>
        <w:tab/>
        <w:t xml:space="preserve">Diese Änderungen waren für die Mitglieder der Informellen Arbeitsgruppe nicht ohne weiteres nachvollziehbar und sollen nochmals </w:t>
      </w:r>
      <w:r w:rsidR="004F3218">
        <w:rPr>
          <w:sz w:val="20"/>
          <w:lang w:val="de-DE"/>
        </w:rPr>
        <w:t xml:space="preserve">im Rahmen der Informellen Arbeitsgruppe </w:t>
      </w:r>
      <w:r>
        <w:rPr>
          <w:sz w:val="20"/>
          <w:lang w:val="de-DE"/>
        </w:rPr>
        <w:t>überprüft werden.</w:t>
      </w:r>
    </w:p>
    <w:p w:rsidR="000D3032" w:rsidRDefault="000D3032" w:rsidP="00482CBF">
      <w:pPr>
        <w:tabs>
          <w:tab w:val="left" w:pos="567"/>
          <w:tab w:val="left" w:pos="1701"/>
          <w:tab w:val="left" w:pos="2552"/>
          <w:tab w:val="left" w:pos="3119"/>
          <w:tab w:val="left" w:pos="3686"/>
        </w:tabs>
        <w:spacing w:after="0"/>
        <w:ind w:left="1695" w:right="566" w:hanging="1695"/>
        <w:rPr>
          <w:sz w:val="20"/>
          <w:lang w:val="de-DE"/>
        </w:rPr>
      </w:pPr>
    </w:p>
    <w:p w:rsidR="00893829" w:rsidRPr="000B697D" w:rsidRDefault="00893829" w:rsidP="004C730B">
      <w:pPr>
        <w:tabs>
          <w:tab w:val="left" w:pos="567"/>
          <w:tab w:val="left" w:pos="1985"/>
          <w:tab w:val="left" w:pos="2552"/>
          <w:tab w:val="left" w:pos="3119"/>
          <w:tab w:val="left" w:pos="3686"/>
        </w:tabs>
        <w:spacing w:after="0"/>
        <w:ind w:right="566"/>
        <w:jc w:val="both"/>
        <w:rPr>
          <w:sz w:val="20"/>
          <w:lang w:val="de-DE"/>
        </w:rPr>
      </w:pPr>
    </w:p>
    <w:p w:rsidR="00893829" w:rsidRPr="000B697D" w:rsidRDefault="00893829" w:rsidP="004C730B">
      <w:pPr>
        <w:tabs>
          <w:tab w:val="left" w:pos="1418"/>
          <w:tab w:val="left" w:pos="1985"/>
          <w:tab w:val="left" w:pos="2552"/>
          <w:tab w:val="left" w:pos="3119"/>
          <w:tab w:val="left" w:pos="3686"/>
        </w:tabs>
        <w:spacing w:after="0"/>
        <w:ind w:right="566"/>
        <w:jc w:val="both"/>
        <w:rPr>
          <w:sz w:val="20"/>
          <w:lang w:val="de-DE"/>
        </w:rPr>
      </w:pPr>
    </w:p>
    <w:p w:rsidR="00415FF4" w:rsidRDefault="00415FF4" w:rsidP="004C730B">
      <w:pPr>
        <w:tabs>
          <w:tab w:val="left" w:pos="1418"/>
          <w:tab w:val="left" w:pos="1985"/>
          <w:tab w:val="left" w:pos="2552"/>
          <w:tab w:val="left" w:pos="3119"/>
          <w:tab w:val="left" w:pos="3686"/>
        </w:tabs>
        <w:spacing w:after="0"/>
        <w:ind w:right="566"/>
        <w:jc w:val="both"/>
        <w:rPr>
          <w:sz w:val="20"/>
          <w:lang w:val="de-DE"/>
        </w:rPr>
        <w:sectPr w:rsidR="00415FF4" w:rsidSect="000366B7">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418" w:right="1418" w:bottom="1418" w:left="1418" w:header="680" w:footer="680" w:gutter="0"/>
          <w:cols w:space="720"/>
          <w:titlePg/>
          <w:docGrid w:linePitch="326"/>
        </w:sectPr>
      </w:pPr>
    </w:p>
    <w:p w:rsidR="00FD1312" w:rsidRDefault="00174FF1" w:rsidP="004C730B">
      <w:pPr>
        <w:tabs>
          <w:tab w:val="left" w:pos="1418"/>
          <w:tab w:val="left" w:pos="1985"/>
          <w:tab w:val="left" w:pos="2552"/>
          <w:tab w:val="left" w:pos="3119"/>
          <w:tab w:val="left" w:pos="3686"/>
        </w:tabs>
        <w:spacing w:after="0"/>
        <w:ind w:right="566"/>
        <w:jc w:val="both"/>
        <w:rPr>
          <w:sz w:val="20"/>
          <w:lang w:val="de-DE"/>
        </w:rPr>
      </w:pPr>
      <w:r>
        <w:rPr>
          <w:sz w:val="20"/>
          <w:lang w:val="de-DE"/>
        </w:rPr>
        <w:lastRenderedPageBreak/>
        <w:t>ANHANG</w:t>
      </w:r>
      <w:r w:rsidR="00BB3D14">
        <w:rPr>
          <w:sz w:val="20"/>
          <w:lang w:val="de-DE"/>
        </w:rPr>
        <w:t xml:space="preserve"> 1</w:t>
      </w:r>
    </w:p>
    <w:p w:rsidR="00174FF1" w:rsidRDefault="00174FF1" w:rsidP="004C730B">
      <w:pPr>
        <w:tabs>
          <w:tab w:val="left" w:pos="1418"/>
          <w:tab w:val="left" w:pos="1985"/>
          <w:tab w:val="left" w:pos="2552"/>
          <w:tab w:val="left" w:pos="3119"/>
          <w:tab w:val="left" w:pos="3686"/>
        </w:tabs>
        <w:spacing w:after="0"/>
        <w:ind w:right="566"/>
        <w:jc w:val="both"/>
        <w:rPr>
          <w:sz w:val="20"/>
          <w:lang w:val="de-DE"/>
        </w:rPr>
      </w:pPr>
    </w:p>
    <w:p w:rsidR="00F56AB8" w:rsidRPr="00F56AB8" w:rsidRDefault="00F56AB8" w:rsidP="00F56AB8">
      <w:pPr>
        <w:spacing w:after="0"/>
        <w:rPr>
          <w:rFonts w:cs="Arial"/>
          <w:sz w:val="20"/>
          <w:lang w:val="de-DE"/>
        </w:rPr>
      </w:pPr>
      <w:r w:rsidRPr="00F56AB8">
        <w:rPr>
          <w:rFonts w:cs="Arial"/>
          <w:sz w:val="20"/>
          <w:lang w:val="de-DE"/>
        </w:rPr>
        <w:t xml:space="preserve">Die Tabelle C um folgende </w:t>
      </w:r>
      <w:r>
        <w:rPr>
          <w:rFonts w:cs="Arial"/>
          <w:sz w:val="20"/>
          <w:lang w:val="de-DE"/>
        </w:rPr>
        <w:t>vier</w:t>
      </w:r>
      <w:r w:rsidRPr="00F56AB8">
        <w:rPr>
          <w:rFonts w:cs="Arial"/>
          <w:sz w:val="20"/>
          <w:lang w:val="de-DE"/>
        </w:rPr>
        <w:t xml:space="preserve"> Zeilen erweitern:</w:t>
      </w:r>
    </w:p>
    <w:p w:rsidR="00F56AB8" w:rsidRPr="00F56AB8" w:rsidRDefault="00F56AB8" w:rsidP="00F56AB8">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F56AB8" w:rsidRPr="00F56AB8" w:rsidTr="00F56AB8">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640" w:type="dxa"/>
            <w:tcBorders>
              <w:top w:val="single" w:sz="4" w:space="0" w:color="auto"/>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00" w:type="dxa"/>
            <w:tcBorders>
              <w:top w:val="single" w:sz="4" w:space="0" w:color="auto"/>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0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F56AB8" w:rsidRPr="00F56AB8" w:rsidTr="00F56AB8">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bookmarkStart w:id="3" w:name="RANGE!A2:O6"/>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bookmarkEnd w:id="3"/>
          </w:p>
        </w:tc>
        <w:tc>
          <w:tcPr>
            <w:tcW w:w="3640" w:type="dxa"/>
            <w:tcBorders>
              <w:top w:val="nil"/>
              <w:left w:val="nil"/>
              <w:bottom w:val="single" w:sz="4" w:space="0" w:color="auto"/>
              <w:right w:val="single" w:sz="4" w:space="0" w:color="auto"/>
            </w:tcBorders>
            <w:shd w:val="clear" w:color="auto" w:fill="auto"/>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00" w:type="dxa"/>
            <w:tcBorders>
              <w:top w:val="nil"/>
              <w:left w:val="nil"/>
              <w:bottom w:val="single" w:sz="4" w:space="0" w:color="auto"/>
              <w:right w:val="single" w:sz="4" w:space="0" w:color="auto"/>
            </w:tcBorders>
            <w:shd w:val="clear" w:color="auto" w:fill="auto"/>
            <w:noWrap/>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50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F56AB8" w:rsidRPr="00F56AB8" w:rsidTr="00F56AB8">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1986</w:t>
            </w:r>
          </w:p>
        </w:tc>
        <w:tc>
          <w:tcPr>
            <w:tcW w:w="36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ALKOHOLE, ENTZÜNDBAR, GIFTIG, N.A.G. </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FT1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sz w:val="16"/>
                <w:szCs w:val="16"/>
                <w:lang w:val="de-DE" w:eastAsia="de-DE"/>
              </w:rPr>
            </w:pPr>
            <w:r w:rsidRPr="00F56AB8">
              <w:rPr>
                <w:rFonts w:ascii="Arial" w:hAnsi="Arial" w:cs="Arial"/>
                <w:sz w:val="16"/>
                <w:szCs w:val="16"/>
                <w:lang w:val="de-DE" w:eastAsia="de-DE"/>
              </w:rPr>
              <w:t>3+6.1+(N1, N2, N3, CMR, F oder S)</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T4 </w:t>
            </w:r>
            <w:r w:rsidRPr="00F56AB8">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II B</w:t>
            </w:r>
            <w:r w:rsidRPr="00F56AB8">
              <w:rPr>
                <w:rFonts w:ascii="Arial" w:hAnsi="Arial" w:cs="Arial"/>
                <w:color w:val="000000"/>
                <w:sz w:val="16"/>
                <w:szCs w:val="16"/>
                <w:vertAlign w:val="superscript"/>
                <w:lang w:val="de-DE" w:eastAsia="de-DE"/>
              </w:rPr>
              <w:t>4)</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F56AB8" w:rsidRPr="007C28DE" w:rsidRDefault="00F56AB8" w:rsidP="00F56AB8">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12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27; 29; </w:t>
            </w:r>
            <w:r w:rsidRPr="00F56AB8">
              <w:rPr>
                <w:rFonts w:ascii="Arial" w:hAnsi="Arial" w:cs="Arial"/>
                <w:color w:val="000000"/>
                <w:sz w:val="16"/>
                <w:szCs w:val="16"/>
                <w:lang w:val="de-DE" w:eastAsia="de-DE"/>
              </w:rPr>
              <w:br/>
              <w:t>*siehe 3.2.3.3</w:t>
            </w:r>
          </w:p>
        </w:tc>
      </w:tr>
      <w:tr w:rsidR="00F56AB8" w:rsidRPr="00F56AB8" w:rsidTr="00F56AB8">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1992</w:t>
            </w:r>
          </w:p>
        </w:tc>
        <w:tc>
          <w:tcPr>
            <w:tcW w:w="36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ENTZÜNDBARER FLÜSSIGER STOFF, GIFTIG, N.A.G.</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FT1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sz w:val="16"/>
                <w:szCs w:val="16"/>
                <w:lang w:val="de-DE" w:eastAsia="de-DE"/>
              </w:rPr>
            </w:pPr>
            <w:r w:rsidRPr="00F56AB8">
              <w:rPr>
                <w:rFonts w:ascii="Arial" w:hAnsi="Arial" w:cs="Arial"/>
                <w:sz w:val="16"/>
                <w:szCs w:val="16"/>
                <w:lang w:val="de-DE" w:eastAsia="de-DE"/>
              </w:rPr>
              <w:t>3+6.1+(N1, N2, N3, CMR, F oder S)</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T4 </w:t>
            </w:r>
            <w:r w:rsidRPr="00F56AB8">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II B</w:t>
            </w:r>
            <w:r w:rsidRPr="00F56AB8">
              <w:rPr>
                <w:rFonts w:ascii="Arial" w:hAnsi="Arial" w:cs="Arial"/>
                <w:color w:val="000000"/>
                <w:sz w:val="16"/>
                <w:szCs w:val="16"/>
                <w:vertAlign w:val="superscript"/>
                <w:lang w:val="de-DE" w:eastAsia="de-DE"/>
              </w:rPr>
              <w:t>4)</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F56AB8" w:rsidRPr="007C28DE" w:rsidRDefault="00F56AB8" w:rsidP="00F56AB8">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12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27; 29</w:t>
            </w:r>
            <w:r w:rsidRPr="00F56AB8">
              <w:rPr>
                <w:rFonts w:ascii="Arial" w:hAnsi="Arial" w:cs="Arial"/>
                <w:color w:val="000000"/>
                <w:sz w:val="16"/>
                <w:szCs w:val="16"/>
                <w:lang w:val="de-DE" w:eastAsia="de-DE"/>
              </w:rPr>
              <w:br/>
              <w:t>*siehe 3.2.3.3</w:t>
            </w:r>
          </w:p>
        </w:tc>
      </w:tr>
      <w:tr w:rsidR="00F56AB8" w:rsidRPr="00F56AB8" w:rsidTr="00F56AB8">
        <w:trPr>
          <w:trHeight w:val="450"/>
        </w:trPr>
        <w:tc>
          <w:tcPr>
            <w:tcW w:w="540" w:type="dxa"/>
            <w:tcBorders>
              <w:top w:val="nil"/>
              <w:left w:val="single" w:sz="4" w:space="0" w:color="auto"/>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2924</w:t>
            </w:r>
          </w:p>
        </w:tc>
        <w:tc>
          <w:tcPr>
            <w:tcW w:w="36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ENTZÜNDBARER FLÜSSIGER STOFF, ÄTZEND, N.A.G. </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FC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sz w:val="16"/>
                <w:szCs w:val="16"/>
                <w:lang w:val="de-DE" w:eastAsia="de-DE"/>
              </w:rPr>
            </w:pPr>
            <w:r w:rsidRPr="00F56AB8">
              <w:rPr>
                <w:rFonts w:ascii="Arial" w:hAnsi="Arial" w:cs="Arial"/>
                <w:sz w:val="16"/>
                <w:szCs w:val="16"/>
                <w:lang w:val="de-DE" w:eastAsia="de-DE"/>
              </w:rPr>
              <w:t>3+8+(N1, N2, N3, CMR, F oder S)</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T4 </w:t>
            </w:r>
            <w:r w:rsidRPr="00F56AB8">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II B</w:t>
            </w:r>
            <w:r w:rsidRPr="00F56AB8">
              <w:rPr>
                <w:rFonts w:ascii="Arial" w:hAnsi="Arial" w:cs="Arial"/>
                <w:color w:val="000000"/>
                <w:sz w:val="16"/>
                <w:szCs w:val="16"/>
                <w:vertAlign w:val="superscript"/>
                <w:lang w:val="de-DE" w:eastAsia="de-DE"/>
              </w:rPr>
              <w:t>4)</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44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12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27; 29</w:t>
            </w:r>
            <w:r w:rsidRPr="00F56AB8">
              <w:rPr>
                <w:rFonts w:ascii="Arial" w:hAnsi="Arial" w:cs="Arial"/>
                <w:color w:val="000000"/>
                <w:sz w:val="16"/>
                <w:szCs w:val="16"/>
                <w:lang w:val="de-DE" w:eastAsia="de-DE"/>
              </w:rPr>
              <w:br/>
              <w:t>*siehe 3.2.3.3</w:t>
            </w:r>
          </w:p>
        </w:tc>
      </w:tr>
      <w:tr w:rsidR="00F56AB8" w:rsidRPr="00F56AB8" w:rsidTr="00F56AB8">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3286</w:t>
            </w:r>
          </w:p>
        </w:tc>
        <w:tc>
          <w:tcPr>
            <w:tcW w:w="36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ENTZÜNDBARER FLÜSSIGER STOFF, GIFTIG, ÄTZEND, N.A.G. </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FTC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w:t>
            </w:r>
          </w:p>
        </w:tc>
        <w:tc>
          <w:tcPr>
            <w:tcW w:w="14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sz w:val="16"/>
                <w:szCs w:val="16"/>
                <w:lang w:val="de-DE" w:eastAsia="de-DE"/>
              </w:rPr>
            </w:pPr>
            <w:r w:rsidRPr="00F56AB8">
              <w:rPr>
                <w:rFonts w:ascii="Arial" w:hAnsi="Arial" w:cs="Arial"/>
                <w:sz w:val="16"/>
                <w:szCs w:val="16"/>
                <w:lang w:val="de-DE" w:eastAsia="de-DE"/>
              </w:rPr>
              <w:t>3+6.1+8+(N1, N2, N3, CMR, F oder S)</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C</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4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w:t>
            </w:r>
          </w:p>
        </w:tc>
        <w:tc>
          <w:tcPr>
            <w:tcW w:w="5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95</w:t>
            </w:r>
          </w:p>
        </w:tc>
        <w:tc>
          <w:tcPr>
            <w:tcW w:w="70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T4 </w:t>
            </w:r>
            <w:r w:rsidRPr="00F56AB8">
              <w:rPr>
                <w:rFonts w:ascii="Arial" w:hAnsi="Arial" w:cs="Arial"/>
                <w:color w:val="000000"/>
                <w:sz w:val="16"/>
                <w:szCs w:val="16"/>
                <w:vertAlign w:val="superscript"/>
                <w:lang w:val="de-DE" w:eastAsia="de-DE"/>
              </w:rPr>
              <w:t>3)</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II B</w:t>
            </w:r>
            <w:r w:rsidRPr="00F56AB8">
              <w:rPr>
                <w:rFonts w:ascii="Arial" w:hAnsi="Arial" w:cs="Arial"/>
                <w:color w:val="000000"/>
                <w:sz w:val="16"/>
                <w:szCs w:val="16"/>
                <w:vertAlign w:val="superscript"/>
                <w:lang w:val="de-DE" w:eastAsia="de-DE"/>
              </w:rPr>
              <w:t>4)</w:t>
            </w:r>
          </w:p>
        </w:tc>
        <w:tc>
          <w:tcPr>
            <w:tcW w:w="50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ja</w:t>
            </w:r>
          </w:p>
        </w:tc>
        <w:tc>
          <w:tcPr>
            <w:tcW w:w="660" w:type="dxa"/>
            <w:tcBorders>
              <w:top w:val="nil"/>
              <w:left w:val="nil"/>
              <w:bottom w:val="single" w:sz="4" w:space="0" w:color="auto"/>
              <w:right w:val="single" w:sz="4" w:space="0" w:color="auto"/>
            </w:tcBorders>
            <w:shd w:val="clear" w:color="auto" w:fill="auto"/>
            <w:hideMark/>
          </w:tcPr>
          <w:p w:rsidR="00F56AB8" w:rsidRPr="007C28DE" w:rsidRDefault="00F56AB8" w:rsidP="00F56AB8">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40" w:type="dxa"/>
            <w:tcBorders>
              <w:top w:val="nil"/>
              <w:left w:val="nil"/>
              <w:bottom w:val="single" w:sz="4" w:space="0" w:color="auto"/>
              <w:right w:val="single" w:sz="4" w:space="0" w:color="auto"/>
            </w:tcBorders>
            <w:shd w:val="clear" w:color="auto" w:fill="auto"/>
            <w:noWrap/>
            <w:hideMark/>
          </w:tcPr>
          <w:p w:rsidR="00F56AB8" w:rsidRPr="00F56AB8" w:rsidRDefault="00F56AB8" w:rsidP="00F56AB8">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1240" w:type="dxa"/>
            <w:tcBorders>
              <w:top w:val="nil"/>
              <w:left w:val="nil"/>
              <w:bottom w:val="single" w:sz="4" w:space="0" w:color="auto"/>
              <w:right w:val="single" w:sz="4" w:space="0" w:color="auto"/>
            </w:tcBorders>
            <w:shd w:val="clear" w:color="auto" w:fill="auto"/>
            <w:hideMark/>
          </w:tcPr>
          <w:p w:rsidR="00F56AB8" w:rsidRPr="00F56AB8" w:rsidRDefault="00F56AB8" w:rsidP="00F56AB8">
            <w:pPr>
              <w:spacing w:after="0"/>
              <w:rPr>
                <w:rFonts w:ascii="Arial" w:hAnsi="Arial" w:cs="Arial"/>
                <w:color w:val="000000"/>
                <w:sz w:val="16"/>
                <w:szCs w:val="16"/>
                <w:lang w:val="de-DE" w:eastAsia="de-DE"/>
              </w:rPr>
            </w:pPr>
            <w:r w:rsidRPr="00F56AB8">
              <w:rPr>
                <w:rFonts w:ascii="Arial" w:hAnsi="Arial" w:cs="Arial"/>
                <w:color w:val="000000"/>
                <w:sz w:val="16"/>
                <w:szCs w:val="16"/>
                <w:lang w:val="de-DE" w:eastAsia="de-DE"/>
              </w:rPr>
              <w:t>27; 29</w:t>
            </w:r>
            <w:r w:rsidRPr="00F56AB8">
              <w:rPr>
                <w:rFonts w:ascii="Arial" w:hAnsi="Arial" w:cs="Arial"/>
                <w:color w:val="000000"/>
                <w:sz w:val="16"/>
                <w:szCs w:val="16"/>
                <w:lang w:val="de-DE" w:eastAsia="de-DE"/>
              </w:rPr>
              <w:br/>
              <w:t>*siehe 3.2.3.3</w:t>
            </w:r>
          </w:p>
        </w:tc>
      </w:tr>
    </w:tbl>
    <w:p w:rsidR="00F56AB8" w:rsidRDefault="00F56AB8" w:rsidP="004C730B">
      <w:pPr>
        <w:tabs>
          <w:tab w:val="left" w:pos="1418"/>
          <w:tab w:val="left" w:pos="1985"/>
          <w:tab w:val="left" w:pos="2552"/>
          <w:tab w:val="left" w:pos="3119"/>
          <w:tab w:val="left" w:pos="3686"/>
        </w:tabs>
        <w:spacing w:after="0"/>
        <w:ind w:right="566"/>
        <w:jc w:val="both"/>
        <w:rPr>
          <w:sz w:val="20"/>
          <w:lang w:val="de-DE"/>
        </w:rPr>
      </w:pPr>
    </w:p>
    <w:p w:rsidR="00BB3D14" w:rsidRDefault="00E93570" w:rsidP="00BB3D14">
      <w:pPr>
        <w:tabs>
          <w:tab w:val="left" w:pos="1418"/>
          <w:tab w:val="left" w:pos="1985"/>
          <w:tab w:val="left" w:pos="2552"/>
          <w:tab w:val="left" w:pos="3119"/>
          <w:tab w:val="left" w:pos="3686"/>
        </w:tabs>
        <w:spacing w:after="0"/>
        <w:ind w:right="566"/>
        <w:jc w:val="both"/>
        <w:rPr>
          <w:sz w:val="20"/>
          <w:lang w:val="de-DE"/>
        </w:rPr>
      </w:pPr>
      <w:r>
        <w:rPr>
          <w:sz w:val="20"/>
          <w:lang w:val="de-DE"/>
        </w:rPr>
        <w:br w:type="page"/>
      </w:r>
      <w:r w:rsidR="00BB3D14">
        <w:rPr>
          <w:sz w:val="20"/>
          <w:lang w:val="de-DE"/>
        </w:rPr>
        <w:lastRenderedPageBreak/>
        <w:t>ANHANG 2</w:t>
      </w:r>
    </w:p>
    <w:p w:rsidR="00E93570" w:rsidRDefault="00E93570" w:rsidP="004C730B">
      <w:pPr>
        <w:tabs>
          <w:tab w:val="left" w:pos="1418"/>
          <w:tab w:val="left" w:pos="1985"/>
          <w:tab w:val="left" w:pos="2552"/>
          <w:tab w:val="left" w:pos="3119"/>
          <w:tab w:val="left" w:pos="3686"/>
        </w:tabs>
        <w:spacing w:after="0"/>
        <w:ind w:right="566"/>
        <w:jc w:val="both"/>
        <w:rPr>
          <w:sz w:val="20"/>
          <w:lang w:val="de-DE"/>
        </w:rPr>
      </w:pPr>
    </w:p>
    <w:p w:rsidR="00C35588" w:rsidRDefault="00C35588" w:rsidP="004C730B">
      <w:pPr>
        <w:tabs>
          <w:tab w:val="left" w:pos="1418"/>
          <w:tab w:val="left" w:pos="1985"/>
          <w:tab w:val="left" w:pos="2552"/>
          <w:tab w:val="left" w:pos="3119"/>
          <w:tab w:val="left" w:pos="3686"/>
        </w:tabs>
        <w:spacing w:after="0"/>
        <w:ind w:right="566"/>
        <w:jc w:val="both"/>
        <w:rPr>
          <w:sz w:val="20"/>
          <w:lang w:val="de-DE"/>
        </w:rPr>
      </w:pPr>
      <w:r>
        <w:rPr>
          <w:sz w:val="20"/>
          <w:lang w:val="de-DE"/>
        </w:rPr>
        <w:t>PTB-Daten zur Explosionsgruppe</w:t>
      </w:r>
    </w:p>
    <w:p w:rsidR="002F0DAB" w:rsidRDefault="002F0DAB" w:rsidP="004C730B">
      <w:pPr>
        <w:tabs>
          <w:tab w:val="left" w:pos="1418"/>
          <w:tab w:val="left" w:pos="1985"/>
          <w:tab w:val="left" w:pos="2552"/>
          <w:tab w:val="left" w:pos="3119"/>
          <w:tab w:val="left" w:pos="3686"/>
        </w:tabs>
        <w:spacing w:after="0"/>
        <w:ind w:right="566"/>
        <w:jc w:val="both"/>
        <w:rPr>
          <w:sz w:val="20"/>
          <w:lang w:val="de-DE"/>
        </w:rPr>
      </w:pPr>
    </w:p>
    <w:tbl>
      <w:tblPr>
        <w:tblW w:w="14460" w:type="dxa"/>
        <w:tblInd w:w="55" w:type="dxa"/>
        <w:tblCellMar>
          <w:left w:w="70" w:type="dxa"/>
          <w:right w:w="70" w:type="dxa"/>
        </w:tblCellMar>
        <w:tblLook w:val="04A0" w:firstRow="1" w:lastRow="0" w:firstColumn="1" w:lastColumn="0" w:noHBand="0" w:noVBand="1"/>
      </w:tblPr>
      <w:tblGrid>
        <w:gridCol w:w="524"/>
        <w:gridCol w:w="3172"/>
        <w:gridCol w:w="400"/>
        <w:gridCol w:w="443"/>
        <w:gridCol w:w="374"/>
        <w:gridCol w:w="1688"/>
        <w:gridCol w:w="374"/>
        <w:gridCol w:w="374"/>
        <w:gridCol w:w="374"/>
        <w:gridCol w:w="374"/>
        <w:gridCol w:w="524"/>
        <w:gridCol w:w="524"/>
        <w:gridCol w:w="560"/>
        <w:gridCol w:w="524"/>
        <w:gridCol w:w="524"/>
        <w:gridCol w:w="500"/>
        <w:gridCol w:w="514"/>
        <w:gridCol w:w="524"/>
        <w:gridCol w:w="581"/>
        <w:gridCol w:w="408"/>
        <w:gridCol w:w="1180"/>
      </w:tblGrid>
      <w:tr w:rsidR="008F7A9D" w:rsidRPr="002F0DAB" w:rsidTr="008567CB">
        <w:trPr>
          <w:trHeight w:val="3199"/>
        </w:trPr>
        <w:tc>
          <w:tcPr>
            <w:tcW w:w="52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UN-Nummer </w:t>
            </w:r>
            <w:r w:rsidRPr="002F0DAB">
              <w:rPr>
                <w:rFonts w:ascii="Arial" w:hAnsi="Arial" w:cs="Arial"/>
                <w:color w:val="000000"/>
                <w:sz w:val="16"/>
                <w:szCs w:val="16"/>
                <w:lang w:val="de-DE" w:eastAsia="de-DE"/>
              </w:rPr>
              <w:br/>
              <w:t>oder Stoffnummer</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 Benennung und Beschreibung</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Klasse</w:t>
            </w:r>
          </w:p>
        </w:tc>
        <w:tc>
          <w:tcPr>
            <w:tcW w:w="443"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Klassifizierungscode</w:t>
            </w:r>
          </w:p>
        </w:tc>
        <w:tc>
          <w:tcPr>
            <w:tcW w:w="37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Verpackungsgruppe</w:t>
            </w:r>
          </w:p>
        </w:tc>
        <w:tc>
          <w:tcPr>
            <w:tcW w:w="1688"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sz w:val="16"/>
                <w:szCs w:val="16"/>
                <w:lang w:val="de-DE" w:eastAsia="de-DE"/>
              </w:rPr>
            </w:pPr>
            <w:r w:rsidRPr="002F0DAB">
              <w:rPr>
                <w:rFonts w:ascii="Arial" w:hAnsi="Arial" w:cs="Arial"/>
                <w:sz w:val="16"/>
                <w:szCs w:val="16"/>
                <w:lang w:val="de-DE" w:eastAsia="de-DE"/>
              </w:rPr>
              <w:t>Gefahren</w:t>
            </w:r>
          </w:p>
        </w:tc>
        <w:tc>
          <w:tcPr>
            <w:tcW w:w="37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Tankschiffstyp</w:t>
            </w:r>
          </w:p>
        </w:tc>
        <w:tc>
          <w:tcPr>
            <w:tcW w:w="37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Ladetankzustand</w:t>
            </w:r>
          </w:p>
        </w:tc>
        <w:tc>
          <w:tcPr>
            <w:tcW w:w="37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Ladetanktyp</w:t>
            </w:r>
          </w:p>
        </w:tc>
        <w:tc>
          <w:tcPr>
            <w:tcW w:w="37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Ladetankausrüstung</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Öffnungsdruck des</w:t>
            </w:r>
            <w:r w:rsidRPr="002F0DAB">
              <w:rPr>
                <w:rFonts w:ascii="Arial" w:hAnsi="Arial" w:cs="Arial"/>
                <w:color w:val="000000"/>
                <w:sz w:val="16"/>
                <w:szCs w:val="16"/>
                <w:lang w:val="de-DE" w:eastAsia="de-DE"/>
              </w:rPr>
              <w:br/>
              <w:t>H.-J.-Ventils in kPa</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max. zul. Tankfüllungsgrad</w:t>
            </w:r>
            <w:r w:rsidRPr="002F0DAB">
              <w:rPr>
                <w:rFonts w:ascii="Arial" w:hAnsi="Arial" w:cs="Arial"/>
                <w:color w:val="000000"/>
                <w:sz w:val="16"/>
                <w:szCs w:val="16"/>
                <w:lang w:val="de-DE" w:eastAsia="de-DE"/>
              </w:rPr>
              <w:br/>
              <w:t>in %</w:t>
            </w:r>
          </w:p>
        </w:tc>
        <w:tc>
          <w:tcPr>
            <w:tcW w:w="56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relative Dichte bei 20 ºC</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Art der</w:t>
            </w:r>
            <w:r w:rsidRPr="002F0DAB">
              <w:rPr>
                <w:rFonts w:ascii="Arial" w:hAnsi="Arial" w:cs="Arial"/>
                <w:color w:val="000000"/>
                <w:sz w:val="16"/>
                <w:szCs w:val="16"/>
                <w:lang w:val="de-DE" w:eastAsia="de-DE"/>
              </w:rPr>
              <w:br/>
              <w:t>Probeentnahmeeinrichtung</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Pumpenraum unter Deck</w:t>
            </w:r>
            <w:r w:rsidRPr="002F0DAB">
              <w:rPr>
                <w:rFonts w:ascii="Arial" w:hAnsi="Arial" w:cs="Arial"/>
                <w:color w:val="000000"/>
                <w:sz w:val="16"/>
                <w:szCs w:val="16"/>
                <w:lang w:val="de-DE" w:eastAsia="de-DE"/>
              </w:rPr>
              <w:br/>
              <w:t>erlaubt</w:t>
            </w:r>
          </w:p>
        </w:tc>
        <w:tc>
          <w:tcPr>
            <w:tcW w:w="5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Temperaturklasse</w:t>
            </w:r>
          </w:p>
        </w:tc>
        <w:tc>
          <w:tcPr>
            <w:tcW w:w="51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Explosionsgruppe</w:t>
            </w:r>
          </w:p>
        </w:tc>
        <w:tc>
          <w:tcPr>
            <w:tcW w:w="524"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Explosionsschutz</w:t>
            </w:r>
            <w:r w:rsidRPr="002F0DAB">
              <w:rPr>
                <w:rFonts w:ascii="Arial" w:hAnsi="Arial" w:cs="Arial"/>
                <w:color w:val="000000"/>
                <w:sz w:val="16"/>
                <w:szCs w:val="16"/>
                <w:lang w:val="de-DE" w:eastAsia="de-DE"/>
              </w:rPr>
              <w:br/>
              <w:t>erforderlich</w:t>
            </w:r>
          </w:p>
        </w:tc>
        <w:tc>
          <w:tcPr>
            <w:tcW w:w="581"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Ausrüstung</w:t>
            </w:r>
            <w:r w:rsidRPr="002F0DAB">
              <w:rPr>
                <w:rFonts w:ascii="Arial" w:hAnsi="Arial" w:cs="Arial"/>
                <w:color w:val="000000"/>
                <w:sz w:val="16"/>
                <w:szCs w:val="16"/>
                <w:lang w:val="de-DE" w:eastAsia="de-DE"/>
              </w:rPr>
              <w:br/>
              <w:t>erforderlich</w:t>
            </w:r>
          </w:p>
        </w:tc>
        <w:tc>
          <w:tcPr>
            <w:tcW w:w="408"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Anzahl der Kegel/Lichter</w:t>
            </w:r>
          </w:p>
        </w:tc>
        <w:tc>
          <w:tcPr>
            <w:tcW w:w="1180" w:type="dxa"/>
            <w:tcBorders>
              <w:top w:val="single" w:sz="4" w:space="0" w:color="auto"/>
              <w:left w:val="nil"/>
              <w:bottom w:val="single" w:sz="4" w:space="0" w:color="auto"/>
              <w:right w:val="single" w:sz="4" w:space="0" w:color="auto"/>
            </w:tcBorders>
            <w:shd w:val="clear" w:color="auto" w:fill="auto"/>
            <w:textDirection w:val="tbRl"/>
            <w:vAlign w:val="center"/>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zusätzliche Anforderungen</w:t>
            </w:r>
            <w:r w:rsidRPr="002F0DAB">
              <w:rPr>
                <w:rFonts w:ascii="Arial" w:hAnsi="Arial" w:cs="Arial"/>
                <w:color w:val="000000"/>
                <w:sz w:val="16"/>
                <w:szCs w:val="16"/>
                <w:lang w:val="de-DE" w:eastAsia="de-DE"/>
              </w:rPr>
              <w:br/>
              <w:t>oder Bemerkungen</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1010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BUTA-1,2-DIEN,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2.1+inst.</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31</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1010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BUTA-1,3-DIEN,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2.1+inst.+CMR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r w:rsidRPr="002F0DAB">
              <w:rPr>
                <w:rFonts w:ascii="Arial" w:hAnsi="Arial" w:cs="Arial"/>
                <w:color w:val="FF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31</w:t>
            </w:r>
          </w:p>
        </w:tc>
      </w:tr>
      <w:tr w:rsidR="008F7A9D" w:rsidRPr="002F0DAB" w:rsidTr="008567CB">
        <w:trPr>
          <w:trHeight w:val="15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1010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BUTADIENE, STABILISIERT oder BUTADIENE UND KOHLENWASSERSTOFF, GEMISCH, STABILISIERT, das bei 70 °C einen Dampfdruck von nicht mehr als 1,1 MPa (11 bar) hat und dessen Dichte bei 50 °C den Wert von 0,525 kg/l nicht unterschreitet </w:t>
            </w:r>
            <w:r w:rsidRPr="002F0DAB">
              <w:rPr>
                <w:rFonts w:ascii="Arial" w:hAnsi="Arial" w:cs="Arial"/>
                <w:i/>
                <w:iCs/>
                <w:color w:val="000000"/>
                <w:sz w:val="16"/>
                <w:szCs w:val="16"/>
                <w:lang w:val="de-DE" w:eastAsia="de-DE"/>
              </w:rPr>
              <w:t>(enthält weniger als 0,1 % Buta-1,3-dien)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2.1+inst.</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r w:rsidRPr="002F0DAB">
              <w:rPr>
                <w:rFonts w:ascii="Arial" w:hAnsi="Arial" w:cs="Arial"/>
                <w:color w:val="FF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31</w:t>
            </w:r>
          </w:p>
        </w:tc>
      </w:tr>
      <w:tr w:rsidR="008F7A9D" w:rsidRPr="002F0DAB" w:rsidTr="008567CB">
        <w:trPr>
          <w:trHeight w:val="15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1010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BUTADIENE, STABILISIERT oder BUTADIENE UND KOHLENWASSERSTOFF, GEMISCH, STABILISIERT, das bei 70 °C einen Dampfdruck von nicht mehr als 1,1 MPa (11 bar) hat und dessen Dichte bei 50 °C den Wert von 0,525 kg/l nicht unterschreitet </w:t>
            </w:r>
            <w:r w:rsidRPr="002F0DAB">
              <w:rPr>
                <w:rFonts w:ascii="Arial" w:hAnsi="Arial" w:cs="Arial"/>
                <w:i/>
                <w:iCs/>
                <w:color w:val="000000"/>
                <w:sz w:val="16"/>
                <w:szCs w:val="16"/>
                <w:lang w:val="de-DE" w:eastAsia="de-DE"/>
              </w:rPr>
              <w:t>(enthält 0,1 % oder mehr Buta-1,3-dien)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2.1+inst.+CMR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r w:rsidRPr="002F0DAB">
              <w:rPr>
                <w:rFonts w:ascii="Arial" w:hAnsi="Arial" w:cs="Arial"/>
                <w:color w:val="FF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31</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lastRenderedPageBreak/>
              <w:t>1033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DIMETHYLETHER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31</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1038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ETHYLEN, TIEFGEKÜHLT, FLÜSSIG</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T1 </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31</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1040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ETHYLENOXID MIT STICKSTOFF bis zu einem Gesamtdruck von 1 MPa (10 bar) bei 50°C</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2TF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2.3+2.1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G</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91</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T2 </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11; 31</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1092</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ACROLEIN,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6.1+3+inst.+N1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T3 </w:t>
            </w:r>
            <w:r w:rsidRPr="002F0DAB">
              <w:rPr>
                <w:rFonts w:ascii="Arial" w:hAnsi="Arial" w:cs="Arial"/>
                <w:color w:val="000000"/>
                <w:sz w:val="16"/>
                <w:szCs w:val="16"/>
                <w:vertAlign w:val="superscript"/>
                <w:lang w:val="de-DE" w:eastAsia="de-DE"/>
              </w:rPr>
              <w: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5; 23</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1093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ACRYLNITRIL,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3+6.1+inst.+N2+CMR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T1</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5; 23</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1098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ALLYLALKOHOL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6.1+3+N1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40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1120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BUTANOLE </w:t>
            </w:r>
            <w:r w:rsidRPr="002F0DAB">
              <w:rPr>
                <w:rFonts w:ascii="Arial" w:hAnsi="Arial" w:cs="Arial"/>
                <w:color w:val="000000"/>
                <w:sz w:val="16"/>
                <w:szCs w:val="16"/>
                <w:lang w:val="de-DE" w:eastAsia="de-DE"/>
              </w:rPr>
              <w:br/>
              <w:t>(n-BUTYLALKOHOL)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1131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KOHLENSTOFFDISULFID oder SCHWEFELKOHLENSTOFF</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3+6.1+N2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1,26</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T6</w:t>
            </w:r>
          </w:p>
        </w:tc>
        <w:tc>
          <w:tcPr>
            <w:tcW w:w="51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C</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9; 23</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1143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CROTONALDEHYD,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6.1+3+inst.+N1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40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5; 15</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1153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ETHYLENGLYCOLDIETHYLETHER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T4</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1155</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DIETHYLETHER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T4</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1165</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DIOXAN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6: +14 ºC; 17</w:t>
            </w:r>
          </w:p>
        </w:tc>
      </w:tr>
      <w:tr w:rsidR="008F7A9D" w:rsidRPr="002F0DAB" w:rsidTr="008567CB">
        <w:trPr>
          <w:trHeight w:val="90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lastRenderedPageBreak/>
              <w:t>1170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ETHANOL (ETHYLALKOHOL) oder ETHANOL, LÖSUNG (ETHYLALKOHOL, LÖSUNG), </w:t>
            </w:r>
            <w:r w:rsidRPr="002F0DAB">
              <w:rPr>
                <w:rFonts w:ascii="Arial" w:hAnsi="Arial" w:cs="Arial"/>
                <w:color w:val="000000"/>
                <w:sz w:val="16"/>
                <w:szCs w:val="16"/>
                <w:lang w:val="de-DE" w:eastAsia="de-DE"/>
              </w:rPr>
              <w:br w:type="page"/>
              <w:t>wässerige Lösung mit mehr als 70 Vol-% 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0,79 - 0,87</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90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1170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ETHANOL, LÖSUNG (ETHYLALKOHOL, LÖSUNG), mit mehr als 24 Vol.-% und höchstens </w:t>
            </w:r>
            <w:r w:rsidRPr="002F0DAB">
              <w:rPr>
                <w:rFonts w:ascii="Arial" w:hAnsi="Arial" w:cs="Arial"/>
                <w:color w:val="000000"/>
                <w:sz w:val="16"/>
                <w:szCs w:val="16"/>
                <w:lang w:val="de-DE" w:eastAsia="de-DE"/>
              </w:rPr>
              <w:br/>
              <w:t>70 Vol.-% 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0,87 - 0,96</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r w:rsidRPr="002F0DAB">
              <w:rPr>
                <w:rFonts w:ascii="Arial" w:hAnsi="Arial" w:cs="Arial"/>
                <w:color w:val="FF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1171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ETHYLENGLYCOLMONOETHYL-ETHER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1193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ETHYLMETHYLKETON oder METHYLETHYLKETON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T1</w:t>
            </w:r>
          </w:p>
        </w:tc>
        <w:tc>
          <w:tcPr>
            <w:tcW w:w="51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A</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1198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FORMALDEHYDLÖSUNG, ENTZÜNDBAR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3+8+N3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1,09</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34</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1199</w:t>
            </w:r>
          </w:p>
        </w:tc>
        <w:tc>
          <w:tcPr>
            <w:tcW w:w="3172"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rPr>
                <w:rFonts w:ascii="Arial" w:hAnsi="Arial" w:cs="Arial"/>
                <w:color w:val="000000"/>
                <w:sz w:val="16"/>
                <w:szCs w:val="16"/>
                <w:lang w:val="de-DE" w:eastAsia="de-DE"/>
              </w:rPr>
            </w:pPr>
            <w:r w:rsidRPr="007C28DE">
              <w:rPr>
                <w:rFonts w:ascii="Arial" w:hAnsi="Arial" w:cs="Arial"/>
                <w:color w:val="000000"/>
                <w:sz w:val="16"/>
                <w:szCs w:val="16"/>
                <w:lang w:val="de-DE" w:eastAsia="de-DE"/>
              </w:rPr>
              <w:t>FURALDEHYDE (a-FURALDEHYD) oder FURFURALDEHYDE (a-FURFURALDEHYD)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25</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1,16</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T3 </w:t>
            </w:r>
            <w:r w:rsidRPr="002F0DAB">
              <w:rPr>
                <w:rFonts w:ascii="Arial" w:hAnsi="Arial" w:cs="Arial"/>
                <w:color w:val="000000"/>
                <w:sz w:val="16"/>
                <w:szCs w:val="16"/>
                <w:vertAlign w:val="superscript"/>
                <w:lang w:val="de-DE" w:eastAsia="de-DE"/>
              </w:rPr>
              <w: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15</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1218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ISOPREN,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3+inst.+N2+CMR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0,68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5;16</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1274</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n-PROPANOL oder </w:t>
            </w:r>
            <w:r w:rsidRPr="002F0DAB">
              <w:rPr>
                <w:rFonts w:ascii="Arial" w:hAnsi="Arial" w:cs="Arial"/>
                <w:color w:val="000000"/>
                <w:sz w:val="16"/>
                <w:szCs w:val="16"/>
                <w:lang w:val="de-DE" w:eastAsia="de-DE"/>
              </w:rPr>
              <w:br/>
              <w:t>n-PROPYLALKOHOL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1274</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n-PROPANOL oder </w:t>
            </w:r>
            <w:r w:rsidRPr="002F0DAB">
              <w:rPr>
                <w:rFonts w:ascii="Arial" w:hAnsi="Arial" w:cs="Arial"/>
                <w:color w:val="000000"/>
                <w:sz w:val="16"/>
                <w:szCs w:val="16"/>
                <w:lang w:val="de-DE" w:eastAsia="de-DE"/>
              </w:rPr>
              <w:br/>
              <w:t>n-PROPYLALKOHOL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1275</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PROPIONALDEHYD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T4</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15; 23</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1280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PROPYLENOXID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3+inst.+N3+CMR</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12; 31</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1662</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NITROBENZEN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6.1+N2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25</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1,21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T1</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6: +10ºC; 17</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lastRenderedPageBreak/>
              <w:t>1917</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ETHYLACRYLAT,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40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5</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1919</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METHYLACRYLAT,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5; 23</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2023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EPICHLORHYDRIN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35</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1,18</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5</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2045</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ISOBUTYRALDEHYD (ISOBUTYLALDEHYD)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0,79</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T4</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A</w:t>
            </w:r>
            <w:r w:rsidRPr="002F0DAB">
              <w:rPr>
                <w:rFonts w:ascii="Arial" w:hAnsi="Arial" w:cs="Arial"/>
                <w:color w:val="000000"/>
                <w:sz w:val="16"/>
                <w:szCs w:val="16"/>
                <w:vertAlign w:val="superscript"/>
                <w:lang w:val="de-DE" w:eastAsia="de-DE"/>
              </w:rPr>
              <w:t xml:space="preserve">7)   </w:t>
            </w:r>
            <w:r w:rsidRPr="002F0DAB">
              <w:rPr>
                <w:rFonts w:ascii="Arial" w:hAnsi="Arial" w:cs="Arial"/>
                <w:color w:val="FF0000"/>
                <w:sz w:val="16"/>
                <w:szCs w:val="16"/>
                <w:lang w:val="de-DE" w:eastAsia="de-DE"/>
              </w:rPr>
              <w:t xml:space="preserve"> II A</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15; 23</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2056</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TETRAHYDROFURAN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0,89</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2218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ACRYLSÄURE,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8</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8+3+inst.+N1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4</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4; 5; 17</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2278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n-HEPTEN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 xml:space="preserve">4)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2282</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HEXANOLE</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A</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2288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ISOHEXENE</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50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0,735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23</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2303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ISOPROPENYLBENZEN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3+N2+F</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2309</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OCTADIENE (1,7-OCTADIEN)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2348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BUTYLACRYLATE, STABILISIERT </w:t>
            </w:r>
            <w:r w:rsidRPr="002F0DAB">
              <w:rPr>
                <w:rFonts w:ascii="Arial" w:hAnsi="Arial" w:cs="Arial"/>
                <w:color w:val="000000"/>
                <w:sz w:val="16"/>
                <w:szCs w:val="16"/>
                <w:lang w:val="de-DE" w:eastAsia="de-DE"/>
              </w:rPr>
              <w:br/>
              <w:t>(n-BUTYLACRYLAT, STABILISIERT)</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3+inst.+N3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 xml:space="preserve"> 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3; 5</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2370</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HEX-1-EN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0,67</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2381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DIMETHYLDISULFID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MS Sans Serif" w:hAnsi="MS Sans Serif"/>
                <w:color w:val="000000"/>
                <w:sz w:val="16"/>
                <w:szCs w:val="16"/>
                <w:lang w:val="de-DE" w:eastAsia="de-DE"/>
              </w:rPr>
            </w:pPr>
            <w:r w:rsidRPr="002F0DAB">
              <w:rPr>
                <w:rFonts w:ascii="MS Sans Serif" w:hAnsi="MS Sans Serif"/>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MS Sans Serif" w:hAnsi="MS Sans Serif"/>
                <w:color w:val="000000"/>
                <w:sz w:val="16"/>
                <w:szCs w:val="16"/>
                <w:lang w:val="de-DE" w:eastAsia="de-DE"/>
              </w:rPr>
            </w:pPr>
            <w:r w:rsidRPr="002F0DAB">
              <w:rPr>
                <w:rFonts w:ascii="MS Sans Serif" w:hAnsi="MS Sans Serif"/>
                <w:color w:val="000000"/>
                <w:sz w:val="16"/>
                <w:szCs w:val="16"/>
                <w:lang w:val="de-DE" w:eastAsia="de-DE"/>
              </w:rPr>
              <w:t>FT1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MS Sans Serif" w:hAnsi="MS Sans Serif"/>
                <w:color w:val="000000"/>
                <w:sz w:val="16"/>
                <w:szCs w:val="16"/>
                <w:lang w:val="de-DE" w:eastAsia="de-DE"/>
              </w:rPr>
            </w:pPr>
            <w:r w:rsidRPr="002F0DAB">
              <w:rPr>
                <w:rFonts w:ascii="MS Sans Serif" w:hAnsi="MS Sans Serif"/>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MS Sans Serif" w:hAnsi="MS Sans Serif"/>
                <w:sz w:val="16"/>
                <w:szCs w:val="16"/>
                <w:lang w:val="de-DE" w:eastAsia="de-DE"/>
              </w:rPr>
            </w:pPr>
            <w:r w:rsidRPr="002F0DAB">
              <w:rPr>
                <w:rFonts w:ascii="MS Sans Serif" w:hAnsi="MS Sans Serif"/>
                <w:sz w:val="16"/>
                <w:szCs w:val="16"/>
                <w:lang w:val="de-DE" w:eastAsia="de-DE"/>
              </w:rPr>
              <w:t>3+6.1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40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1,063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2458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HEXADIENE</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T4 </w:t>
            </w:r>
            <w:r w:rsidRPr="002F0DAB">
              <w:rPr>
                <w:rFonts w:ascii="Arial" w:hAnsi="Arial" w:cs="Arial"/>
                <w:color w:val="000000"/>
                <w:sz w:val="16"/>
                <w:szCs w:val="16"/>
                <w:vertAlign w:val="superscript"/>
                <w:lang w:val="de-DE" w:eastAsia="de-DE"/>
              </w:rPr>
              <w:t>3)</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2491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ETHANOLAMIN oder ETHANOLAMIN, LÖSUNG</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8</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C7</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8+N3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6: 14 °C; 17; 34</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lastRenderedPageBreak/>
              <w:t>2608</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NITROPROPANE</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 xml:space="preserve">7)   </w:t>
            </w:r>
            <w:r w:rsidRPr="002F0DAB">
              <w:rPr>
                <w:rFonts w:ascii="Arial" w:hAnsi="Arial" w:cs="Arial"/>
                <w:color w:val="FF0000"/>
                <w:sz w:val="16"/>
                <w:szCs w:val="16"/>
                <w:lang w:val="de-DE" w:eastAsia="de-DE"/>
              </w:rPr>
              <w:t>IIB2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2615</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ETHYLPROPYLETHER</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10</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0,73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T4 </w:t>
            </w:r>
            <w:r w:rsidRPr="002F0DAB">
              <w:rPr>
                <w:rFonts w:ascii="Arial" w:hAnsi="Arial" w:cs="Arial"/>
                <w:color w:val="000000"/>
                <w:sz w:val="16"/>
                <w:szCs w:val="16"/>
                <w:vertAlign w:val="superscript"/>
                <w:lang w:val="de-DE" w:eastAsia="de-DE"/>
              </w:rPr>
              <w:t>3)</w:t>
            </w:r>
          </w:p>
        </w:tc>
        <w:tc>
          <w:tcPr>
            <w:tcW w:w="514" w:type="dxa"/>
            <w:tcBorders>
              <w:top w:val="nil"/>
              <w:left w:val="nil"/>
              <w:bottom w:val="single" w:sz="4" w:space="0" w:color="auto"/>
              <w:right w:val="single" w:sz="4" w:space="0" w:color="auto"/>
            </w:tcBorders>
            <w:shd w:val="clear" w:color="000000" w:fill="FFFF00"/>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A</w:t>
            </w:r>
            <w:r w:rsidRPr="002F0DAB">
              <w:rPr>
                <w:rFonts w:ascii="Arial" w:hAnsi="Arial" w:cs="Arial"/>
                <w:color w:val="000000"/>
                <w:sz w:val="16"/>
                <w:szCs w:val="16"/>
                <w:vertAlign w:val="superscript"/>
                <w:lang w:val="de-DE" w:eastAsia="de-DE"/>
              </w:rPr>
              <w:t>7)</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2811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GIFTIGER ORGANISCHER FESTER STOFF, N.A.G.  </w:t>
            </w:r>
            <w:r w:rsidRPr="002F0DAB">
              <w:rPr>
                <w:rFonts w:ascii="Arial" w:hAnsi="Arial" w:cs="Arial"/>
                <w:color w:val="000000"/>
                <w:sz w:val="16"/>
                <w:szCs w:val="16"/>
                <w:lang w:val="de-DE" w:eastAsia="de-DE"/>
              </w:rPr>
              <w:br/>
              <w:t>(1,2,3-TRICHLORBENZEN, GESCHMOLZEN)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6.1+S</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25</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T4 </w:t>
            </w:r>
            <w:r w:rsidRPr="002F0DAB">
              <w:rPr>
                <w:rFonts w:ascii="Arial" w:hAnsi="Arial" w:cs="Arial"/>
                <w:color w:val="000000"/>
                <w:sz w:val="16"/>
                <w:szCs w:val="16"/>
                <w:vertAlign w:val="superscript"/>
                <w:lang w:val="de-DE" w:eastAsia="de-DE"/>
              </w:rPr>
              <w:t>3)</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7; 17; 22</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2811</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GIFTIGER ORGANISCHER FESTER STOFF, N.A.G.</w:t>
            </w:r>
            <w:r w:rsidRPr="002F0DAB">
              <w:rPr>
                <w:rFonts w:ascii="Arial" w:hAnsi="Arial" w:cs="Arial"/>
                <w:color w:val="000000"/>
                <w:sz w:val="16"/>
                <w:szCs w:val="16"/>
                <w:lang w:val="de-DE" w:eastAsia="de-DE"/>
              </w:rPr>
              <w:br w:type="page"/>
              <w:t>(1,3,5-TRICHLORBENZEN, GESCHMOLZEN)</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6.1</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6.1+S</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25</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T4 </w:t>
            </w:r>
            <w:r w:rsidRPr="002F0DAB">
              <w:rPr>
                <w:rFonts w:ascii="Arial" w:hAnsi="Arial" w:cs="Arial"/>
                <w:color w:val="000000"/>
                <w:sz w:val="16"/>
                <w:szCs w:val="16"/>
                <w:vertAlign w:val="superscript"/>
                <w:lang w:val="de-DE" w:eastAsia="de-DE"/>
              </w:rPr>
              <w:t>3)</w:t>
            </w:r>
          </w:p>
        </w:tc>
        <w:tc>
          <w:tcPr>
            <w:tcW w:w="514" w:type="dxa"/>
            <w:tcBorders>
              <w:top w:val="nil"/>
              <w:left w:val="nil"/>
              <w:bottom w:val="single" w:sz="4" w:space="0" w:color="auto"/>
              <w:right w:val="single" w:sz="4" w:space="0" w:color="auto"/>
            </w:tcBorders>
            <w:shd w:val="clear" w:color="000000" w:fill="FFFF00"/>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r w:rsidRPr="002F0DAB">
              <w:rPr>
                <w:rFonts w:ascii="Arial" w:hAnsi="Arial" w:cs="Arial"/>
                <w:color w:val="000000"/>
                <w:sz w:val="16"/>
                <w:szCs w:val="16"/>
                <w:vertAlign w:val="superscript"/>
                <w:lang w:val="de-DE" w:eastAsia="de-DE"/>
              </w:rPr>
              <w:t>4)</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7; 17; 22</w:t>
            </w:r>
          </w:p>
        </w:tc>
      </w:tr>
      <w:tr w:rsidR="008F7A9D" w:rsidRPr="002F0DAB" w:rsidTr="008567CB">
        <w:trPr>
          <w:trHeight w:val="675"/>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2983</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ETHYLENOXID UND PROPYLENOXID, MISCHUNG, mit höchstens 30% Ethylenoxid</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3+6.1+inst.</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C</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95</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0,85</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nein</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T2</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 B</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7C28DE" w:rsidRDefault="008F7A9D" w:rsidP="002F0DAB">
            <w:pPr>
              <w:spacing w:after="0"/>
              <w:jc w:val="center"/>
              <w:rPr>
                <w:rFonts w:ascii="Arial" w:hAnsi="Arial" w:cs="Arial"/>
                <w:color w:val="000000"/>
                <w:sz w:val="16"/>
                <w:szCs w:val="16"/>
                <w:lang w:val="fr-FR" w:eastAsia="de-DE"/>
              </w:rPr>
            </w:pPr>
            <w:r w:rsidRPr="007C28DE">
              <w:rPr>
                <w:rFonts w:ascii="Arial" w:hAnsi="Arial" w:cs="Arial"/>
                <w:color w:val="000000"/>
                <w:sz w:val="16"/>
                <w:szCs w:val="16"/>
                <w:lang w:val="fr-FR" w:eastAsia="de-DE"/>
              </w:rPr>
              <w:t>PP, EP, EX, TOX,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2; 3; 12; 31</w:t>
            </w:r>
          </w:p>
        </w:tc>
      </w:tr>
      <w:tr w:rsidR="008F7A9D" w:rsidRPr="002F0DAB" w:rsidTr="008567CB">
        <w:trPr>
          <w:trHeight w:val="450"/>
        </w:trPr>
        <w:tc>
          <w:tcPr>
            <w:tcW w:w="524" w:type="dxa"/>
            <w:tcBorders>
              <w:top w:val="nil"/>
              <w:left w:val="single" w:sz="4" w:space="0" w:color="auto"/>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3092</w:t>
            </w:r>
          </w:p>
        </w:tc>
        <w:tc>
          <w:tcPr>
            <w:tcW w:w="3172"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1-METHOXY-2-PROPANOL</w:t>
            </w:r>
          </w:p>
        </w:tc>
        <w:tc>
          <w:tcPr>
            <w:tcW w:w="4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443"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F1</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III</w:t>
            </w:r>
          </w:p>
        </w:tc>
        <w:tc>
          <w:tcPr>
            <w:tcW w:w="168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sz w:val="16"/>
                <w:szCs w:val="16"/>
                <w:lang w:val="de-DE" w:eastAsia="de-DE"/>
              </w:rPr>
            </w:pPr>
            <w:r w:rsidRPr="002F0DAB">
              <w:rPr>
                <w:rFonts w:ascii="Arial" w:hAnsi="Arial" w:cs="Arial"/>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N</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2</w:t>
            </w:r>
          </w:p>
        </w:tc>
        <w:tc>
          <w:tcPr>
            <w:tcW w:w="37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c>
          <w:tcPr>
            <w:tcW w:w="52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97</w:t>
            </w:r>
          </w:p>
        </w:tc>
        <w:tc>
          <w:tcPr>
            <w:tcW w:w="560"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0,92</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3</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0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T3</w:t>
            </w:r>
          </w:p>
        </w:tc>
        <w:tc>
          <w:tcPr>
            <w:tcW w:w="514"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 xml:space="preserve">II B   </w:t>
            </w:r>
            <w:r w:rsidRPr="002F0DAB">
              <w:rPr>
                <w:rFonts w:ascii="Arial" w:hAnsi="Arial" w:cs="Arial"/>
                <w:color w:val="FF0000"/>
                <w:sz w:val="16"/>
                <w:szCs w:val="16"/>
                <w:lang w:val="de-DE" w:eastAsia="de-DE"/>
              </w:rPr>
              <w:t>IIB1</w:t>
            </w:r>
          </w:p>
        </w:tc>
        <w:tc>
          <w:tcPr>
            <w:tcW w:w="524"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ja</w:t>
            </w:r>
          </w:p>
        </w:tc>
        <w:tc>
          <w:tcPr>
            <w:tcW w:w="581" w:type="dxa"/>
            <w:tcBorders>
              <w:top w:val="nil"/>
              <w:left w:val="nil"/>
              <w:bottom w:val="single" w:sz="4" w:space="0" w:color="auto"/>
              <w:right w:val="single" w:sz="4" w:space="0" w:color="auto"/>
            </w:tcBorders>
            <w:shd w:val="clear" w:color="auto" w:fill="auto"/>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PP, EX, A</w:t>
            </w:r>
          </w:p>
        </w:tc>
        <w:tc>
          <w:tcPr>
            <w:tcW w:w="408"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jc w:val="center"/>
              <w:rPr>
                <w:rFonts w:ascii="Arial" w:hAnsi="Arial" w:cs="Arial"/>
                <w:color w:val="000000"/>
                <w:sz w:val="16"/>
                <w:szCs w:val="16"/>
                <w:lang w:val="de-DE" w:eastAsia="de-DE"/>
              </w:rPr>
            </w:pPr>
            <w:r w:rsidRPr="002F0DAB">
              <w:rPr>
                <w:rFonts w:ascii="Arial" w:hAnsi="Arial" w:cs="Arial"/>
                <w:color w:val="000000"/>
                <w:sz w:val="16"/>
                <w:szCs w:val="16"/>
                <w:lang w:val="de-DE" w:eastAsia="de-DE"/>
              </w:rPr>
              <w:t>0</w:t>
            </w:r>
          </w:p>
        </w:tc>
        <w:tc>
          <w:tcPr>
            <w:tcW w:w="1180" w:type="dxa"/>
            <w:tcBorders>
              <w:top w:val="nil"/>
              <w:left w:val="nil"/>
              <w:bottom w:val="single" w:sz="4" w:space="0" w:color="auto"/>
              <w:right w:val="single" w:sz="4" w:space="0" w:color="auto"/>
            </w:tcBorders>
            <w:shd w:val="clear" w:color="auto" w:fill="auto"/>
            <w:noWrap/>
            <w:hideMark/>
          </w:tcPr>
          <w:p w:rsidR="008F7A9D" w:rsidRPr="002F0DAB" w:rsidRDefault="008F7A9D" w:rsidP="002F0DAB">
            <w:pPr>
              <w:spacing w:after="0"/>
              <w:rPr>
                <w:rFonts w:ascii="Arial" w:hAnsi="Arial" w:cs="Arial"/>
                <w:color w:val="000000"/>
                <w:sz w:val="16"/>
                <w:szCs w:val="16"/>
                <w:lang w:val="de-DE" w:eastAsia="de-DE"/>
              </w:rPr>
            </w:pPr>
            <w:r w:rsidRPr="002F0DAB">
              <w:rPr>
                <w:rFonts w:ascii="Arial" w:hAnsi="Arial" w:cs="Arial"/>
                <w:color w:val="000000"/>
                <w:sz w:val="16"/>
                <w:szCs w:val="16"/>
                <w:lang w:val="de-DE" w:eastAsia="de-DE"/>
              </w:rPr>
              <w:t> </w:t>
            </w:r>
          </w:p>
        </w:tc>
      </w:tr>
    </w:tbl>
    <w:p w:rsidR="002F0DAB" w:rsidRDefault="002F0DAB" w:rsidP="004C730B">
      <w:pPr>
        <w:tabs>
          <w:tab w:val="left" w:pos="1418"/>
          <w:tab w:val="left" w:pos="1985"/>
          <w:tab w:val="left" w:pos="2552"/>
          <w:tab w:val="left" w:pos="3119"/>
          <w:tab w:val="left" w:pos="3686"/>
        </w:tabs>
        <w:spacing w:after="0"/>
        <w:ind w:right="566"/>
        <w:jc w:val="both"/>
        <w:rPr>
          <w:sz w:val="20"/>
          <w:lang w:val="de-DE"/>
        </w:rPr>
      </w:pPr>
    </w:p>
    <w:p w:rsidR="005F49E4" w:rsidRDefault="005F49E4" w:rsidP="005F49E4">
      <w:pPr>
        <w:tabs>
          <w:tab w:val="left" w:pos="1418"/>
          <w:tab w:val="left" w:pos="1985"/>
          <w:tab w:val="left" w:pos="2552"/>
          <w:tab w:val="left" w:pos="3119"/>
          <w:tab w:val="left" w:pos="3686"/>
        </w:tabs>
        <w:spacing w:after="0"/>
        <w:ind w:right="567"/>
        <w:jc w:val="both"/>
        <w:rPr>
          <w:sz w:val="20"/>
          <w:lang w:val="de-DE"/>
        </w:rPr>
        <w:sectPr w:rsidR="005F49E4" w:rsidSect="00415FF4">
          <w:headerReference w:type="first" r:id="rId15"/>
          <w:endnotePr>
            <w:numFmt w:val="decimal"/>
          </w:endnotePr>
          <w:pgSz w:w="16840" w:h="11907" w:orient="landscape" w:code="9"/>
          <w:pgMar w:top="1418" w:right="1418" w:bottom="1418" w:left="1418" w:header="680" w:footer="680" w:gutter="0"/>
          <w:cols w:space="720"/>
          <w:titlePg/>
          <w:docGrid w:linePitch="326"/>
        </w:sectPr>
      </w:pPr>
    </w:p>
    <w:p w:rsidR="005F49E4" w:rsidRDefault="005F49E4" w:rsidP="005F49E4">
      <w:pPr>
        <w:tabs>
          <w:tab w:val="left" w:pos="1418"/>
          <w:tab w:val="left" w:pos="1985"/>
          <w:tab w:val="left" w:pos="2552"/>
          <w:tab w:val="left" w:pos="3119"/>
          <w:tab w:val="left" w:pos="3686"/>
        </w:tabs>
        <w:spacing w:after="0"/>
        <w:ind w:right="567"/>
        <w:jc w:val="both"/>
        <w:rPr>
          <w:sz w:val="20"/>
          <w:lang w:val="de-DE"/>
        </w:rPr>
      </w:pPr>
      <w:r>
        <w:rPr>
          <w:sz w:val="20"/>
          <w:lang w:val="de-DE"/>
        </w:rPr>
        <w:lastRenderedPageBreak/>
        <w:t>ANHANG 3</w:t>
      </w:r>
    </w:p>
    <w:p w:rsidR="005F49E4" w:rsidRDefault="005F49E4" w:rsidP="005F49E4">
      <w:pPr>
        <w:tabs>
          <w:tab w:val="left" w:pos="1418"/>
          <w:tab w:val="left" w:pos="1985"/>
          <w:tab w:val="left" w:pos="2552"/>
          <w:tab w:val="left" w:pos="3119"/>
          <w:tab w:val="left" w:pos="3686"/>
        </w:tabs>
        <w:spacing w:after="0"/>
        <w:ind w:right="566"/>
        <w:jc w:val="both"/>
        <w:rPr>
          <w:sz w:val="20"/>
          <w:lang w:val="de-DE"/>
        </w:rPr>
      </w:pPr>
    </w:p>
    <w:p w:rsidR="005F49E4" w:rsidRDefault="005F49E4" w:rsidP="005F49E4">
      <w:pPr>
        <w:tabs>
          <w:tab w:val="left" w:pos="1418"/>
          <w:tab w:val="left" w:pos="1985"/>
          <w:tab w:val="left" w:pos="2552"/>
          <w:tab w:val="left" w:pos="3119"/>
          <w:tab w:val="left" w:pos="3686"/>
        </w:tabs>
        <w:spacing w:after="0"/>
        <w:ind w:right="566"/>
        <w:jc w:val="both"/>
        <w:rPr>
          <w:sz w:val="20"/>
          <w:lang w:val="de-DE"/>
        </w:rPr>
      </w:pPr>
      <w:r>
        <w:rPr>
          <w:sz w:val="20"/>
          <w:lang w:val="de-DE"/>
        </w:rPr>
        <w:t xml:space="preserve">Textvorschläge </w:t>
      </w:r>
      <w:r w:rsidR="004F21B6">
        <w:rPr>
          <w:sz w:val="20"/>
          <w:lang w:val="de-DE"/>
        </w:rPr>
        <w:t>für Erläuterungen zur Tabelle C und zur Spalte (5) Gefahren</w:t>
      </w:r>
    </w:p>
    <w:p w:rsidR="002F0DAB" w:rsidRDefault="002F0DAB" w:rsidP="004C730B">
      <w:pPr>
        <w:tabs>
          <w:tab w:val="left" w:pos="1418"/>
          <w:tab w:val="left" w:pos="1985"/>
          <w:tab w:val="left" w:pos="2552"/>
          <w:tab w:val="left" w:pos="3119"/>
          <w:tab w:val="left" w:pos="3686"/>
        </w:tabs>
        <w:spacing w:after="0"/>
        <w:ind w:right="566"/>
        <w:jc w:val="both"/>
        <w:rPr>
          <w:sz w:val="20"/>
          <w:lang w:val="de-DE"/>
        </w:rPr>
      </w:pPr>
    </w:p>
    <w:p w:rsidR="004F21B6" w:rsidRPr="004F21B6" w:rsidRDefault="004F21B6" w:rsidP="004F21B6">
      <w:pPr>
        <w:pStyle w:val="Corpsdetexte21"/>
        <w:tabs>
          <w:tab w:val="left" w:pos="1134"/>
        </w:tabs>
        <w:spacing w:before="180" w:line="240" w:lineRule="atLeast"/>
        <w:ind w:left="0" w:firstLine="0"/>
        <w:rPr>
          <w:rFonts w:ascii="Times New Roman" w:hAnsi="Times New Roman"/>
          <w:b/>
        </w:rPr>
      </w:pPr>
      <w:r w:rsidRPr="004F21B6">
        <w:rPr>
          <w:rFonts w:ascii="Times New Roman" w:hAnsi="Times New Roman"/>
          <w:b/>
        </w:rPr>
        <w:t>2.3.1</w:t>
      </w:r>
      <w:r w:rsidRPr="004F21B6">
        <w:rPr>
          <w:rFonts w:ascii="Times New Roman" w:hAnsi="Times New Roman"/>
          <w:b/>
        </w:rPr>
        <w:tab/>
        <w:t>Erläuterungen zur Tabelle C</w:t>
      </w:r>
    </w:p>
    <w:p w:rsidR="004F21B6" w:rsidRPr="004F21B6" w:rsidRDefault="004F21B6" w:rsidP="004F21B6">
      <w:pPr>
        <w:pStyle w:val="Corpsdetexte21"/>
        <w:spacing w:before="180" w:line="240" w:lineRule="atLeast"/>
        <w:ind w:left="1134" w:firstLine="0"/>
        <w:rPr>
          <w:rFonts w:ascii="Times New Roman" w:hAnsi="Times New Roman"/>
        </w:rPr>
      </w:pPr>
      <w:r w:rsidRPr="004F21B6">
        <w:rPr>
          <w:rFonts w:ascii="Times New Roman" w:hAnsi="Times New Roman"/>
        </w:rPr>
        <w:t>Jede Zeile der Tabelle C behandelt in der Regel den (die) Stoff(e), der (die) durch eine bestimmte UN-Nummer oder Stoffnummer erfasst wird (werden). Wenn jedoch Stoffe, die zu ein und derselben UN-Nummer oder Stoffnummer gehören, unterschiedliche chemische Eigenschaften, physikalische Eigenschaften und/oder Beförderungsvorschriften haben, können für diese UN-Nummer oder Stoffnummer mehrere aufeinanderfolgende Zeilen verwendet werden.</w:t>
      </w:r>
    </w:p>
    <w:p w:rsidR="004F21B6" w:rsidRPr="004F21B6" w:rsidRDefault="004F21B6" w:rsidP="004F21B6">
      <w:pPr>
        <w:pStyle w:val="Corpsdetexte21"/>
        <w:spacing w:before="180" w:line="240" w:lineRule="atLeast"/>
        <w:ind w:left="1134" w:firstLine="0"/>
        <w:rPr>
          <w:rFonts w:ascii="Times New Roman" w:hAnsi="Times New Roman"/>
        </w:rPr>
      </w:pPr>
      <w:r w:rsidRPr="004F21B6">
        <w:rPr>
          <w:rFonts w:ascii="Times New Roman" w:hAnsi="Times New Roman"/>
        </w:rPr>
        <w:t>Jede Spalte der Tabelle C ist, wie in den nachstehenden erläuternden Bemerkungen angegeben, einem bestimmten Thema gewidmet. Der Schnittpunkt von Spalten und Zeilen (Zelle) enthält Informationen zu dem in der Spalte behandelten Thema für den (die) Stoff(e) dieser Zeile:</w:t>
      </w:r>
    </w:p>
    <w:p w:rsidR="004F21B6" w:rsidRPr="004F21B6" w:rsidRDefault="004F21B6" w:rsidP="004F21B6">
      <w:pPr>
        <w:pStyle w:val="N5"/>
        <w:tabs>
          <w:tab w:val="clear" w:pos="1134"/>
          <w:tab w:val="clear" w:pos="1418"/>
        </w:tabs>
        <w:spacing w:before="60" w:line="240" w:lineRule="atLeast"/>
        <w:rPr>
          <w:rFonts w:ascii="Times New Roman" w:hAnsi="Times New Roman"/>
        </w:rPr>
      </w:pPr>
      <w:r w:rsidRPr="004F21B6">
        <w:rPr>
          <w:rFonts w:ascii="Times New Roman" w:hAnsi="Times New Roman"/>
        </w:rPr>
        <w:t>-</w:t>
      </w:r>
      <w:r w:rsidRPr="004F21B6">
        <w:rPr>
          <w:rFonts w:ascii="Times New Roman" w:hAnsi="Times New Roman"/>
        </w:rPr>
        <w:tab/>
        <w:t>die ersten vier Zellen identifizieren den (die) zu dieser Zeile gehörenden Stoff(e);</w:t>
      </w:r>
    </w:p>
    <w:p w:rsidR="004F21B6" w:rsidRPr="008804A8" w:rsidRDefault="004F21B6" w:rsidP="004F21B6">
      <w:pPr>
        <w:pStyle w:val="N5"/>
        <w:tabs>
          <w:tab w:val="clear" w:pos="1134"/>
          <w:tab w:val="clear" w:pos="1418"/>
        </w:tabs>
        <w:spacing w:before="60" w:line="240" w:lineRule="atLeast"/>
        <w:rPr>
          <w:rFonts w:ascii="Times New Roman" w:hAnsi="Times New Roman"/>
          <w:color w:val="000000"/>
        </w:rPr>
      </w:pPr>
      <w:r w:rsidRPr="004F21B6">
        <w:rPr>
          <w:rFonts w:ascii="Times New Roman" w:hAnsi="Times New Roman"/>
        </w:rPr>
        <w:t>-</w:t>
      </w:r>
      <w:r w:rsidRPr="004F21B6">
        <w:rPr>
          <w:rFonts w:ascii="Times New Roman" w:hAnsi="Times New Roman"/>
        </w:rPr>
        <w:tab/>
        <w:t xml:space="preserve">die nachfolgenden Zellen geben </w:t>
      </w:r>
      <w:r w:rsidRPr="008804A8">
        <w:rPr>
          <w:rFonts w:ascii="Times New Roman" w:hAnsi="Times New Roman"/>
          <w:color w:val="000000"/>
        </w:rPr>
        <w:t xml:space="preserve">die </w:t>
      </w:r>
      <w:r w:rsidRPr="008804A8">
        <w:rPr>
          <w:rFonts w:ascii="Times New Roman" w:hAnsi="Times New Roman"/>
          <w:strike/>
          <w:color w:val="000000"/>
        </w:rPr>
        <w:t>anwendbaren</w:t>
      </w:r>
      <w:r w:rsidRPr="008804A8">
        <w:rPr>
          <w:rFonts w:ascii="Times New Roman" w:hAnsi="Times New Roman"/>
          <w:color w:val="000000"/>
        </w:rPr>
        <w:t xml:space="preserve"> </w:t>
      </w:r>
      <w:r w:rsidRPr="008804A8">
        <w:rPr>
          <w:rFonts w:ascii="Times New Roman" w:hAnsi="Times New Roman"/>
          <w:color w:val="000000"/>
          <w:u w:val="single"/>
        </w:rPr>
        <w:t>anzuwendenden</w:t>
      </w:r>
      <w:r w:rsidRPr="004F21B6">
        <w:rPr>
          <w:rFonts w:ascii="Times New Roman" w:hAnsi="Times New Roman"/>
        </w:rPr>
        <w:t xml:space="preserve"> besonderen Vorschriften entweder als vollständige Information oder in kodierter Form an. Die Codes verweisen auf detaillierte Informationen, die in den in den nachstehenden erläuternden Bemerkungen angegebenen Nummern enthalten sind. Eine leere Zelle bedeutet entweder, dass es keine besonderen Vorschriften gibt und nur die allgemeinen Vorschriften anwendbar sind oder dass die in den erläuternden Bemerkungen angegebene Beförderungseinschränkung </w:t>
      </w:r>
      <w:r w:rsidRPr="008804A8">
        <w:rPr>
          <w:rFonts w:ascii="Times New Roman" w:hAnsi="Times New Roman"/>
          <w:color w:val="000000"/>
        </w:rPr>
        <w:t>gilt</w:t>
      </w:r>
      <w:r w:rsidR="00AD34EE" w:rsidRPr="008804A8">
        <w:rPr>
          <w:rFonts w:ascii="Times New Roman" w:hAnsi="Times New Roman"/>
          <w:strike/>
          <w:color w:val="000000"/>
        </w:rPr>
        <w:t>.</w:t>
      </w:r>
      <w:r w:rsidRPr="008804A8">
        <w:rPr>
          <w:rFonts w:ascii="Times New Roman" w:hAnsi="Times New Roman"/>
          <w:color w:val="000000"/>
          <w:u w:val="single"/>
        </w:rPr>
        <w:t>;</w:t>
      </w:r>
    </w:p>
    <w:p w:rsidR="004F21B6" w:rsidRPr="004F21B6" w:rsidRDefault="004F21B6" w:rsidP="004F21B6">
      <w:pPr>
        <w:pStyle w:val="N5"/>
        <w:tabs>
          <w:tab w:val="clear" w:pos="1134"/>
          <w:tab w:val="clear" w:pos="1418"/>
        </w:tabs>
        <w:spacing w:before="60" w:line="240" w:lineRule="atLeast"/>
        <w:rPr>
          <w:rFonts w:ascii="Times New Roman" w:hAnsi="Times New Roman"/>
        </w:rPr>
      </w:pPr>
      <w:r w:rsidRPr="008804A8">
        <w:rPr>
          <w:rFonts w:ascii="Times New Roman" w:hAnsi="Times New Roman"/>
          <w:color w:val="000000"/>
        </w:rPr>
        <w:t>-</w:t>
      </w:r>
      <w:r w:rsidRPr="008804A8">
        <w:rPr>
          <w:rFonts w:ascii="Times New Roman" w:hAnsi="Times New Roman"/>
          <w:color w:val="000000"/>
        </w:rPr>
        <w:tab/>
      </w:r>
      <w:r w:rsidRPr="008804A8">
        <w:rPr>
          <w:rFonts w:ascii="Times New Roman" w:hAnsi="Times New Roman"/>
          <w:color w:val="000000"/>
          <w:u w:val="single"/>
        </w:rPr>
        <w:t>ist in einer Zelle ein „*“ angegeben, so sind die anzuwendenden Vorschriften in Anwendung von 3.2.3.3 zu ermitteln.</w:t>
      </w:r>
    </w:p>
    <w:p w:rsidR="004F21B6" w:rsidRPr="004F21B6" w:rsidRDefault="004F21B6" w:rsidP="004F21B6">
      <w:pPr>
        <w:pStyle w:val="Corpsdetexte21"/>
        <w:spacing w:before="180" w:line="240" w:lineRule="atLeast"/>
        <w:ind w:left="1134" w:firstLine="0"/>
        <w:rPr>
          <w:rFonts w:ascii="Times New Roman" w:hAnsi="Times New Roman"/>
        </w:rPr>
      </w:pPr>
      <w:r w:rsidRPr="004F21B6">
        <w:rPr>
          <w:rFonts w:ascii="Times New Roman" w:hAnsi="Times New Roman"/>
        </w:rPr>
        <w:t>Auf die anwendbaren allgemeinen Vorschriften wird in den entsprechenden Spalten nicht verwiesen.</w:t>
      </w:r>
    </w:p>
    <w:p w:rsidR="004F21B6" w:rsidRDefault="004F21B6" w:rsidP="004F21B6">
      <w:pPr>
        <w:rPr>
          <w:sz w:val="20"/>
          <w:lang w:val="de-DE"/>
        </w:rPr>
      </w:pPr>
    </w:p>
    <w:p w:rsidR="00AD34EE" w:rsidRPr="004F21B6" w:rsidRDefault="00AD34EE" w:rsidP="004F21B6">
      <w:pPr>
        <w:rPr>
          <w:sz w:val="20"/>
          <w:lang w:val="de-DE"/>
        </w:rPr>
      </w:pPr>
    </w:p>
    <w:p w:rsidR="004F21B6" w:rsidRPr="004F21B6" w:rsidRDefault="004F21B6" w:rsidP="004F21B6">
      <w:pPr>
        <w:pStyle w:val="Header"/>
        <w:tabs>
          <w:tab w:val="clear" w:pos="4320"/>
          <w:tab w:val="center" w:pos="2410"/>
        </w:tabs>
        <w:spacing w:before="180" w:line="240" w:lineRule="atLeast"/>
        <w:ind w:left="1134"/>
        <w:rPr>
          <w:b/>
          <w:sz w:val="20"/>
          <w:lang w:val="de-DE"/>
        </w:rPr>
      </w:pPr>
      <w:r w:rsidRPr="004F21B6">
        <w:rPr>
          <w:b/>
          <w:sz w:val="20"/>
          <w:lang w:val="de-DE"/>
        </w:rPr>
        <w:t>Spalte 5</w:t>
      </w:r>
      <w:r>
        <w:rPr>
          <w:b/>
          <w:sz w:val="20"/>
          <w:lang w:val="de-DE"/>
        </w:rPr>
        <w:tab/>
      </w:r>
      <w:r w:rsidRPr="004F21B6">
        <w:rPr>
          <w:b/>
          <w:sz w:val="20"/>
          <w:lang w:val="de-DE"/>
        </w:rPr>
        <w:t>Gefahren</w:t>
      </w:r>
    </w:p>
    <w:p w:rsidR="004F21B6" w:rsidRPr="004F21B6" w:rsidRDefault="004F21B6" w:rsidP="004F21B6">
      <w:pPr>
        <w:pStyle w:val="Retraitcorpsdetexte31"/>
        <w:spacing w:before="180" w:after="0" w:line="240" w:lineRule="atLeast"/>
        <w:ind w:left="1985" w:firstLine="0"/>
        <w:rPr>
          <w:rFonts w:ascii="Times New Roman" w:hAnsi="Times New Roman"/>
          <w:sz w:val="20"/>
          <w:lang w:val="de-DE"/>
        </w:rPr>
      </w:pPr>
      <w:r w:rsidRPr="004F21B6">
        <w:rPr>
          <w:rFonts w:ascii="Times New Roman" w:hAnsi="Times New Roman"/>
          <w:sz w:val="20"/>
          <w:lang w:val="de-DE"/>
        </w:rPr>
        <w:t>Diese Spalte enthält Angaben über die Gefahren, die von dem gefährlichen Stoff oder der gefährlichen Mischung ausgehen können. Dabei werden im Allgemeinen die Angaben über die Gefahrzettel in Tabelle A Spalte 5 übernommen.</w:t>
      </w:r>
    </w:p>
    <w:p w:rsidR="004F21B6" w:rsidRPr="004F21B6" w:rsidRDefault="004F21B6" w:rsidP="004F21B6">
      <w:pPr>
        <w:pStyle w:val="Retraitcorpsdetexte31"/>
        <w:spacing w:before="180" w:after="0" w:line="240" w:lineRule="atLeast"/>
        <w:ind w:left="1985" w:firstLine="0"/>
        <w:rPr>
          <w:rFonts w:ascii="Times New Roman" w:hAnsi="Times New Roman"/>
          <w:sz w:val="20"/>
          <w:lang w:val="de-DE"/>
        </w:rPr>
      </w:pPr>
      <w:r w:rsidRPr="004F21B6">
        <w:rPr>
          <w:rFonts w:ascii="Times New Roman" w:hAnsi="Times New Roman"/>
          <w:sz w:val="20"/>
          <w:lang w:val="de-DE"/>
        </w:rPr>
        <w:t>Handelt es sich um einen chemisch instabilen Stoff, werden diese Angaben durch den Code „inst.“ ergänzt.</w:t>
      </w:r>
    </w:p>
    <w:p w:rsidR="004F21B6" w:rsidRPr="004F21B6" w:rsidRDefault="004F21B6" w:rsidP="004F21B6">
      <w:pPr>
        <w:pStyle w:val="Retraitcorpsdetexte31"/>
        <w:spacing w:before="180" w:after="0" w:line="240" w:lineRule="atLeast"/>
        <w:ind w:left="1985" w:firstLine="0"/>
        <w:rPr>
          <w:rFonts w:ascii="Times New Roman" w:hAnsi="Times New Roman"/>
          <w:sz w:val="20"/>
          <w:lang w:val="de-DE"/>
        </w:rPr>
      </w:pPr>
      <w:r w:rsidRPr="004F21B6">
        <w:rPr>
          <w:rFonts w:ascii="Times New Roman" w:hAnsi="Times New Roman"/>
          <w:sz w:val="20"/>
          <w:lang w:val="de-DE"/>
        </w:rPr>
        <w:t>Handelt es sich um einen wasserverunreinigenden Stoff oder um eine wasserverunreinigende Mischung, werden diese Angaben durch den Code „N1“, „N2“ oder „N3“ ergänzt.</w:t>
      </w:r>
    </w:p>
    <w:p w:rsidR="004F21B6" w:rsidRPr="004F21B6" w:rsidRDefault="004F21B6" w:rsidP="004F21B6">
      <w:pPr>
        <w:pStyle w:val="Retraitcorpsdetexte31"/>
        <w:spacing w:before="180" w:after="0" w:line="240" w:lineRule="atLeast"/>
        <w:ind w:left="1985" w:firstLine="0"/>
        <w:rPr>
          <w:rFonts w:ascii="Times New Roman" w:hAnsi="Times New Roman"/>
          <w:sz w:val="20"/>
          <w:lang w:val="de-DE"/>
        </w:rPr>
      </w:pPr>
      <w:r w:rsidRPr="004F21B6">
        <w:rPr>
          <w:rFonts w:ascii="Times New Roman" w:hAnsi="Times New Roman"/>
          <w:sz w:val="20"/>
          <w:lang w:val="de-DE"/>
        </w:rPr>
        <w:t>Handelt es sich um einen Stoff oder um eine Mischung, mit CMR-Eigenschaften, werden diese Angaben durch den Code „CMR“ ergänzt.</w:t>
      </w:r>
    </w:p>
    <w:p w:rsidR="004F21B6" w:rsidRPr="004F21B6" w:rsidRDefault="004F21B6" w:rsidP="004F21B6">
      <w:pPr>
        <w:pStyle w:val="Retraitcorpsdetexte31"/>
        <w:spacing w:before="180" w:after="0" w:line="240" w:lineRule="atLeast"/>
        <w:ind w:left="1985" w:firstLine="0"/>
        <w:rPr>
          <w:rFonts w:ascii="Times New Roman" w:hAnsi="Times New Roman"/>
          <w:sz w:val="20"/>
          <w:lang w:val="de-DE"/>
        </w:rPr>
      </w:pPr>
      <w:r w:rsidRPr="004F21B6">
        <w:rPr>
          <w:rFonts w:ascii="Times New Roman" w:hAnsi="Times New Roman"/>
          <w:sz w:val="20"/>
          <w:lang w:val="de-DE"/>
        </w:rPr>
        <w:t>Handelt es sich um einen Stoff oder um eine Mischung, der oder die auf der Wasseroberfläche aufschwimmt, nicht verdampft und schlecht wasserlöslisch ist bzw. auf den Gewässergrund absinkt und schlecht wasserlöslich ist, werden diese Angaben durch den Code „F“ (für den englischen Begriff „Floater“) bzw. „S“ (für den englischen Begriff „Sinker“) ergänzt.</w:t>
      </w:r>
    </w:p>
    <w:p w:rsidR="004F21B6" w:rsidRPr="008804A8" w:rsidRDefault="004F21B6" w:rsidP="004F21B6">
      <w:pPr>
        <w:pStyle w:val="Retraitcorpsdetexte31"/>
        <w:spacing w:before="180" w:after="0" w:line="240" w:lineRule="atLeast"/>
        <w:ind w:left="1985" w:firstLine="0"/>
        <w:rPr>
          <w:rFonts w:ascii="Times New Roman" w:hAnsi="Times New Roman"/>
          <w:color w:val="000000"/>
          <w:sz w:val="20"/>
          <w:u w:val="single"/>
          <w:lang w:val="de-DE"/>
        </w:rPr>
      </w:pPr>
      <w:r w:rsidRPr="008804A8">
        <w:rPr>
          <w:rFonts w:ascii="Times New Roman" w:hAnsi="Times New Roman"/>
          <w:color w:val="000000"/>
          <w:sz w:val="20"/>
          <w:u w:val="single"/>
          <w:lang w:val="de-DE"/>
        </w:rPr>
        <w:t>Bei Angaben über Gefahren in Klammern sind nur die für die konkrete Beförderung zutreffenden Codes zu verwenden.</w:t>
      </w:r>
    </w:p>
    <w:p w:rsidR="004F21B6" w:rsidRPr="004F21B6" w:rsidRDefault="004F21B6" w:rsidP="004F21B6">
      <w:pPr>
        <w:rPr>
          <w:sz w:val="20"/>
          <w:lang w:val="de-DE"/>
        </w:rPr>
      </w:pPr>
    </w:p>
    <w:p w:rsidR="00FF20BF" w:rsidRPr="000B697D" w:rsidRDefault="006177D0" w:rsidP="004C730B">
      <w:pPr>
        <w:tabs>
          <w:tab w:val="left" w:pos="1418"/>
          <w:tab w:val="left" w:pos="1985"/>
          <w:tab w:val="left" w:pos="2552"/>
          <w:tab w:val="left" w:pos="3119"/>
          <w:tab w:val="left" w:pos="3686"/>
        </w:tabs>
        <w:spacing w:after="0"/>
        <w:ind w:right="566"/>
        <w:jc w:val="center"/>
        <w:rPr>
          <w:sz w:val="20"/>
          <w:lang w:val="de-DE"/>
        </w:rPr>
      </w:pPr>
      <w:r w:rsidRPr="000B697D">
        <w:rPr>
          <w:sz w:val="20"/>
          <w:lang w:val="de-DE"/>
        </w:rPr>
        <w:t>***</w:t>
      </w:r>
    </w:p>
    <w:sectPr w:rsidR="00FF20BF" w:rsidRPr="000B697D" w:rsidSect="005F49E4">
      <w:footerReference w:type="first" r:id="rId16"/>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67" w:rsidRDefault="004E3467">
      <w:pPr>
        <w:pStyle w:val="Footer"/>
      </w:pPr>
    </w:p>
  </w:endnote>
  <w:endnote w:type="continuationSeparator" w:id="0">
    <w:p w:rsidR="004E3467" w:rsidRDefault="004E3467">
      <w:pPr>
        <w:spacing w:after="0"/>
      </w:pPr>
    </w:p>
  </w:endnote>
  <w:endnote w:type="continuationNotice" w:id="1">
    <w:p w:rsidR="004E3467" w:rsidRDefault="004E34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AB" w:rsidRDefault="007C28DE" w:rsidP="005A1DA4">
    <w:pPr>
      <w:tabs>
        <w:tab w:val="center" w:pos="4536"/>
        <w:tab w:val="right" w:pos="9072"/>
      </w:tabs>
      <w:spacing w:after="0"/>
      <w:jc w:val="right"/>
    </w:pPr>
    <w:r>
      <w:rPr>
        <w:rFonts w:ascii="Arial" w:hAnsi="Arial"/>
        <w:noProof/>
        <w:sz w:val="12"/>
        <w:szCs w:val="24"/>
        <w:lang w:val="en-US" w:eastAsia="fr-FR"/>
      </w:rPr>
      <w:t>d</w:t>
    </w:r>
    <w:r w:rsidR="002F0DAB" w:rsidRPr="00066C0F">
      <w:rPr>
        <w:rFonts w:ascii="Arial" w:hAnsi="Arial"/>
        <w:noProof/>
        <w:sz w:val="12"/>
        <w:szCs w:val="24"/>
        <w:lang w:val="en-US" w:eastAsia="fr-FR"/>
      </w:rPr>
      <w:t>/adn_wp15_ac2_</w:t>
    </w:r>
    <w:r>
      <w:rPr>
        <w:rFonts w:ascii="Arial" w:hAnsi="Arial"/>
        <w:noProof/>
        <w:sz w:val="12"/>
        <w:szCs w:val="24"/>
        <w:lang w:val="en-US" w:eastAsia="fr-FR"/>
      </w:rPr>
      <w:t>27_inf_12de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AB" w:rsidRDefault="007C28DE" w:rsidP="005F4324">
    <w:pPr>
      <w:tabs>
        <w:tab w:val="center" w:pos="4536"/>
        <w:tab w:val="right" w:pos="9072"/>
      </w:tabs>
      <w:spacing w:after="0"/>
      <w:jc w:val="right"/>
    </w:pPr>
    <w:r>
      <w:rPr>
        <w:rFonts w:ascii="Arial" w:hAnsi="Arial"/>
        <w:noProof/>
        <w:sz w:val="12"/>
        <w:szCs w:val="24"/>
        <w:lang w:val="en-US" w:eastAsia="fr-FR"/>
      </w:rPr>
      <w:t>d</w:t>
    </w:r>
    <w:r w:rsidRPr="00066C0F">
      <w:rPr>
        <w:rFonts w:ascii="Arial" w:hAnsi="Arial"/>
        <w:noProof/>
        <w:sz w:val="12"/>
        <w:szCs w:val="24"/>
        <w:lang w:val="en-US" w:eastAsia="fr-FR"/>
      </w:rPr>
      <w:t>/adn_wp15_ac2_</w:t>
    </w:r>
    <w:r>
      <w:rPr>
        <w:rFonts w:ascii="Arial" w:hAnsi="Arial"/>
        <w:noProof/>
        <w:sz w:val="12"/>
        <w:szCs w:val="24"/>
        <w:lang w:val="en-US" w:eastAsia="fr-FR"/>
      </w:rPr>
      <w:t>27_inf_12de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DE" w:rsidRDefault="007C28DE" w:rsidP="007C28DE">
    <w:pPr>
      <w:pStyle w:val="Footer"/>
      <w:jc w:val="right"/>
    </w:pPr>
    <w:r>
      <w:rPr>
        <w:rFonts w:ascii="Arial" w:hAnsi="Arial"/>
        <w:noProof/>
        <w:sz w:val="12"/>
        <w:szCs w:val="24"/>
        <w:lang w:val="en-US" w:eastAsia="fr-FR"/>
      </w:rPr>
      <w:t>d</w:t>
    </w:r>
    <w:r w:rsidRPr="00066C0F">
      <w:rPr>
        <w:rFonts w:ascii="Arial" w:hAnsi="Arial"/>
        <w:noProof/>
        <w:sz w:val="12"/>
        <w:szCs w:val="24"/>
        <w:lang w:val="en-US" w:eastAsia="fr-FR"/>
      </w:rPr>
      <w:t>/adn_wp15_ac2_</w:t>
    </w:r>
    <w:r>
      <w:rPr>
        <w:rFonts w:ascii="Arial" w:hAnsi="Arial"/>
        <w:noProof/>
        <w:sz w:val="12"/>
        <w:szCs w:val="24"/>
        <w:lang w:val="en-US" w:eastAsia="fr-FR"/>
      </w:rPr>
      <w:t>27_inf_12de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67" w:rsidRDefault="004E3467">
      <w:pPr>
        <w:spacing w:after="0"/>
      </w:pPr>
      <w:r>
        <w:separator/>
      </w:r>
    </w:p>
  </w:footnote>
  <w:footnote w:type="continuationSeparator" w:id="0">
    <w:p w:rsidR="004E3467" w:rsidRDefault="004E3467">
      <w:pPr>
        <w:spacing w:after="0"/>
        <w:rPr>
          <w:u w:val="single"/>
        </w:rPr>
      </w:pPr>
      <w:r>
        <w:rPr>
          <w:u w:val="single"/>
        </w:rPr>
        <w:tab/>
      </w:r>
      <w:r>
        <w:rPr>
          <w:u w:val="single"/>
        </w:rPr>
        <w:tab/>
      </w:r>
      <w:r>
        <w:rPr>
          <w:u w:val="single"/>
        </w:rPr>
        <w:tab/>
      </w:r>
      <w:r>
        <w:rPr>
          <w:u w:val="single"/>
        </w:rPr>
        <w:tab/>
      </w:r>
    </w:p>
  </w:footnote>
  <w:footnote w:type="continuationNotice" w:id="1">
    <w:p w:rsidR="004E3467" w:rsidRDefault="004E3467">
      <w:pPr>
        <w:spacing w:after="0"/>
      </w:pPr>
    </w:p>
  </w:footnote>
  <w:footnote w:id="2">
    <w:p w:rsidR="00095C4F" w:rsidRPr="00095C4F" w:rsidRDefault="00095C4F" w:rsidP="00095C4F">
      <w:pPr>
        <w:pStyle w:val="FootnoteText"/>
        <w:ind w:left="284" w:hanging="284"/>
        <w:rPr>
          <w:lang w:val="de-DE"/>
        </w:rPr>
      </w:pPr>
      <w:r>
        <w:rPr>
          <w:rStyle w:val="FootnoteReference"/>
        </w:rPr>
        <w:footnoteRef/>
      </w:r>
      <w:r w:rsidRPr="00095C4F">
        <w:rPr>
          <w:lang w:val="de-DE"/>
        </w:rPr>
        <w:t xml:space="preserve"> </w:t>
      </w:r>
      <w:r w:rsidRPr="00095C4F">
        <w:rPr>
          <w:lang w:val="de-DE"/>
        </w:rPr>
        <w:tab/>
      </w:r>
      <w:r w:rsidRPr="00AE5B88">
        <w:rPr>
          <w:sz w:val="16"/>
          <w:szCs w:val="16"/>
          <w:lang w:val="de-DE"/>
        </w:rPr>
        <w:t>Von der UN-ECE in Englisch unter dem Aktenzeichen ECE/</w:t>
      </w:r>
      <w:r w:rsidRPr="00AE5B88">
        <w:rPr>
          <w:color w:val="000000"/>
          <w:sz w:val="16"/>
          <w:szCs w:val="16"/>
          <w:lang w:val="de-DE"/>
        </w:rPr>
        <w:t>TRANS/WP.15/AC.2/2</w:t>
      </w:r>
      <w:r>
        <w:rPr>
          <w:color w:val="000000"/>
          <w:sz w:val="16"/>
          <w:szCs w:val="16"/>
          <w:lang w:val="de-DE"/>
        </w:rPr>
        <w:t>7</w:t>
      </w:r>
      <w:r w:rsidRPr="00AE5B88">
        <w:rPr>
          <w:color w:val="000000"/>
          <w:sz w:val="16"/>
          <w:szCs w:val="16"/>
          <w:lang w:val="de-DE"/>
        </w:rPr>
        <w:t>/</w:t>
      </w:r>
      <w:r w:rsidRPr="007C28DE">
        <w:rPr>
          <w:color w:val="000000"/>
          <w:sz w:val="16"/>
          <w:szCs w:val="16"/>
          <w:lang w:val="de-DE"/>
        </w:rPr>
        <w:t>INF.1</w:t>
      </w:r>
      <w:r w:rsidR="007C28DE" w:rsidRPr="007C28DE">
        <w:rPr>
          <w:color w:val="000000"/>
          <w:sz w:val="16"/>
          <w:szCs w:val="16"/>
          <w:lang w:val="de-DE"/>
        </w:rPr>
        <w:t>2</w:t>
      </w:r>
      <w:r w:rsidRPr="007C28DE">
        <w:rPr>
          <w:sz w:val="16"/>
          <w:szCs w:val="16"/>
          <w:lang w:val="de-DE"/>
        </w:rPr>
        <w:t xml:space="preserve"> verteilt</w:t>
      </w:r>
      <w:r w:rsidRPr="00AE5B88">
        <w:rPr>
          <w:sz w:val="16"/>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AB" w:rsidRPr="005E450E" w:rsidRDefault="007C28DE" w:rsidP="000B697D">
    <w:pPr>
      <w:pStyle w:val="Header"/>
      <w:spacing w:after="0"/>
      <w:rPr>
        <w:rFonts w:ascii="Arial" w:hAnsi="Arial" w:cs="Arial"/>
        <w:sz w:val="16"/>
        <w:szCs w:val="16"/>
        <w:lang w:val="en-US"/>
      </w:rPr>
    </w:pPr>
    <w:r w:rsidRPr="007C28DE">
      <w:rPr>
        <w:rFonts w:ascii="Arial" w:hAnsi="Arial" w:cs="Arial"/>
        <w:sz w:val="16"/>
        <w:szCs w:val="16"/>
        <w:lang w:val="en-US"/>
      </w:rPr>
      <w:t>CCNR-ZKR/ADN/WP.15/AC.2/27/INF.12</w:t>
    </w:r>
  </w:p>
  <w:p w:rsidR="002F0DAB" w:rsidRPr="00226EA3" w:rsidRDefault="002F0DAB" w:rsidP="000B697D">
    <w:pPr>
      <w:pStyle w:val="Header"/>
      <w:spacing w:after="0"/>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0E71E4">
      <w:rPr>
        <w:rFonts w:ascii="Arial" w:hAnsi="Arial" w:cs="Arial"/>
        <w:noProof/>
        <w:sz w:val="16"/>
        <w:szCs w:val="16"/>
      </w:rPr>
      <w:t>2</w:t>
    </w:r>
    <w:r w:rsidRPr="00226EA3">
      <w:rPr>
        <w:rFonts w:ascii="Arial" w:hAnsi="Arial" w:cs="Arial"/>
        <w:sz w:val="16"/>
        <w:szCs w:val="16"/>
      </w:rPr>
      <w:fldChar w:fldCharType="end"/>
    </w:r>
  </w:p>
  <w:p w:rsidR="002F0DAB" w:rsidRPr="000B697D" w:rsidRDefault="002F0DAB" w:rsidP="000B6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AB" w:rsidRPr="005E450E" w:rsidRDefault="007C28DE" w:rsidP="00756996">
    <w:pPr>
      <w:pStyle w:val="Header"/>
      <w:spacing w:after="0"/>
      <w:jc w:val="right"/>
      <w:rPr>
        <w:rFonts w:ascii="Arial" w:hAnsi="Arial" w:cs="Arial"/>
        <w:sz w:val="16"/>
        <w:szCs w:val="16"/>
        <w:lang w:val="en-US"/>
      </w:rPr>
    </w:pPr>
    <w:r w:rsidRPr="007C28DE">
      <w:rPr>
        <w:rFonts w:ascii="Arial" w:hAnsi="Arial" w:cs="Arial"/>
        <w:sz w:val="16"/>
        <w:szCs w:val="16"/>
        <w:lang w:val="en-US"/>
      </w:rPr>
      <w:t>CCNR-ZKR/ADN/WP.15/AC.2/27/INF.12</w:t>
    </w:r>
  </w:p>
  <w:p w:rsidR="002F0DAB" w:rsidRPr="00226EA3" w:rsidRDefault="002F0DAB" w:rsidP="00756996">
    <w:pPr>
      <w:pStyle w:val="Header"/>
      <w:spacing w:after="0"/>
      <w:jc w:val="right"/>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0E71E4">
      <w:rPr>
        <w:rFonts w:ascii="Arial" w:hAnsi="Arial" w:cs="Arial"/>
        <w:noProof/>
        <w:sz w:val="16"/>
        <w:szCs w:val="16"/>
      </w:rPr>
      <w:t>13</w:t>
    </w:r>
    <w:r w:rsidRPr="00226EA3">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DE" w:rsidRDefault="007C28DE" w:rsidP="007C28DE">
    <w:pPr>
      <w:pStyle w:val="Header"/>
      <w:ind w:firstLine="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DE" w:rsidRPr="005E450E" w:rsidRDefault="007C28DE" w:rsidP="007C28DE">
    <w:pPr>
      <w:pStyle w:val="Header"/>
      <w:spacing w:after="0"/>
      <w:rPr>
        <w:rFonts w:ascii="Arial" w:hAnsi="Arial" w:cs="Arial"/>
        <w:sz w:val="16"/>
        <w:szCs w:val="16"/>
        <w:lang w:val="en-US"/>
      </w:rPr>
    </w:pPr>
    <w:r w:rsidRPr="007C28DE">
      <w:rPr>
        <w:rFonts w:ascii="Arial" w:hAnsi="Arial" w:cs="Arial"/>
        <w:sz w:val="16"/>
        <w:szCs w:val="16"/>
        <w:lang w:val="en-US"/>
      </w:rPr>
      <w:t>CCNR-ZKR/ADN/WP.15/AC.2/27/INF.12</w:t>
    </w:r>
  </w:p>
  <w:p w:rsidR="007C28DE" w:rsidRPr="00226EA3" w:rsidRDefault="007C28DE" w:rsidP="007C28DE">
    <w:pPr>
      <w:pStyle w:val="Header"/>
      <w:spacing w:after="0"/>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0E71E4">
      <w:rPr>
        <w:rFonts w:ascii="Arial" w:hAnsi="Arial" w:cs="Arial"/>
        <w:noProof/>
        <w:sz w:val="16"/>
        <w:szCs w:val="16"/>
      </w:rPr>
      <w:t>14</w:t>
    </w:r>
    <w:r w:rsidRPr="00226EA3">
      <w:rPr>
        <w:rFonts w:ascii="Arial" w:hAnsi="Arial" w:cs="Arial"/>
        <w:sz w:val="16"/>
        <w:szCs w:val="16"/>
      </w:rPr>
      <w:fldChar w:fldCharType="end"/>
    </w:r>
  </w:p>
  <w:p w:rsidR="007C28DE" w:rsidRDefault="007C28DE" w:rsidP="007C28DE">
    <w:pPr>
      <w:pStyle w:val="Heade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9">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3">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4">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
  </w:num>
  <w:num w:numId="2">
    <w:abstractNumId w:val="8"/>
  </w:num>
  <w:num w:numId="3">
    <w:abstractNumId w:val="3"/>
  </w:num>
  <w:num w:numId="4">
    <w:abstractNumId w:val="10"/>
  </w:num>
  <w:num w:numId="5">
    <w:abstractNumId w:val="0"/>
  </w:num>
  <w:num w:numId="6">
    <w:abstractNumId w:val="19"/>
  </w:num>
  <w:num w:numId="7">
    <w:abstractNumId w:val="15"/>
  </w:num>
  <w:num w:numId="8">
    <w:abstractNumId w:val="4"/>
  </w:num>
  <w:num w:numId="9">
    <w:abstractNumId w:val="5"/>
  </w:num>
  <w:num w:numId="10">
    <w:abstractNumId w:val="7"/>
  </w:num>
  <w:num w:numId="11">
    <w:abstractNumId w:val="11"/>
  </w:num>
  <w:num w:numId="12">
    <w:abstractNumId w:val="17"/>
  </w:num>
  <w:num w:numId="13">
    <w:abstractNumId w:val="1"/>
  </w:num>
  <w:num w:numId="14">
    <w:abstractNumId w:val="6"/>
  </w:num>
  <w:num w:numId="15">
    <w:abstractNumId w:val="14"/>
  </w:num>
  <w:num w:numId="16">
    <w:abstractNumId w:val="13"/>
  </w:num>
  <w:num w:numId="17">
    <w:abstractNumId w:val="2"/>
  </w:num>
  <w:num w:numId="18">
    <w:abstractNumId w:val="18"/>
  </w:num>
  <w:num w:numId="19">
    <w:abstractNumId w:val="16"/>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217BA"/>
    <w:rsid w:val="0002700B"/>
    <w:rsid w:val="0002723B"/>
    <w:rsid w:val="000366B7"/>
    <w:rsid w:val="00041312"/>
    <w:rsid w:val="0004300F"/>
    <w:rsid w:val="00044BFC"/>
    <w:rsid w:val="000500BF"/>
    <w:rsid w:val="00050114"/>
    <w:rsid w:val="000516AA"/>
    <w:rsid w:val="0005197F"/>
    <w:rsid w:val="00054A90"/>
    <w:rsid w:val="000558EB"/>
    <w:rsid w:val="0005758B"/>
    <w:rsid w:val="00057A93"/>
    <w:rsid w:val="00060CCD"/>
    <w:rsid w:val="00061AD3"/>
    <w:rsid w:val="000667CE"/>
    <w:rsid w:val="00067498"/>
    <w:rsid w:val="00067BD0"/>
    <w:rsid w:val="00070E56"/>
    <w:rsid w:val="00072140"/>
    <w:rsid w:val="00073EA8"/>
    <w:rsid w:val="00073FB6"/>
    <w:rsid w:val="0007426C"/>
    <w:rsid w:val="00077405"/>
    <w:rsid w:val="0008020B"/>
    <w:rsid w:val="00082E74"/>
    <w:rsid w:val="00093086"/>
    <w:rsid w:val="00095C4F"/>
    <w:rsid w:val="000A3277"/>
    <w:rsid w:val="000B1DCB"/>
    <w:rsid w:val="000B25D0"/>
    <w:rsid w:val="000B2FCE"/>
    <w:rsid w:val="000B360C"/>
    <w:rsid w:val="000B3F5E"/>
    <w:rsid w:val="000B697D"/>
    <w:rsid w:val="000C100E"/>
    <w:rsid w:val="000C120B"/>
    <w:rsid w:val="000C3D08"/>
    <w:rsid w:val="000C618B"/>
    <w:rsid w:val="000D3032"/>
    <w:rsid w:val="000D561F"/>
    <w:rsid w:val="000E06E4"/>
    <w:rsid w:val="000E5406"/>
    <w:rsid w:val="000E71CC"/>
    <w:rsid w:val="000E71E4"/>
    <w:rsid w:val="000F3B3B"/>
    <w:rsid w:val="000F574C"/>
    <w:rsid w:val="00106C1B"/>
    <w:rsid w:val="00107DFC"/>
    <w:rsid w:val="00111B8A"/>
    <w:rsid w:val="00114C05"/>
    <w:rsid w:val="00115689"/>
    <w:rsid w:val="001162B6"/>
    <w:rsid w:val="001168E3"/>
    <w:rsid w:val="0012049D"/>
    <w:rsid w:val="00122163"/>
    <w:rsid w:val="0012596F"/>
    <w:rsid w:val="001309F5"/>
    <w:rsid w:val="00131898"/>
    <w:rsid w:val="00131BD6"/>
    <w:rsid w:val="0013308C"/>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75D0"/>
    <w:rsid w:val="00171E75"/>
    <w:rsid w:val="00172BDF"/>
    <w:rsid w:val="00174FF1"/>
    <w:rsid w:val="001770A9"/>
    <w:rsid w:val="001811D0"/>
    <w:rsid w:val="001817AF"/>
    <w:rsid w:val="001824E1"/>
    <w:rsid w:val="001853A3"/>
    <w:rsid w:val="00186BF8"/>
    <w:rsid w:val="00186CCD"/>
    <w:rsid w:val="00192271"/>
    <w:rsid w:val="00192DC1"/>
    <w:rsid w:val="001A04FA"/>
    <w:rsid w:val="001A1361"/>
    <w:rsid w:val="001A6F70"/>
    <w:rsid w:val="001A705C"/>
    <w:rsid w:val="001B478E"/>
    <w:rsid w:val="001B57CF"/>
    <w:rsid w:val="001B731A"/>
    <w:rsid w:val="001C024F"/>
    <w:rsid w:val="001C43FA"/>
    <w:rsid w:val="001C6029"/>
    <w:rsid w:val="001F09CC"/>
    <w:rsid w:val="001F1079"/>
    <w:rsid w:val="001F1F05"/>
    <w:rsid w:val="001F42B0"/>
    <w:rsid w:val="001F4AD7"/>
    <w:rsid w:val="001F52BC"/>
    <w:rsid w:val="00201C24"/>
    <w:rsid w:val="00211CEC"/>
    <w:rsid w:val="00216D73"/>
    <w:rsid w:val="00222E79"/>
    <w:rsid w:val="00226EA3"/>
    <w:rsid w:val="00230BAD"/>
    <w:rsid w:val="0023654A"/>
    <w:rsid w:val="0024315A"/>
    <w:rsid w:val="00245760"/>
    <w:rsid w:val="00245CD7"/>
    <w:rsid w:val="002471F5"/>
    <w:rsid w:val="00252C35"/>
    <w:rsid w:val="00256038"/>
    <w:rsid w:val="00256BE9"/>
    <w:rsid w:val="002613AC"/>
    <w:rsid w:val="002725E1"/>
    <w:rsid w:val="00273048"/>
    <w:rsid w:val="00273ECF"/>
    <w:rsid w:val="0028124B"/>
    <w:rsid w:val="002850A9"/>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C34CD"/>
    <w:rsid w:val="002C63BE"/>
    <w:rsid w:val="002C7555"/>
    <w:rsid w:val="002C758C"/>
    <w:rsid w:val="002E12C4"/>
    <w:rsid w:val="002E1922"/>
    <w:rsid w:val="002E1B9C"/>
    <w:rsid w:val="002E274C"/>
    <w:rsid w:val="002E4C45"/>
    <w:rsid w:val="002E4E6B"/>
    <w:rsid w:val="002E5219"/>
    <w:rsid w:val="002E5FDC"/>
    <w:rsid w:val="002E62E4"/>
    <w:rsid w:val="002F0DAB"/>
    <w:rsid w:val="002F1015"/>
    <w:rsid w:val="002F2DBA"/>
    <w:rsid w:val="002F46DA"/>
    <w:rsid w:val="00301EB1"/>
    <w:rsid w:val="00303F98"/>
    <w:rsid w:val="003119F2"/>
    <w:rsid w:val="00311C72"/>
    <w:rsid w:val="0031257D"/>
    <w:rsid w:val="003146BA"/>
    <w:rsid w:val="00315C33"/>
    <w:rsid w:val="0031672F"/>
    <w:rsid w:val="0031701F"/>
    <w:rsid w:val="00321463"/>
    <w:rsid w:val="00321655"/>
    <w:rsid w:val="003241E3"/>
    <w:rsid w:val="00325611"/>
    <w:rsid w:val="0033076D"/>
    <w:rsid w:val="00333327"/>
    <w:rsid w:val="0033405A"/>
    <w:rsid w:val="003371B3"/>
    <w:rsid w:val="0034431A"/>
    <w:rsid w:val="0035078B"/>
    <w:rsid w:val="00352C95"/>
    <w:rsid w:val="00354FB0"/>
    <w:rsid w:val="00356BA4"/>
    <w:rsid w:val="00357395"/>
    <w:rsid w:val="00357FB2"/>
    <w:rsid w:val="00360A29"/>
    <w:rsid w:val="00361D58"/>
    <w:rsid w:val="00375625"/>
    <w:rsid w:val="00375E4E"/>
    <w:rsid w:val="003775F5"/>
    <w:rsid w:val="00377B53"/>
    <w:rsid w:val="00381EBE"/>
    <w:rsid w:val="00385969"/>
    <w:rsid w:val="00385C45"/>
    <w:rsid w:val="00385FB2"/>
    <w:rsid w:val="00387E5C"/>
    <w:rsid w:val="00391399"/>
    <w:rsid w:val="003913D5"/>
    <w:rsid w:val="003927D1"/>
    <w:rsid w:val="00392D80"/>
    <w:rsid w:val="0039615E"/>
    <w:rsid w:val="00396812"/>
    <w:rsid w:val="00396BD5"/>
    <w:rsid w:val="00396E3E"/>
    <w:rsid w:val="003A103A"/>
    <w:rsid w:val="003A2C42"/>
    <w:rsid w:val="003A410E"/>
    <w:rsid w:val="003A4137"/>
    <w:rsid w:val="003A5CB0"/>
    <w:rsid w:val="003A6B3B"/>
    <w:rsid w:val="003B2AD6"/>
    <w:rsid w:val="003B565E"/>
    <w:rsid w:val="003B5C47"/>
    <w:rsid w:val="003C1B4B"/>
    <w:rsid w:val="003C242B"/>
    <w:rsid w:val="003C2B9A"/>
    <w:rsid w:val="003D1551"/>
    <w:rsid w:val="003D1A3C"/>
    <w:rsid w:val="003D3C1B"/>
    <w:rsid w:val="003D3D3B"/>
    <w:rsid w:val="003D55E0"/>
    <w:rsid w:val="003D605F"/>
    <w:rsid w:val="003D6093"/>
    <w:rsid w:val="003E200E"/>
    <w:rsid w:val="003E2A6D"/>
    <w:rsid w:val="003E3EF1"/>
    <w:rsid w:val="003E4185"/>
    <w:rsid w:val="003E45A3"/>
    <w:rsid w:val="003E4D2B"/>
    <w:rsid w:val="003F1078"/>
    <w:rsid w:val="003F42D3"/>
    <w:rsid w:val="003F50EF"/>
    <w:rsid w:val="00400C64"/>
    <w:rsid w:val="00401556"/>
    <w:rsid w:val="004017B5"/>
    <w:rsid w:val="004047B2"/>
    <w:rsid w:val="00405582"/>
    <w:rsid w:val="00413D2B"/>
    <w:rsid w:val="0041550B"/>
    <w:rsid w:val="0041579A"/>
    <w:rsid w:val="00415FF4"/>
    <w:rsid w:val="0041778F"/>
    <w:rsid w:val="00424CC3"/>
    <w:rsid w:val="0042684E"/>
    <w:rsid w:val="004277C7"/>
    <w:rsid w:val="004320DB"/>
    <w:rsid w:val="00434780"/>
    <w:rsid w:val="00435FBA"/>
    <w:rsid w:val="00444CFD"/>
    <w:rsid w:val="00451F3B"/>
    <w:rsid w:val="00452288"/>
    <w:rsid w:val="004525D6"/>
    <w:rsid w:val="00453FF2"/>
    <w:rsid w:val="00464E2F"/>
    <w:rsid w:val="004669B8"/>
    <w:rsid w:val="00467EB8"/>
    <w:rsid w:val="00470EAF"/>
    <w:rsid w:val="00473011"/>
    <w:rsid w:val="00475CAE"/>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341"/>
    <w:rsid w:val="004B71E1"/>
    <w:rsid w:val="004C1A89"/>
    <w:rsid w:val="004C6E8E"/>
    <w:rsid w:val="004C730B"/>
    <w:rsid w:val="004C7D3E"/>
    <w:rsid w:val="004C7D6F"/>
    <w:rsid w:val="004D0ECF"/>
    <w:rsid w:val="004D17C6"/>
    <w:rsid w:val="004D290A"/>
    <w:rsid w:val="004D682A"/>
    <w:rsid w:val="004D6CE9"/>
    <w:rsid w:val="004E0C85"/>
    <w:rsid w:val="004E1CB7"/>
    <w:rsid w:val="004E3467"/>
    <w:rsid w:val="004E39CD"/>
    <w:rsid w:val="004E5AE9"/>
    <w:rsid w:val="004E609B"/>
    <w:rsid w:val="004F17AC"/>
    <w:rsid w:val="004F21B6"/>
    <w:rsid w:val="004F3218"/>
    <w:rsid w:val="004F669F"/>
    <w:rsid w:val="004F6F62"/>
    <w:rsid w:val="00504561"/>
    <w:rsid w:val="00506EDE"/>
    <w:rsid w:val="00510DAE"/>
    <w:rsid w:val="0051579D"/>
    <w:rsid w:val="00520195"/>
    <w:rsid w:val="0052062B"/>
    <w:rsid w:val="005206AB"/>
    <w:rsid w:val="005232E3"/>
    <w:rsid w:val="005241F0"/>
    <w:rsid w:val="00524311"/>
    <w:rsid w:val="00525173"/>
    <w:rsid w:val="00526388"/>
    <w:rsid w:val="005275C4"/>
    <w:rsid w:val="005302AD"/>
    <w:rsid w:val="0053272D"/>
    <w:rsid w:val="00532AFB"/>
    <w:rsid w:val="00532CD7"/>
    <w:rsid w:val="00534113"/>
    <w:rsid w:val="00534523"/>
    <w:rsid w:val="00550ADC"/>
    <w:rsid w:val="00550D9B"/>
    <w:rsid w:val="005525CA"/>
    <w:rsid w:val="00552F76"/>
    <w:rsid w:val="00556D9C"/>
    <w:rsid w:val="00557DAC"/>
    <w:rsid w:val="00561CA6"/>
    <w:rsid w:val="00562BC7"/>
    <w:rsid w:val="0056334B"/>
    <w:rsid w:val="00564D7E"/>
    <w:rsid w:val="005664DA"/>
    <w:rsid w:val="00571CD2"/>
    <w:rsid w:val="00574037"/>
    <w:rsid w:val="00574F1F"/>
    <w:rsid w:val="00576A92"/>
    <w:rsid w:val="00580650"/>
    <w:rsid w:val="0058091D"/>
    <w:rsid w:val="00584873"/>
    <w:rsid w:val="0058574D"/>
    <w:rsid w:val="00593BD5"/>
    <w:rsid w:val="005948EF"/>
    <w:rsid w:val="005962CC"/>
    <w:rsid w:val="005A02C4"/>
    <w:rsid w:val="005A0A89"/>
    <w:rsid w:val="005A1286"/>
    <w:rsid w:val="005A1DA4"/>
    <w:rsid w:val="005A24F3"/>
    <w:rsid w:val="005A5A3E"/>
    <w:rsid w:val="005A7D30"/>
    <w:rsid w:val="005A7E96"/>
    <w:rsid w:val="005B7895"/>
    <w:rsid w:val="005B7ABF"/>
    <w:rsid w:val="005C042B"/>
    <w:rsid w:val="005C16F4"/>
    <w:rsid w:val="005C1C48"/>
    <w:rsid w:val="005C4896"/>
    <w:rsid w:val="005C742B"/>
    <w:rsid w:val="005D10B8"/>
    <w:rsid w:val="005D1B6E"/>
    <w:rsid w:val="005D5010"/>
    <w:rsid w:val="005D7A3F"/>
    <w:rsid w:val="005E0960"/>
    <w:rsid w:val="005E0ABD"/>
    <w:rsid w:val="005E450E"/>
    <w:rsid w:val="005E4558"/>
    <w:rsid w:val="005F4324"/>
    <w:rsid w:val="005F49E4"/>
    <w:rsid w:val="005F5A66"/>
    <w:rsid w:val="005F6C6E"/>
    <w:rsid w:val="006010D9"/>
    <w:rsid w:val="00603538"/>
    <w:rsid w:val="006071ED"/>
    <w:rsid w:val="00607392"/>
    <w:rsid w:val="0061282B"/>
    <w:rsid w:val="00615BE1"/>
    <w:rsid w:val="00616DFD"/>
    <w:rsid w:val="006177D0"/>
    <w:rsid w:val="00617821"/>
    <w:rsid w:val="006215A8"/>
    <w:rsid w:val="00623737"/>
    <w:rsid w:val="006237A3"/>
    <w:rsid w:val="00624AF3"/>
    <w:rsid w:val="006254A7"/>
    <w:rsid w:val="00632B6A"/>
    <w:rsid w:val="0063521C"/>
    <w:rsid w:val="00636D08"/>
    <w:rsid w:val="006403C8"/>
    <w:rsid w:val="006415D0"/>
    <w:rsid w:val="006427B4"/>
    <w:rsid w:val="00642D96"/>
    <w:rsid w:val="00642FC8"/>
    <w:rsid w:val="0064425A"/>
    <w:rsid w:val="0064737B"/>
    <w:rsid w:val="00647AEE"/>
    <w:rsid w:val="00651653"/>
    <w:rsid w:val="006550C1"/>
    <w:rsid w:val="00670009"/>
    <w:rsid w:val="00670847"/>
    <w:rsid w:val="006710C1"/>
    <w:rsid w:val="00673E42"/>
    <w:rsid w:val="0068283F"/>
    <w:rsid w:val="00690ADA"/>
    <w:rsid w:val="00690BDD"/>
    <w:rsid w:val="006929E3"/>
    <w:rsid w:val="00695570"/>
    <w:rsid w:val="00697D8B"/>
    <w:rsid w:val="006A3505"/>
    <w:rsid w:val="006A37D9"/>
    <w:rsid w:val="006A583B"/>
    <w:rsid w:val="006A73B5"/>
    <w:rsid w:val="006A7803"/>
    <w:rsid w:val="006B3A28"/>
    <w:rsid w:val="006B409D"/>
    <w:rsid w:val="006B74E9"/>
    <w:rsid w:val="006B7CD6"/>
    <w:rsid w:val="006C78BD"/>
    <w:rsid w:val="006D1C95"/>
    <w:rsid w:val="006D4D40"/>
    <w:rsid w:val="006D6CC3"/>
    <w:rsid w:val="006E0282"/>
    <w:rsid w:val="006E2B98"/>
    <w:rsid w:val="006E4FB2"/>
    <w:rsid w:val="006E503C"/>
    <w:rsid w:val="006E5E0A"/>
    <w:rsid w:val="006E628C"/>
    <w:rsid w:val="006E6D0B"/>
    <w:rsid w:val="006F6522"/>
    <w:rsid w:val="00703983"/>
    <w:rsid w:val="00707151"/>
    <w:rsid w:val="007124FA"/>
    <w:rsid w:val="00713E8C"/>
    <w:rsid w:val="00714E16"/>
    <w:rsid w:val="00717656"/>
    <w:rsid w:val="007209DF"/>
    <w:rsid w:val="00720BC0"/>
    <w:rsid w:val="00721643"/>
    <w:rsid w:val="00723EB5"/>
    <w:rsid w:val="00723EE6"/>
    <w:rsid w:val="007242FE"/>
    <w:rsid w:val="007244CD"/>
    <w:rsid w:val="007249A6"/>
    <w:rsid w:val="0072642F"/>
    <w:rsid w:val="00730EC5"/>
    <w:rsid w:val="00732C7A"/>
    <w:rsid w:val="00736396"/>
    <w:rsid w:val="0073656A"/>
    <w:rsid w:val="00737F74"/>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A35AF"/>
    <w:rsid w:val="007B4161"/>
    <w:rsid w:val="007B42F6"/>
    <w:rsid w:val="007B5F64"/>
    <w:rsid w:val="007B6660"/>
    <w:rsid w:val="007C28DE"/>
    <w:rsid w:val="007C5820"/>
    <w:rsid w:val="007C68C9"/>
    <w:rsid w:val="007C76BD"/>
    <w:rsid w:val="007D10EE"/>
    <w:rsid w:val="007D479C"/>
    <w:rsid w:val="007D5C9D"/>
    <w:rsid w:val="007D75CB"/>
    <w:rsid w:val="007E3149"/>
    <w:rsid w:val="007E5972"/>
    <w:rsid w:val="007E68D0"/>
    <w:rsid w:val="00801740"/>
    <w:rsid w:val="0080210F"/>
    <w:rsid w:val="00805BE6"/>
    <w:rsid w:val="008103AD"/>
    <w:rsid w:val="008135B4"/>
    <w:rsid w:val="00813997"/>
    <w:rsid w:val="00815183"/>
    <w:rsid w:val="0081737D"/>
    <w:rsid w:val="0082034F"/>
    <w:rsid w:val="008210C8"/>
    <w:rsid w:val="0082209E"/>
    <w:rsid w:val="00822FA5"/>
    <w:rsid w:val="0082770C"/>
    <w:rsid w:val="00834E6B"/>
    <w:rsid w:val="00835CE3"/>
    <w:rsid w:val="00843972"/>
    <w:rsid w:val="008457DC"/>
    <w:rsid w:val="00845810"/>
    <w:rsid w:val="00845A5E"/>
    <w:rsid w:val="00845B47"/>
    <w:rsid w:val="008548F1"/>
    <w:rsid w:val="00854C16"/>
    <w:rsid w:val="008567CB"/>
    <w:rsid w:val="00861149"/>
    <w:rsid w:val="0086128F"/>
    <w:rsid w:val="008620F0"/>
    <w:rsid w:val="00862626"/>
    <w:rsid w:val="00871AE4"/>
    <w:rsid w:val="00871DCE"/>
    <w:rsid w:val="008757CE"/>
    <w:rsid w:val="00876E72"/>
    <w:rsid w:val="0087790A"/>
    <w:rsid w:val="008804A8"/>
    <w:rsid w:val="00881A3D"/>
    <w:rsid w:val="00893829"/>
    <w:rsid w:val="00896461"/>
    <w:rsid w:val="008966F8"/>
    <w:rsid w:val="00896B34"/>
    <w:rsid w:val="00897EC0"/>
    <w:rsid w:val="008A1E11"/>
    <w:rsid w:val="008A25B5"/>
    <w:rsid w:val="008A2AC3"/>
    <w:rsid w:val="008A67F3"/>
    <w:rsid w:val="008B2183"/>
    <w:rsid w:val="008B22A0"/>
    <w:rsid w:val="008B4377"/>
    <w:rsid w:val="008B5108"/>
    <w:rsid w:val="008B6991"/>
    <w:rsid w:val="008B793E"/>
    <w:rsid w:val="008C0126"/>
    <w:rsid w:val="008C1BEE"/>
    <w:rsid w:val="008C2DDB"/>
    <w:rsid w:val="008C36B5"/>
    <w:rsid w:val="008C659B"/>
    <w:rsid w:val="008D472C"/>
    <w:rsid w:val="008D659E"/>
    <w:rsid w:val="008E0593"/>
    <w:rsid w:val="008E133C"/>
    <w:rsid w:val="008F0210"/>
    <w:rsid w:val="008F3F20"/>
    <w:rsid w:val="008F3FEB"/>
    <w:rsid w:val="008F5EB6"/>
    <w:rsid w:val="008F602B"/>
    <w:rsid w:val="008F7A9D"/>
    <w:rsid w:val="008F7EF3"/>
    <w:rsid w:val="00905493"/>
    <w:rsid w:val="00907569"/>
    <w:rsid w:val="00907B4B"/>
    <w:rsid w:val="0091058F"/>
    <w:rsid w:val="0091229C"/>
    <w:rsid w:val="00912349"/>
    <w:rsid w:val="00916F16"/>
    <w:rsid w:val="00917269"/>
    <w:rsid w:val="009247F8"/>
    <w:rsid w:val="00924B83"/>
    <w:rsid w:val="009253F7"/>
    <w:rsid w:val="00926D80"/>
    <w:rsid w:val="00927375"/>
    <w:rsid w:val="009345A9"/>
    <w:rsid w:val="00934FDB"/>
    <w:rsid w:val="00937007"/>
    <w:rsid w:val="00941577"/>
    <w:rsid w:val="00942BC4"/>
    <w:rsid w:val="009468B6"/>
    <w:rsid w:val="0095070F"/>
    <w:rsid w:val="009523A3"/>
    <w:rsid w:val="00954489"/>
    <w:rsid w:val="00956CE2"/>
    <w:rsid w:val="00964AF5"/>
    <w:rsid w:val="00972D99"/>
    <w:rsid w:val="00977D9C"/>
    <w:rsid w:val="00980439"/>
    <w:rsid w:val="009818D4"/>
    <w:rsid w:val="00985482"/>
    <w:rsid w:val="009859C3"/>
    <w:rsid w:val="009875BF"/>
    <w:rsid w:val="00992861"/>
    <w:rsid w:val="00997398"/>
    <w:rsid w:val="009A1515"/>
    <w:rsid w:val="009A5195"/>
    <w:rsid w:val="009A65C7"/>
    <w:rsid w:val="009A72CF"/>
    <w:rsid w:val="009A7511"/>
    <w:rsid w:val="009B000B"/>
    <w:rsid w:val="009B4B28"/>
    <w:rsid w:val="009B6193"/>
    <w:rsid w:val="009C6A78"/>
    <w:rsid w:val="009D383D"/>
    <w:rsid w:val="009D6C0E"/>
    <w:rsid w:val="009E05E7"/>
    <w:rsid w:val="009E0D70"/>
    <w:rsid w:val="009F0F05"/>
    <w:rsid w:val="009F1136"/>
    <w:rsid w:val="009F5181"/>
    <w:rsid w:val="009F6412"/>
    <w:rsid w:val="009F7F4B"/>
    <w:rsid w:val="00A06582"/>
    <w:rsid w:val="00A0702A"/>
    <w:rsid w:val="00A115CD"/>
    <w:rsid w:val="00A12385"/>
    <w:rsid w:val="00A131F7"/>
    <w:rsid w:val="00A20B30"/>
    <w:rsid w:val="00A22B64"/>
    <w:rsid w:val="00A22E71"/>
    <w:rsid w:val="00A24DD5"/>
    <w:rsid w:val="00A25F3A"/>
    <w:rsid w:val="00A306F8"/>
    <w:rsid w:val="00A30A34"/>
    <w:rsid w:val="00A31158"/>
    <w:rsid w:val="00A407F3"/>
    <w:rsid w:val="00A426F2"/>
    <w:rsid w:val="00A472DE"/>
    <w:rsid w:val="00A52144"/>
    <w:rsid w:val="00A5282A"/>
    <w:rsid w:val="00A540B2"/>
    <w:rsid w:val="00A57B14"/>
    <w:rsid w:val="00A65A4D"/>
    <w:rsid w:val="00A70B19"/>
    <w:rsid w:val="00A72BED"/>
    <w:rsid w:val="00A73820"/>
    <w:rsid w:val="00A805E3"/>
    <w:rsid w:val="00A832D0"/>
    <w:rsid w:val="00A836B9"/>
    <w:rsid w:val="00A83CAE"/>
    <w:rsid w:val="00A84AB9"/>
    <w:rsid w:val="00A861EE"/>
    <w:rsid w:val="00A87795"/>
    <w:rsid w:val="00A909D8"/>
    <w:rsid w:val="00A94AB7"/>
    <w:rsid w:val="00AA0218"/>
    <w:rsid w:val="00AA3F46"/>
    <w:rsid w:val="00AB11CA"/>
    <w:rsid w:val="00AB4F31"/>
    <w:rsid w:val="00AB7E1A"/>
    <w:rsid w:val="00AC1BD0"/>
    <w:rsid w:val="00AC1DC6"/>
    <w:rsid w:val="00AC38B2"/>
    <w:rsid w:val="00AC3915"/>
    <w:rsid w:val="00AC3C04"/>
    <w:rsid w:val="00AC47E9"/>
    <w:rsid w:val="00AC4E86"/>
    <w:rsid w:val="00AC6E0C"/>
    <w:rsid w:val="00AD34EE"/>
    <w:rsid w:val="00AD41D1"/>
    <w:rsid w:val="00AD4555"/>
    <w:rsid w:val="00AD78EA"/>
    <w:rsid w:val="00AD798E"/>
    <w:rsid w:val="00AE3FD6"/>
    <w:rsid w:val="00AE4E31"/>
    <w:rsid w:val="00AF04CB"/>
    <w:rsid w:val="00AF1323"/>
    <w:rsid w:val="00AF2DFF"/>
    <w:rsid w:val="00AF42C7"/>
    <w:rsid w:val="00AF5664"/>
    <w:rsid w:val="00AF5CEB"/>
    <w:rsid w:val="00B0003E"/>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33376"/>
    <w:rsid w:val="00B342FC"/>
    <w:rsid w:val="00B34BCD"/>
    <w:rsid w:val="00B378C7"/>
    <w:rsid w:val="00B37EBC"/>
    <w:rsid w:val="00B4014B"/>
    <w:rsid w:val="00B417DF"/>
    <w:rsid w:val="00B44E07"/>
    <w:rsid w:val="00B46E1F"/>
    <w:rsid w:val="00B47455"/>
    <w:rsid w:val="00B47900"/>
    <w:rsid w:val="00B47EFD"/>
    <w:rsid w:val="00B5116B"/>
    <w:rsid w:val="00B526B0"/>
    <w:rsid w:val="00B543CF"/>
    <w:rsid w:val="00B55404"/>
    <w:rsid w:val="00B557B5"/>
    <w:rsid w:val="00B558A8"/>
    <w:rsid w:val="00B60E0C"/>
    <w:rsid w:val="00B619ED"/>
    <w:rsid w:val="00B61DDD"/>
    <w:rsid w:val="00B6534B"/>
    <w:rsid w:val="00B65E73"/>
    <w:rsid w:val="00B67C7E"/>
    <w:rsid w:val="00B71577"/>
    <w:rsid w:val="00B7519D"/>
    <w:rsid w:val="00B80C0A"/>
    <w:rsid w:val="00B82146"/>
    <w:rsid w:val="00B83142"/>
    <w:rsid w:val="00B946CB"/>
    <w:rsid w:val="00B94A4E"/>
    <w:rsid w:val="00B94D10"/>
    <w:rsid w:val="00B95A46"/>
    <w:rsid w:val="00BA5BE3"/>
    <w:rsid w:val="00BB27CA"/>
    <w:rsid w:val="00BB2C30"/>
    <w:rsid w:val="00BB3BBC"/>
    <w:rsid w:val="00BB3D14"/>
    <w:rsid w:val="00BB473A"/>
    <w:rsid w:val="00BB4FB3"/>
    <w:rsid w:val="00BB58FA"/>
    <w:rsid w:val="00BB6AED"/>
    <w:rsid w:val="00BB6AFD"/>
    <w:rsid w:val="00BC09EB"/>
    <w:rsid w:val="00BC4CA8"/>
    <w:rsid w:val="00BC51C3"/>
    <w:rsid w:val="00BD02CA"/>
    <w:rsid w:val="00BD16FE"/>
    <w:rsid w:val="00BD59DC"/>
    <w:rsid w:val="00BD6395"/>
    <w:rsid w:val="00BD7858"/>
    <w:rsid w:val="00BE2CDA"/>
    <w:rsid w:val="00BE349B"/>
    <w:rsid w:val="00BE4452"/>
    <w:rsid w:val="00BE4E88"/>
    <w:rsid w:val="00BE70A3"/>
    <w:rsid w:val="00C00BF4"/>
    <w:rsid w:val="00C03CFF"/>
    <w:rsid w:val="00C05571"/>
    <w:rsid w:val="00C06322"/>
    <w:rsid w:val="00C10EE6"/>
    <w:rsid w:val="00C11DFD"/>
    <w:rsid w:val="00C21497"/>
    <w:rsid w:val="00C223CA"/>
    <w:rsid w:val="00C24C14"/>
    <w:rsid w:val="00C317E6"/>
    <w:rsid w:val="00C33785"/>
    <w:rsid w:val="00C35588"/>
    <w:rsid w:val="00C36298"/>
    <w:rsid w:val="00C470CF"/>
    <w:rsid w:val="00C50CBF"/>
    <w:rsid w:val="00C51080"/>
    <w:rsid w:val="00C54F79"/>
    <w:rsid w:val="00C5649B"/>
    <w:rsid w:val="00C56BCF"/>
    <w:rsid w:val="00C57D9A"/>
    <w:rsid w:val="00C61221"/>
    <w:rsid w:val="00C63EA0"/>
    <w:rsid w:val="00C640EF"/>
    <w:rsid w:val="00C720F6"/>
    <w:rsid w:val="00C735E5"/>
    <w:rsid w:val="00C7413C"/>
    <w:rsid w:val="00C7477E"/>
    <w:rsid w:val="00C7481E"/>
    <w:rsid w:val="00C74837"/>
    <w:rsid w:val="00C75947"/>
    <w:rsid w:val="00C80727"/>
    <w:rsid w:val="00C867FC"/>
    <w:rsid w:val="00C90459"/>
    <w:rsid w:val="00C91506"/>
    <w:rsid w:val="00C95417"/>
    <w:rsid w:val="00CA1DEE"/>
    <w:rsid w:val="00CA47C6"/>
    <w:rsid w:val="00CA600E"/>
    <w:rsid w:val="00CB3E88"/>
    <w:rsid w:val="00CB427F"/>
    <w:rsid w:val="00CC29FA"/>
    <w:rsid w:val="00CC32DC"/>
    <w:rsid w:val="00CC43C2"/>
    <w:rsid w:val="00CD3889"/>
    <w:rsid w:val="00CD3B29"/>
    <w:rsid w:val="00CD4390"/>
    <w:rsid w:val="00CD4E5C"/>
    <w:rsid w:val="00CD63E6"/>
    <w:rsid w:val="00CD7D14"/>
    <w:rsid w:val="00CE118C"/>
    <w:rsid w:val="00CE2F6E"/>
    <w:rsid w:val="00CE4118"/>
    <w:rsid w:val="00CF3484"/>
    <w:rsid w:val="00CF34F4"/>
    <w:rsid w:val="00CF7145"/>
    <w:rsid w:val="00CF7E6C"/>
    <w:rsid w:val="00D05A59"/>
    <w:rsid w:val="00D1071A"/>
    <w:rsid w:val="00D16F47"/>
    <w:rsid w:val="00D23132"/>
    <w:rsid w:val="00D23770"/>
    <w:rsid w:val="00D25741"/>
    <w:rsid w:val="00D27EF4"/>
    <w:rsid w:val="00D30E38"/>
    <w:rsid w:val="00D31121"/>
    <w:rsid w:val="00D31EF3"/>
    <w:rsid w:val="00D32E7D"/>
    <w:rsid w:val="00D34DCA"/>
    <w:rsid w:val="00D36AF5"/>
    <w:rsid w:val="00D37349"/>
    <w:rsid w:val="00D40213"/>
    <w:rsid w:val="00D41287"/>
    <w:rsid w:val="00D41B8A"/>
    <w:rsid w:val="00D4210E"/>
    <w:rsid w:val="00D504FE"/>
    <w:rsid w:val="00D50501"/>
    <w:rsid w:val="00D510E4"/>
    <w:rsid w:val="00D518FB"/>
    <w:rsid w:val="00D529B9"/>
    <w:rsid w:val="00D52E86"/>
    <w:rsid w:val="00D602C6"/>
    <w:rsid w:val="00D67709"/>
    <w:rsid w:val="00D72B62"/>
    <w:rsid w:val="00D72D39"/>
    <w:rsid w:val="00D7392E"/>
    <w:rsid w:val="00D73AA1"/>
    <w:rsid w:val="00D742DF"/>
    <w:rsid w:val="00D77325"/>
    <w:rsid w:val="00D77430"/>
    <w:rsid w:val="00D77E63"/>
    <w:rsid w:val="00D82A95"/>
    <w:rsid w:val="00D832FF"/>
    <w:rsid w:val="00D84809"/>
    <w:rsid w:val="00D90476"/>
    <w:rsid w:val="00D91F4B"/>
    <w:rsid w:val="00D943B2"/>
    <w:rsid w:val="00D95313"/>
    <w:rsid w:val="00D97B6C"/>
    <w:rsid w:val="00DA2184"/>
    <w:rsid w:val="00DA2481"/>
    <w:rsid w:val="00DA54D4"/>
    <w:rsid w:val="00DA62CB"/>
    <w:rsid w:val="00DA7296"/>
    <w:rsid w:val="00DA7D19"/>
    <w:rsid w:val="00DB3A90"/>
    <w:rsid w:val="00DB3E85"/>
    <w:rsid w:val="00DB620A"/>
    <w:rsid w:val="00DD4465"/>
    <w:rsid w:val="00DE018E"/>
    <w:rsid w:val="00DE025E"/>
    <w:rsid w:val="00DE1210"/>
    <w:rsid w:val="00DF1938"/>
    <w:rsid w:val="00E00440"/>
    <w:rsid w:val="00E03D0D"/>
    <w:rsid w:val="00E158B0"/>
    <w:rsid w:val="00E22751"/>
    <w:rsid w:val="00E22CB6"/>
    <w:rsid w:val="00E23447"/>
    <w:rsid w:val="00E24726"/>
    <w:rsid w:val="00E255D2"/>
    <w:rsid w:val="00E279C8"/>
    <w:rsid w:val="00E27F28"/>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71080"/>
    <w:rsid w:val="00E73729"/>
    <w:rsid w:val="00E75272"/>
    <w:rsid w:val="00E84B69"/>
    <w:rsid w:val="00E869E9"/>
    <w:rsid w:val="00E93570"/>
    <w:rsid w:val="00E9539D"/>
    <w:rsid w:val="00E95B30"/>
    <w:rsid w:val="00E96CE0"/>
    <w:rsid w:val="00EA298E"/>
    <w:rsid w:val="00EA4020"/>
    <w:rsid w:val="00EA47D9"/>
    <w:rsid w:val="00EA6E57"/>
    <w:rsid w:val="00EA701B"/>
    <w:rsid w:val="00EB17CF"/>
    <w:rsid w:val="00EB4B80"/>
    <w:rsid w:val="00EB6CDE"/>
    <w:rsid w:val="00EC05C0"/>
    <w:rsid w:val="00EC296E"/>
    <w:rsid w:val="00ED6D59"/>
    <w:rsid w:val="00EE351C"/>
    <w:rsid w:val="00EE4F32"/>
    <w:rsid w:val="00EF5115"/>
    <w:rsid w:val="00EF771E"/>
    <w:rsid w:val="00F02045"/>
    <w:rsid w:val="00F03806"/>
    <w:rsid w:val="00F0659D"/>
    <w:rsid w:val="00F07C1A"/>
    <w:rsid w:val="00F1213F"/>
    <w:rsid w:val="00F122E2"/>
    <w:rsid w:val="00F13346"/>
    <w:rsid w:val="00F14F53"/>
    <w:rsid w:val="00F20225"/>
    <w:rsid w:val="00F2127E"/>
    <w:rsid w:val="00F253B3"/>
    <w:rsid w:val="00F26AD9"/>
    <w:rsid w:val="00F31F3A"/>
    <w:rsid w:val="00F34976"/>
    <w:rsid w:val="00F35183"/>
    <w:rsid w:val="00F379E8"/>
    <w:rsid w:val="00F4711A"/>
    <w:rsid w:val="00F532FA"/>
    <w:rsid w:val="00F53B0F"/>
    <w:rsid w:val="00F53F96"/>
    <w:rsid w:val="00F54000"/>
    <w:rsid w:val="00F56AB8"/>
    <w:rsid w:val="00F6259B"/>
    <w:rsid w:val="00F62CF1"/>
    <w:rsid w:val="00F63F69"/>
    <w:rsid w:val="00F64728"/>
    <w:rsid w:val="00F72932"/>
    <w:rsid w:val="00F773D1"/>
    <w:rsid w:val="00F822DF"/>
    <w:rsid w:val="00F82426"/>
    <w:rsid w:val="00F82632"/>
    <w:rsid w:val="00F82EE4"/>
    <w:rsid w:val="00F86C97"/>
    <w:rsid w:val="00F91B5E"/>
    <w:rsid w:val="00F925E6"/>
    <w:rsid w:val="00F92B25"/>
    <w:rsid w:val="00F94D1A"/>
    <w:rsid w:val="00F95C6C"/>
    <w:rsid w:val="00FA380B"/>
    <w:rsid w:val="00FA39DC"/>
    <w:rsid w:val="00FA6C64"/>
    <w:rsid w:val="00FA73EC"/>
    <w:rsid w:val="00FB1EA2"/>
    <w:rsid w:val="00FB6593"/>
    <w:rsid w:val="00FB65A3"/>
    <w:rsid w:val="00FC4613"/>
    <w:rsid w:val="00FC60ED"/>
    <w:rsid w:val="00FC6E22"/>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1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1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rsid w:val="00070E56"/>
    <w:pPr>
      <w:tabs>
        <w:tab w:val="left" w:pos="425"/>
        <w:tab w:val="left" w:pos="851"/>
        <w:tab w:val="left" w:pos="127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EB89-2F10-4DCC-8375-DE5D943E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1</TotalTime>
  <Pages>14</Pages>
  <Words>4682</Words>
  <Characters>26693</Characters>
  <Application>Microsoft Office Word</Application>
  <DocSecurity>0</DocSecurity>
  <Lines>222</Lines>
  <Paragraphs>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07</cp:lastModifiedBy>
  <cp:revision>2</cp:revision>
  <cp:lastPrinted>2013-06-06T14:15:00Z</cp:lastPrinted>
  <dcterms:created xsi:type="dcterms:W3CDTF">2015-08-03T08:25:00Z</dcterms:created>
  <dcterms:modified xsi:type="dcterms:W3CDTF">2015-08-03T08:25:00Z</dcterms:modified>
  <cp:category>20-4(b)</cp:category>
</cp:coreProperties>
</file>