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7A48FB">
            <w:bookmarkStart w:id="0" w:name="_GoBack"/>
            <w:bookmarkEnd w:id="0"/>
          </w:p>
        </w:tc>
        <w:tc>
          <w:tcPr>
            <w:tcW w:w="2268" w:type="dxa"/>
            <w:tcBorders>
              <w:bottom w:val="single" w:sz="4" w:space="0" w:color="auto"/>
            </w:tcBorders>
            <w:vAlign w:val="bottom"/>
          </w:tcPr>
          <w:p w:rsidR="00F35BAF" w:rsidRPr="00DB58B5" w:rsidRDefault="00F35BAF" w:rsidP="007A48FB">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94B85" w:rsidP="007A48FB">
            <w:pPr>
              <w:jc w:val="right"/>
            </w:pPr>
            <w:r w:rsidRPr="00C94B85">
              <w:rPr>
                <w:sz w:val="40"/>
              </w:rPr>
              <w:t>ECE</w:t>
            </w:r>
            <w:r>
              <w:t>/TRANS/WP.29/2015/57</w:t>
            </w:r>
          </w:p>
        </w:tc>
      </w:tr>
      <w:tr w:rsidR="00F35BAF" w:rsidRPr="00DB58B5" w:rsidTr="00FB7A55">
        <w:trPr>
          <w:trHeight w:hRule="exact" w:val="2835"/>
        </w:trPr>
        <w:tc>
          <w:tcPr>
            <w:tcW w:w="1276" w:type="dxa"/>
            <w:tcBorders>
              <w:top w:val="single" w:sz="4" w:space="0" w:color="auto"/>
              <w:bottom w:val="single" w:sz="12" w:space="0" w:color="auto"/>
            </w:tcBorders>
          </w:tcPr>
          <w:p w:rsidR="00F35BAF" w:rsidRPr="00DB58B5" w:rsidRDefault="00F35BAF" w:rsidP="007A48FB">
            <w:pPr>
              <w:spacing w:before="120"/>
              <w:jc w:val="center"/>
            </w:pPr>
            <w:r>
              <w:rPr>
                <w:noProof/>
                <w:lang w:val="en-GB" w:eastAsia="en-GB"/>
              </w:rPr>
              <w:drawing>
                <wp:inline distT="0" distB="0" distL="0" distR="0" wp14:anchorId="7E012C7C" wp14:editId="0E14954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7A48FB">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94B85" w:rsidP="007A48FB">
            <w:pPr>
              <w:spacing w:before="240"/>
            </w:pPr>
            <w:r>
              <w:t>Distr. générale</w:t>
            </w:r>
          </w:p>
          <w:p w:rsidR="00C94B85" w:rsidRDefault="00C94B85" w:rsidP="007A48FB">
            <w:pPr>
              <w:spacing w:line="240" w:lineRule="exact"/>
            </w:pPr>
            <w:r>
              <w:t>10 avril 2015</w:t>
            </w:r>
          </w:p>
          <w:p w:rsidR="00C94B85" w:rsidRDefault="00C94B85" w:rsidP="007A48FB">
            <w:pPr>
              <w:spacing w:line="240" w:lineRule="exact"/>
            </w:pPr>
            <w:r>
              <w:t>Français</w:t>
            </w:r>
          </w:p>
          <w:p w:rsidR="00C94B85" w:rsidRPr="00DB58B5" w:rsidRDefault="00C94B85" w:rsidP="007A48FB">
            <w:pPr>
              <w:spacing w:line="240" w:lineRule="exact"/>
            </w:pPr>
            <w:r>
              <w:t>Original: anglais</w:t>
            </w:r>
          </w:p>
        </w:tc>
      </w:tr>
    </w:tbl>
    <w:p w:rsidR="007F20FA" w:rsidRPr="000312C0" w:rsidRDefault="007F20FA" w:rsidP="007A48FB">
      <w:pPr>
        <w:spacing w:before="120"/>
        <w:rPr>
          <w:b/>
          <w:sz w:val="28"/>
          <w:szCs w:val="28"/>
        </w:rPr>
      </w:pPr>
      <w:r w:rsidRPr="000312C0">
        <w:rPr>
          <w:b/>
          <w:sz w:val="28"/>
          <w:szCs w:val="28"/>
        </w:rPr>
        <w:t>Commission économique pour l</w:t>
      </w:r>
      <w:r w:rsidR="00C94B85">
        <w:rPr>
          <w:b/>
          <w:sz w:val="28"/>
          <w:szCs w:val="28"/>
        </w:rPr>
        <w:t>’</w:t>
      </w:r>
      <w:r w:rsidRPr="000312C0">
        <w:rPr>
          <w:b/>
          <w:sz w:val="28"/>
          <w:szCs w:val="28"/>
        </w:rPr>
        <w:t>Europe</w:t>
      </w:r>
    </w:p>
    <w:p w:rsidR="007F20FA" w:rsidRDefault="007F20FA" w:rsidP="007A48FB">
      <w:pPr>
        <w:spacing w:before="120"/>
        <w:rPr>
          <w:sz w:val="28"/>
          <w:szCs w:val="28"/>
        </w:rPr>
      </w:pPr>
      <w:r w:rsidRPr="00685843">
        <w:rPr>
          <w:sz w:val="28"/>
          <w:szCs w:val="28"/>
        </w:rPr>
        <w:t>Comité des transports intérieurs</w:t>
      </w:r>
    </w:p>
    <w:p w:rsidR="00C94B85" w:rsidRPr="00E81B67" w:rsidRDefault="00C94B85" w:rsidP="007A48FB">
      <w:pPr>
        <w:kinsoku/>
        <w:overflowPunct/>
        <w:autoSpaceDE/>
        <w:autoSpaceDN/>
        <w:adjustRightInd/>
        <w:snapToGrid/>
        <w:spacing w:before="120"/>
        <w:rPr>
          <w:b/>
          <w:sz w:val="24"/>
          <w:szCs w:val="24"/>
        </w:rPr>
      </w:pPr>
      <w:r w:rsidRPr="00E81B67">
        <w:rPr>
          <w:b/>
          <w:sz w:val="24"/>
          <w:szCs w:val="24"/>
        </w:rPr>
        <w:t>Forum mondial de l’</w:t>
      </w:r>
      <w:r w:rsidR="006A146A" w:rsidRPr="00E81B67">
        <w:rPr>
          <w:b/>
          <w:sz w:val="24"/>
          <w:szCs w:val="24"/>
        </w:rPr>
        <w:t>harmonisation des Règlements</w:t>
      </w:r>
      <w:r w:rsidR="006A146A" w:rsidRPr="00E81B67">
        <w:rPr>
          <w:b/>
          <w:sz w:val="24"/>
          <w:szCs w:val="24"/>
        </w:rPr>
        <w:br/>
      </w:r>
      <w:r w:rsidRPr="00E81B67">
        <w:rPr>
          <w:b/>
          <w:sz w:val="24"/>
          <w:szCs w:val="24"/>
        </w:rPr>
        <w:t>concernant les véhicules</w:t>
      </w:r>
    </w:p>
    <w:p w:rsidR="00C94B85" w:rsidRPr="00C70577" w:rsidRDefault="00C94B85" w:rsidP="007A48FB">
      <w:pPr>
        <w:kinsoku/>
        <w:overflowPunct/>
        <w:autoSpaceDE/>
        <w:autoSpaceDN/>
        <w:adjustRightInd/>
        <w:snapToGrid/>
        <w:spacing w:before="120"/>
        <w:rPr>
          <w:b/>
          <w:szCs w:val="24"/>
        </w:rPr>
      </w:pPr>
      <w:r w:rsidRPr="00C70577">
        <w:rPr>
          <w:b/>
          <w:szCs w:val="24"/>
        </w:rPr>
        <w:t>166</w:t>
      </w:r>
      <w:r w:rsidRPr="00C70577">
        <w:rPr>
          <w:b/>
          <w:szCs w:val="24"/>
          <w:vertAlign w:val="superscript"/>
        </w:rPr>
        <w:t>e</w:t>
      </w:r>
      <w:r w:rsidRPr="00C70577">
        <w:rPr>
          <w:b/>
          <w:szCs w:val="24"/>
        </w:rPr>
        <w:t xml:space="preserve"> session</w:t>
      </w:r>
    </w:p>
    <w:p w:rsidR="00C94B85" w:rsidRPr="004D12A9" w:rsidRDefault="00C94B85" w:rsidP="007A48FB">
      <w:pPr>
        <w:kinsoku/>
        <w:overflowPunct/>
        <w:autoSpaceDE/>
        <w:autoSpaceDN/>
        <w:adjustRightInd/>
        <w:snapToGrid/>
        <w:rPr>
          <w:szCs w:val="24"/>
        </w:rPr>
      </w:pPr>
      <w:r w:rsidRPr="004D12A9">
        <w:rPr>
          <w:szCs w:val="24"/>
        </w:rPr>
        <w:t>Gen</w:t>
      </w:r>
      <w:r w:rsidRPr="0048541E">
        <w:rPr>
          <w:szCs w:val="24"/>
        </w:rPr>
        <w:t>ève</w:t>
      </w:r>
      <w:r>
        <w:rPr>
          <w:szCs w:val="24"/>
        </w:rPr>
        <w:t>, 23-26 </w:t>
      </w:r>
      <w:r w:rsidRPr="0048541E">
        <w:rPr>
          <w:szCs w:val="24"/>
        </w:rPr>
        <w:t xml:space="preserve">juin </w:t>
      </w:r>
      <w:r w:rsidRPr="004D12A9">
        <w:rPr>
          <w:szCs w:val="24"/>
        </w:rPr>
        <w:t>2015</w:t>
      </w:r>
    </w:p>
    <w:p w:rsidR="00C94B85" w:rsidRPr="004D12A9" w:rsidRDefault="00C94B85" w:rsidP="007A48FB">
      <w:pPr>
        <w:kinsoku/>
        <w:overflowPunct/>
        <w:autoSpaceDE/>
        <w:autoSpaceDN/>
        <w:adjustRightInd/>
        <w:snapToGrid/>
        <w:rPr>
          <w:szCs w:val="24"/>
        </w:rPr>
      </w:pPr>
      <w:r>
        <w:rPr>
          <w:szCs w:val="24"/>
        </w:rPr>
        <w:t>Point </w:t>
      </w:r>
      <w:r w:rsidRPr="004D12A9">
        <w:rPr>
          <w:szCs w:val="24"/>
        </w:rPr>
        <w:t xml:space="preserve">4.7.3 </w:t>
      </w:r>
      <w:r w:rsidRPr="0048541E">
        <w:rPr>
          <w:szCs w:val="24"/>
        </w:rPr>
        <w:t>de l</w:t>
      </w:r>
      <w:r>
        <w:rPr>
          <w:szCs w:val="24"/>
        </w:rPr>
        <w:t>’</w:t>
      </w:r>
      <w:r w:rsidRPr="0048541E">
        <w:rPr>
          <w:szCs w:val="24"/>
        </w:rPr>
        <w:t>ordre du jour provisoire</w:t>
      </w:r>
    </w:p>
    <w:p w:rsidR="00C94B85" w:rsidRPr="004D12A9" w:rsidRDefault="00C94B85" w:rsidP="007A48FB">
      <w:pPr>
        <w:kinsoku/>
        <w:overflowPunct/>
        <w:autoSpaceDE/>
        <w:autoSpaceDN/>
        <w:adjustRightInd/>
        <w:snapToGrid/>
        <w:rPr>
          <w:b/>
          <w:szCs w:val="24"/>
        </w:rPr>
      </w:pPr>
      <w:r w:rsidRPr="005A261F">
        <w:rPr>
          <w:b/>
          <w:szCs w:val="24"/>
        </w:rPr>
        <w:t>Accord de 1958: examen de projets d</w:t>
      </w:r>
      <w:r>
        <w:rPr>
          <w:b/>
          <w:szCs w:val="24"/>
        </w:rPr>
        <w:t>’amendements</w:t>
      </w:r>
      <w:r>
        <w:rPr>
          <w:b/>
          <w:szCs w:val="24"/>
        </w:rPr>
        <w:br/>
      </w:r>
      <w:r w:rsidRPr="005A261F">
        <w:rPr>
          <w:b/>
          <w:szCs w:val="24"/>
        </w:rPr>
        <w:t>à des Règlements</w:t>
      </w:r>
      <w:r>
        <w:rPr>
          <w:b/>
          <w:szCs w:val="24"/>
        </w:rPr>
        <w:t xml:space="preserve"> </w:t>
      </w:r>
      <w:r w:rsidRPr="005A261F">
        <w:rPr>
          <w:b/>
          <w:szCs w:val="24"/>
        </w:rPr>
        <w:t>existants,</w:t>
      </w:r>
      <w:r>
        <w:rPr>
          <w:b/>
          <w:szCs w:val="24"/>
        </w:rPr>
        <w:t xml:space="preserve"> </w:t>
      </w:r>
      <w:r w:rsidRPr="005A261F">
        <w:rPr>
          <w:b/>
          <w:szCs w:val="24"/>
        </w:rPr>
        <w:t xml:space="preserve">proposés par le GRPE </w:t>
      </w:r>
    </w:p>
    <w:p w:rsidR="00C94B85" w:rsidRPr="004D12A9" w:rsidRDefault="00C94B85" w:rsidP="007A48FB">
      <w:pPr>
        <w:pStyle w:val="HChG"/>
        <w:tabs>
          <w:tab w:val="clear" w:pos="851"/>
        </w:tabs>
      </w:pPr>
      <w:r w:rsidRPr="004D12A9">
        <w:tab/>
        <w:t>Propos</w:t>
      </w:r>
      <w:r w:rsidRPr="005A261F">
        <w:t xml:space="preserve">ition de </w:t>
      </w:r>
      <w:r>
        <w:t>complément </w:t>
      </w:r>
      <w:r w:rsidRPr="004D12A9">
        <w:t xml:space="preserve">1 </w:t>
      </w:r>
      <w:r>
        <w:t>à la série </w:t>
      </w:r>
      <w:r w:rsidRPr="004D12A9">
        <w:t>07</w:t>
      </w:r>
      <w:r w:rsidR="00434264">
        <w:t xml:space="preserve"> </w:t>
      </w:r>
      <w:r w:rsidRPr="005A261F">
        <w:t>d</w:t>
      </w:r>
      <w:r>
        <w:t>’</w:t>
      </w:r>
      <w:r w:rsidRPr="004D12A9">
        <w:t>amend</w:t>
      </w:r>
      <w:r w:rsidRPr="005A261F">
        <w:t>e</w:t>
      </w:r>
      <w:r w:rsidRPr="004D12A9">
        <w:t>ments</w:t>
      </w:r>
      <w:r>
        <w:t xml:space="preserve"> au </w:t>
      </w:r>
      <w:r w:rsidRPr="004D12A9">
        <w:t>R</w:t>
      </w:r>
      <w:r>
        <w:t>èglement n°</w:t>
      </w:r>
      <w:r w:rsidR="00434264">
        <w:t xml:space="preserve"> 83 </w:t>
      </w:r>
      <w:r w:rsidRPr="004D12A9">
        <w:t>(Émissions</w:t>
      </w:r>
      <w:r>
        <w:t xml:space="preserve"> des véhicules</w:t>
      </w:r>
      <w:r w:rsidR="00434264">
        <w:br/>
      </w:r>
      <w:r w:rsidRPr="005A261F">
        <w:t xml:space="preserve">des catégories </w:t>
      </w:r>
      <w:r w:rsidRPr="004D12A9">
        <w:t>M</w:t>
      </w:r>
      <w:r w:rsidRPr="004D12A9">
        <w:rPr>
          <w:vertAlign w:val="subscript"/>
        </w:rPr>
        <w:t>1</w:t>
      </w:r>
      <w:r w:rsidRPr="004D12A9">
        <w:t xml:space="preserve"> </w:t>
      </w:r>
      <w:r>
        <w:t xml:space="preserve">et </w:t>
      </w:r>
      <w:r w:rsidRPr="004D12A9">
        <w:t>N</w:t>
      </w:r>
      <w:r w:rsidRPr="004D12A9">
        <w:rPr>
          <w:vertAlign w:val="subscript"/>
        </w:rPr>
        <w:t>1</w:t>
      </w:r>
      <w:r w:rsidRPr="004D12A9">
        <w:t>)</w:t>
      </w:r>
    </w:p>
    <w:p w:rsidR="00C94B85" w:rsidRPr="004D12A9" w:rsidRDefault="00434264" w:rsidP="007A48FB">
      <w:pPr>
        <w:pStyle w:val="H1G"/>
        <w:tabs>
          <w:tab w:val="clear" w:pos="851"/>
        </w:tabs>
        <w:rPr>
          <w:szCs w:val="24"/>
        </w:rPr>
      </w:pPr>
      <w:r>
        <w:tab/>
      </w:r>
      <w:r w:rsidR="00C94B85" w:rsidRPr="005A261F">
        <w:t>Communication du Gr</w:t>
      </w:r>
      <w:r>
        <w:t>oupe de travail de la pollution</w:t>
      </w:r>
      <w:r>
        <w:br/>
      </w:r>
      <w:r w:rsidR="00C94B85" w:rsidRPr="005A261F">
        <w:t>et de l</w:t>
      </w:r>
      <w:r w:rsidR="00C94B85">
        <w:t>’</w:t>
      </w:r>
      <w:r w:rsidR="00C94B85" w:rsidRPr="005A261F">
        <w:t>énergie</w:t>
      </w:r>
      <w:r w:rsidR="00C94B85" w:rsidRPr="00C94B85">
        <w:rPr>
          <w:b w:val="0"/>
          <w:sz w:val="20"/>
        </w:rPr>
        <w:footnoteReference w:customMarkFollows="1" w:id="2"/>
        <w:t>*</w:t>
      </w:r>
    </w:p>
    <w:p w:rsidR="00C94B85" w:rsidRPr="004D12A9" w:rsidRDefault="00C94B85" w:rsidP="007A48FB">
      <w:pPr>
        <w:kinsoku/>
        <w:overflowPunct/>
        <w:autoSpaceDE/>
        <w:autoSpaceDN/>
        <w:adjustRightInd/>
        <w:snapToGrid/>
        <w:spacing w:after="120"/>
        <w:ind w:left="1134" w:right="1134" w:firstLine="567"/>
        <w:jc w:val="both"/>
        <w:rPr>
          <w:szCs w:val="24"/>
        </w:rPr>
      </w:pPr>
      <w:r w:rsidRPr="008E3548">
        <w:rPr>
          <w:szCs w:val="24"/>
        </w:rPr>
        <w:t>Le texte reproduit ci-après a été adopté par le Groupe de travail de la pollution et de l</w:t>
      </w:r>
      <w:r>
        <w:rPr>
          <w:szCs w:val="24"/>
        </w:rPr>
        <w:t>’</w:t>
      </w:r>
      <w:r w:rsidRPr="008E3548">
        <w:rPr>
          <w:szCs w:val="24"/>
        </w:rPr>
        <w:t>énergie (GRPE) à sa soixante-</w:t>
      </w:r>
      <w:r>
        <w:rPr>
          <w:szCs w:val="24"/>
        </w:rPr>
        <w:t xml:space="preserve">dixième </w:t>
      </w:r>
      <w:r w:rsidRPr="008E3548">
        <w:rPr>
          <w:szCs w:val="24"/>
        </w:rPr>
        <w:t>session</w:t>
      </w:r>
      <w:r>
        <w:rPr>
          <w:szCs w:val="24"/>
        </w:rPr>
        <w:t xml:space="preserve"> (ECE/TRANS/WP.29/GRPE/70, par. </w:t>
      </w:r>
      <w:r w:rsidRPr="004D12A9">
        <w:rPr>
          <w:szCs w:val="24"/>
        </w:rPr>
        <w:t>13)</w:t>
      </w:r>
      <w:r w:rsidRPr="004D12A9">
        <w:rPr>
          <w:szCs w:val="24"/>
          <w:lang w:eastAsia="it-IT"/>
        </w:rPr>
        <w:t xml:space="preserve">. </w:t>
      </w:r>
      <w:r w:rsidRPr="009C2200">
        <w:rPr>
          <w:szCs w:val="24"/>
          <w:lang w:eastAsia="it-IT"/>
        </w:rPr>
        <w:t>Il est fondé sur le</w:t>
      </w:r>
      <w:r>
        <w:rPr>
          <w:szCs w:val="24"/>
          <w:lang w:eastAsia="it-IT"/>
        </w:rPr>
        <w:t>s</w:t>
      </w:r>
      <w:r w:rsidRPr="009C2200">
        <w:rPr>
          <w:szCs w:val="24"/>
          <w:lang w:eastAsia="it-IT"/>
        </w:rPr>
        <w:t xml:space="preserve"> document</w:t>
      </w:r>
      <w:r>
        <w:rPr>
          <w:szCs w:val="24"/>
          <w:lang w:eastAsia="it-IT"/>
        </w:rPr>
        <w:t>s</w:t>
      </w:r>
      <w:r w:rsidRPr="009C2200">
        <w:rPr>
          <w:szCs w:val="24"/>
          <w:lang w:eastAsia="it-IT"/>
        </w:rPr>
        <w:t xml:space="preserve"> </w:t>
      </w:r>
      <w:r w:rsidRPr="004D12A9">
        <w:rPr>
          <w:bCs/>
          <w:szCs w:val="24"/>
        </w:rPr>
        <w:t>ECE/TRANS/WP.29/GRPE/2015/2</w:t>
      </w:r>
      <w:r w:rsidRPr="009C2200">
        <w:rPr>
          <w:bCs/>
          <w:szCs w:val="24"/>
        </w:rPr>
        <w:t xml:space="preserve"> tel que modifié par l</w:t>
      </w:r>
      <w:r>
        <w:rPr>
          <w:bCs/>
          <w:szCs w:val="24"/>
        </w:rPr>
        <w:t>’</w:t>
      </w:r>
      <w:r w:rsidRPr="009C2200">
        <w:rPr>
          <w:bCs/>
          <w:szCs w:val="24"/>
        </w:rPr>
        <w:t>a</w:t>
      </w:r>
      <w:r w:rsidRPr="004D12A9">
        <w:rPr>
          <w:bCs/>
          <w:szCs w:val="24"/>
        </w:rPr>
        <w:t>nnex</w:t>
      </w:r>
      <w:r w:rsidRPr="009C2200">
        <w:rPr>
          <w:bCs/>
          <w:szCs w:val="24"/>
        </w:rPr>
        <w:t>e</w:t>
      </w:r>
      <w:r>
        <w:rPr>
          <w:bCs/>
          <w:szCs w:val="24"/>
        </w:rPr>
        <w:t> </w:t>
      </w:r>
      <w:r w:rsidRPr="004D12A9">
        <w:rPr>
          <w:bCs/>
          <w:szCs w:val="24"/>
        </w:rPr>
        <w:t xml:space="preserve">VII </w:t>
      </w:r>
      <w:r>
        <w:rPr>
          <w:bCs/>
          <w:szCs w:val="24"/>
        </w:rPr>
        <w:t>du rapport</w:t>
      </w:r>
      <w:r w:rsidRPr="004D12A9">
        <w:rPr>
          <w:bCs/>
          <w:szCs w:val="24"/>
        </w:rPr>
        <w:t xml:space="preserve">, </w:t>
      </w:r>
      <w:r w:rsidRPr="004D12A9">
        <w:rPr>
          <w:szCs w:val="24"/>
        </w:rPr>
        <w:t>ECE/TRANS/WP.29/GRPE/2015/5</w:t>
      </w:r>
      <w:r w:rsidRPr="004D12A9">
        <w:rPr>
          <w:bCs/>
          <w:szCs w:val="24"/>
        </w:rPr>
        <w:t xml:space="preserve"> </w:t>
      </w:r>
      <w:r w:rsidRPr="009C2200">
        <w:rPr>
          <w:bCs/>
          <w:szCs w:val="24"/>
        </w:rPr>
        <w:t>tel que modifié par l</w:t>
      </w:r>
      <w:r>
        <w:rPr>
          <w:bCs/>
          <w:szCs w:val="24"/>
        </w:rPr>
        <w:t>’</w:t>
      </w:r>
      <w:r w:rsidRPr="009C2200">
        <w:rPr>
          <w:bCs/>
          <w:szCs w:val="24"/>
        </w:rPr>
        <w:t>annexe</w:t>
      </w:r>
      <w:r w:rsidR="00E81B67">
        <w:rPr>
          <w:bCs/>
          <w:szCs w:val="24"/>
        </w:rPr>
        <w:t> </w:t>
      </w:r>
      <w:r w:rsidRPr="004D12A9">
        <w:rPr>
          <w:bCs/>
          <w:szCs w:val="24"/>
        </w:rPr>
        <w:t xml:space="preserve">IV </w:t>
      </w:r>
      <w:r>
        <w:rPr>
          <w:bCs/>
          <w:szCs w:val="24"/>
        </w:rPr>
        <w:t xml:space="preserve">du rapport et </w:t>
      </w:r>
      <w:r w:rsidRPr="004D12A9">
        <w:rPr>
          <w:szCs w:val="24"/>
        </w:rPr>
        <w:t>ECE/TRANS/WP.29/GRPE/2015/8.</w:t>
      </w:r>
      <w:r>
        <w:rPr>
          <w:szCs w:val="24"/>
        </w:rPr>
        <w:t xml:space="preserve"> Il </w:t>
      </w:r>
      <w:r w:rsidRPr="009C2200">
        <w:rPr>
          <w:szCs w:val="24"/>
        </w:rPr>
        <w:t>est soumis au Forum mondial de l</w:t>
      </w:r>
      <w:r>
        <w:rPr>
          <w:szCs w:val="24"/>
        </w:rPr>
        <w:t>’</w:t>
      </w:r>
      <w:r w:rsidRPr="009C2200">
        <w:rPr>
          <w:szCs w:val="24"/>
        </w:rPr>
        <w:t xml:space="preserve">harmonisation des Règlements concernant les véhicules (WP.29) et au Comité </w:t>
      </w:r>
      <w:r>
        <w:rPr>
          <w:szCs w:val="24"/>
        </w:rPr>
        <w:t xml:space="preserve">de gestion </w:t>
      </w:r>
      <w:r w:rsidRPr="009C2200">
        <w:rPr>
          <w:szCs w:val="24"/>
        </w:rPr>
        <w:t>(AC.3) pour examen</w:t>
      </w:r>
      <w:r>
        <w:rPr>
          <w:szCs w:val="24"/>
        </w:rPr>
        <w:t xml:space="preserve"> à sa session de juin </w:t>
      </w:r>
      <w:r w:rsidRPr="004D12A9">
        <w:rPr>
          <w:szCs w:val="24"/>
        </w:rPr>
        <w:t>2015.</w:t>
      </w:r>
    </w:p>
    <w:p w:rsidR="00C94B85" w:rsidRPr="004D12A9" w:rsidRDefault="00C94B85" w:rsidP="007A48FB">
      <w:pPr>
        <w:kinsoku/>
        <w:overflowPunct/>
        <w:autoSpaceDE/>
        <w:autoSpaceDN/>
        <w:adjustRightInd/>
        <w:snapToGrid/>
        <w:spacing w:after="120"/>
        <w:ind w:left="1134" w:right="1134"/>
        <w:jc w:val="both"/>
        <w:rPr>
          <w:noProof/>
          <w:szCs w:val="24"/>
        </w:rPr>
      </w:pPr>
      <w:r w:rsidRPr="004D12A9">
        <w:rPr>
          <w:rFonts w:eastAsia="MS Gothic"/>
          <w:i/>
        </w:rPr>
        <w:br w:type="page"/>
      </w:r>
      <w:r w:rsidRPr="00FD193A">
        <w:rPr>
          <w:i/>
          <w:noProof/>
          <w:szCs w:val="24"/>
        </w:rPr>
        <w:lastRenderedPageBreak/>
        <w:t>Paragraphe</w:t>
      </w:r>
      <w:r>
        <w:rPr>
          <w:i/>
          <w:noProof/>
          <w:szCs w:val="24"/>
        </w:rPr>
        <w:t> </w:t>
      </w:r>
      <w:r w:rsidRPr="004D12A9">
        <w:rPr>
          <w:i/>
          <w:noProof/>
          <w:szCs w:val="24"/>
        </w:rPr>
        <w:t>2.26</w:t>
      </w:r>
      <w:r w:rsidRPr="00C94B85">
        <w:t>,</w:t>
      </w:r>
      <w:r w:rsidRPr="004D12A9">
        <w:rPr>
          <w:i/>
          <w:noProof/>
          <w:szCs w:val="24"/>
        </w:rPr>
        <w:t xml:space="preserve"> </w:t>
      </w:r>
      <w:r w:rsidRPr="00FD193A">
        <w:rPr>
          <w:noProof/>
          <w:szCs w:val="24"/>
        </w:rPr>
        <w:t>supprimer</w:t>
      </w:r>
    </w:p>
    <w:p w:rsidR="00C94B85" w:rsidRPr="004D12A9" w:rsidRDefault="00C94B85" w:rsidP="007A48FB">
      <w:pPr>
        <w:kinsoku/>
        <w:overflowPunct/>
        <w:autoSpaceDE/>
        <w:autoSpaceDN/>
        <w:adjustRightInd/>
        <w:snapToGrid/>
        <w:spacing w:after="120"/>
        <w:ind w:left="1134" w:right="1134"/>
        <w:jc w:val="both"/>
        <w:rPr>
          <w:rFonts w:eastAsia="MS Gothic"/>
          <w:i/>
          <w:szCs w:val="24"/>
        </w:rPr>
      </w:pPr>
      <w:r>
        <w:rPr>
          <w:i/>
          <w:noProof/>
          <w:szCs w:val="24"/>
        </w:rPr>
        <w:t xml:space="preserve">Note 3 au bas de la </w:t>
      </w:r>
      <w:r w:rsidRPr="004D12A9">
        <w:rPr>
          <w:i/>
          <w:noProof/>
          <w:szCs w:val="24"/>
        </w:rPr>
        <w:t>page 6</w:t>
      </w:r>
      <w:r w:rsidRPr="00C94B85">
        <w:t>,</w:t>
      </w:r>
      <w:r w:rsidRPr="004D12A9">
        <w:rPr>
          <w:noProof/>
          <w:szCs w:val="24"/>
        </w:rPr>
        <w:t xml:space="preserve"> </w:t>
      </w:r>
      <w:r w:rsidRPr="00FD193A">
        <w:rPr>
          <w:noProof/>
          <w:szCs w:val="24"/>
        </w:rPr>
        <w:t>supprimer</w:t>
      </w:r>
      <w:r w:rsidR="00A706F4">
        <w:rPr>
          <w:noProof/>
          <w:szCs w:val="24"/>
        </w:rPr>
        <w:t>.</w:t>
      </w:r>
    </w:p>
    <w:p w:rsidR="00C94B85" w:rsidRPr="00C70577" w:rsidRDefault="00225810" w:rsidP="007A48FB">
      <w:pPr>
        <w:kinsoku/>
        <w:overflowPunct/>
        <w:autoSpaceDE/>
        <w:autoSpaceDN/>
        <w:adjustRightInd/>
        <w:snapToGrid/>
        <w:spacing w:after="120"/>
        <w:ind w:left="1134" w:right="1134"/>
        <w:jc w:val="both"/>
        <w:rPr>
          <w:szCs w:val="24"/>
        </w:rPr>
      </w:pPr>
      <w:r>
        <w:rPr>
          <w:i/>
          <w:szCs w:val="24"/>
        </w:rPr>
        <w:t>Paragraphe </w:t>
      </w:r>
      <w:r w:rsidR="00C94B85" w:rsidRPr="00C70577">
        <w:rPr>
          <w:i/>
          <w:szCs w:val="24"/>
        </w:rPr>
        <w:t>12.1.2</w:t>
      </w:r>
      <w:r w:rsidR="00C94B85" w:rsidRPr="00C94B85">
        <w:t>,</w:t>
      </w:r>
      <w:r w:rsidR="00C94B85" w:rsidRPr="00C70577">
        <w:rPr>
          <w:szCs w:val="24"/>
        </w:rPr>
        <w:t xml:space="preserve"> supprimer</w:t>
      </w:r>
      <w:r w:rsidR="00A706F4">
        <w:rPr>
          <w:szCs w:val="24"/>
        </w:rPr>
        <w:t>.</w:t>
      </w:r>
    </w:p>
    <w:p w:rsidR="00C94B85" w:rsidRPr="004D12A9" w:rsidRDefault="00C94B85" w:rsidP="007A48FB">
      <w:pPr>
        <w:kinsoku/>
        <w:overflowPunct/>
        <w:autoSpaceDE/>
        <w:autoSpaceDN/>
        <w:adjustRightInd/>
        <w:snapToGrid/>
        <w:spacing w:after="120"/>
        <w:ind w:left="1134" w:right="1134"/>
        <w:jc w:val="both"/>
        <w:rPr>
          <w:szCs w:val="24"/>
        </w:rPr>
      </w:pPr>
      <w:r w:rsidRPr="00674814">
        <w:rPr>
          <w:i/>
          <w:szCs w:val="24"/>
        </w:rPr>
        <w:t>Paragraphe</w:t>
      </w:r>
      <w:r w:rsidR="00225810">
        <w:rPr>
          <w:i/>
          <w:szCs w:val="24"/>
        </w:rPr>
        <w:t> </w:t>
      </w:r>
      <w:r w:rsidRPr="004D12A9">
        <w:rPr>
          <w:i/>
          <w:szCs w:val="24"/>
        </w:rPr>
        <w:t>12.2</w:t>
      </w:r>
      <w:r w:rsidRPr="00C94B85">
        <w:t xml:space="preserve">, </w:t>
      </w:r>
      <w:r w:rsidRPr="00674814">
        <w:rPr>
          <w:szCs w:val="24"/>
        </w:rPr>
        <w:t>modifier comme suit</w:t>
      </w:r>
      <w:r w:rsidRPr="004D12A9">
        <w:rPr>
          <w:szCs w:val="24"/>
        </w:rPr>
        <w:t>:</w:t>
      </w:r>
    </w:p>
    <w:p w:rsidR="00C94B85" w:rsidRPr="004D12A9" w:rsidRDefault="00C94B85" w:rsidP="007A48FB">
      <w:pPr>
        <w:kinsoku/>
        <w:overflowPunct/>
        <w:autoSpaceDE/>
        <w:autoSpaceDN/>
        <w:adjustRightInd/>
        <w:snapToGrid/>
        <w:spacing w:after="120"/>
        <w:ind w:left="1134" w:right="1134"/>
        <w:jc w:val="both"/>
        <w:rPr>
          <w:i/>
          <w:szCs w:val="24"/>
        </w:rPr>
      </w:pPr>
      <w:r>
        <w:rPr>
          <w:szCs w:val="24"/>
        </w:rPr>
        <w:t>«</w:t>
      </w:r>
      <w:r w:rsidRPr="00674814">
        <w:rPr>
          <w:szCs w:val="24"/>
        </w:rPr>
        <w:t>12.2</w:t>
      </w:r>
      <w:r w:rsidRPr="004D12A9">
        <w:rPr>
          <w:szCs w:val="24"/>
        </w:rPr>
        <w:t xml:space="preserve"> </w:t>
      </w:r>
      <w:r w:rsidRPr="004D12A9">
        <w:rPr>
          <w:szCs w:val="24"/>
        </w:rPr>
        <w:tab/>
      </w:r>
      <w:r w:rsidRPr="004D12A9">
        <w:rPr>
          <w:szCs w:val="24"/>
        </w:rPr>
        <w:tab/>
      </w:r>
      <w:r>
        <w:rPr>
          <w:szCs w:val="24"/>
        </w:rPr>
        <w:t>H</w:t>
      </w:r>
      <w:r w:rsidRPr="00A04250">
        <w:rPr>
          <w:szCs w:val="24"/>
        </w:rPr>
        <w:t>omologations de type</w:t>
      </w:r>
      <w:r>
        <w:rPr>
          <w:szCs w:val="24"/>
        </w:rPr>
        <w:t>».</w:t>
      </w:r>
    </w:p>
    <w:p w:rsidR="00C94B85" w:rsidRPr="004D12A9" w:rsidRDefault="00C94B85" w:rsidP="007A48FB">
      <w:pPr>
        <w:kinsoku/>
        <w:overflowPunct/>
        <w:autoSpaceDE/>
        <w:autoSpaceDN/>
        <w:adjustRightInd/>
        <w:snapToGrid/>
        <w:spacing w:after="120"/>
        <w:ind w:left="2268" w:right="1134" w:hanging="1134"/>
        <w:jc w:val="both"/>
        <w:rPr>
          <w:szCs w:val="24"/>
        </w:rPr>
      </w:pPr>
      <w:r w:rsidRPr="00674814">
        <w:rPr>
          <w:i/>
          <w:iCs/>
          <w:szCs w:val="24"/>
        </w:rPr>
        <w:t>Paragraphe</w:t>
      </w:r>
      <w:r>
        <w:rPr>
          <w:i/>
          <w:iCs/>
          <w:szCs w:val="24"/>
        </w:rPr>
        <w:t> </w:t>
      </w:r>
      <w:r w:rsidRPr="004D12A9">
        <w:rPr>
          <w:i/>
          <w:iCs/>
          <w:szCs w:val="24"/>
        </w:rPr>
        <w:t>12.2.1</w:t>
      </w:r>
      <w:r w:rsidRPr="00C94B85">
        <w:t>,</w:t>
      </w:r>
      <w:r w:rsidRPr="004D12A9">
        <w:rPr>
          <w:szCs w:val="24"/>
        </w:rPr>
        <w:t xml:space="preserve"> </w:t>
      </w:r>
      <w:r w:rsidRPr="00674814">
        <w:rPr>
          <w:szCs w:val="24"/>
        </w:rPr>
        <w:t>modifier comme suit</w:t>
      </w:r>
      <w:r w:rsidRPr="004D12A9">
        <w:rPr>
          <w:szCs w:val="24"/>
        </w:rPr>
        <w:t>:</w:t>
      </w:r>
    </w:p>
    <w:p w:rsidR="00C94B85" w:rsidRDefault="00C94B85" w:rsidP="007A48FB">
      <w:pPr>
        <w:kinsoku/>
        <w:overflowPunct/>
        <w:autoSpaceDE/>
        <w:autoSpaceDN/>
        <w:adjustRightInd/>
        <w:snapToGrid/>
        <w:spacing w:after="120"/>
        <w:ind w:left="2268" w:right="1134" w:hanging="1134"/>
        <w:jc w:val="both"/>
        <w:rPr>
          <w:szCs w:val="24"/>
          <w:vertAlign w:val="subscript"/>
        </w:rPr>
      </w:pPr>
      <w:r>
        <w:rPr>
          <w:szCs w:val="24"/>
        </w:rPr>
        <w:t>«</w:t>
      </w:r>
      <w:r w:rsidRPr="00C70577">
        <w:rPr>
          <w:szCs w:val="24"/>
        </w:rPr>
        <w:t>12.2.1.</w:t>
      </w:r>
      <w:r w:rsidRPr="00C70577">
        <w:rPr>
          <w:szCs w:val="24"/>
        </w:rPr>
        <w:tab/>
      </w:r>
      <w:r w:rsidRPr="00A04250">
        <w:t>À compter de la date officielle d</w:t>
      </w:r>
      <w:r>
        <w:t>’entrée en vigueur de la série </w:t>
      </w:r>
      <w:r w:rsidRPr="00A04250">
        <w:t>07 d</w:t>
      </w:r>
      <w:r>
        <w:t>’</w:t>
      </w:r>
      <w:r w:rsidRPr="00A04250">
        <w:t>amendements po</w:t>
      </w:r>
      <w:r>
        <w:t>ur les véhicules des catégories </w:t>
      </w:r>
      <w:r w:rsidRPr="004D12A9">
        <w:rPr>
          <w:szCs w:val="24"/>
        </w:rPr>
        <w:t>M o</w:t>
      </w:r>
      <w:r w:rsidRPr="00A04250">
        <w:rPr>
          <w:szCs w:val="24"/>
        </w:rPr>
        <w:t>u</w:t>
      </w:r>
      <w:r>
        <w:rPr>
          <w:szCs w:val="24"/>
        </w:rPr>
        <w:t> </w:t>
      </w:r>
      <w:r w:rsidRPr="004D12A9">
        <w:rPr>
          <w:szCs w:val="24"/>
        </w:rPr>
        <w:t>N</w:t>
      </w:r>
      <w:r w:rsidRPr="004D12A9">
        <w:rPr>
          <w:szCs w:val="24"/>
          <w:vertAlign w:val="subscript"/>
        </w:rPr>
        <w:t>1</w:t>
      </w:r>
      <w:r w:rsidRPr="004D12A9">
        <w:rPr>
          <w:szCs w:val="24"/>
        </w:rPr>
        <w:t xml:space="preserve"> (</w:t>
      </w:r>
      <w:r>
        <w:rPr>
          <w:szCs w:val="24"/>
        </w:rPr>
        <w:t>c</w:t>
      </w:r>
      <w:r w:rsidRPr="004D12A9">
        <w:rPr>
          <w:szCs w:val="24"/>
        </w:rPr>
        <w:t>lass</w:t>
      </w:r>
      <w:r w:rsidRPr="00A04250">
        <w:rPr>
          <w:szCs w:val="24"/>
        </w:rPr>
        <w:t>e</w:t>
      </w:r>
      <w:r>
        <w:rPr>
          <w:szCs w:val="24"/>
        </w:rPr>
        <w:t> </w:t>
      </w:r>
      <w:r w:rsidRPr="004D12A9">
        <w:rPr>
          <w:szCs w:val="24"/>
        </w:rPr>
        <w:t xml:space="preserve">I) </w:t>
      </w:r>
      <w:r w:rsidRPr="00A04250">
        <w:rPr>
          <w:szCs w:val="24"/>
        </w:rPr>
        <w:t>et du 1</w:t>
      </w:r>
      <w:r w:rsidRPr="0040289E">
        <w:rPr>
          <w:szCs w:val="24"/>
          <w:vertAlign w:val="superscript"/>
        </w:rPr>
        <w:t>er</w:t>
      </w:r>
      <w:r>
        <w:rPr>
          <w:szCs w:val="24"/>
        </w:rPr>
        <w:t> </w:t>
      </w:r>
      <w:r w:rsidRPr="00A04250">
        <w:rPr>
          <w:szCs w:val="24"/>
        </w:rPr>
        <w:t xml:space="preserve">septembre </w:t>
      </w:r>
      <w:r w:rsidRPr="004D12A9">
        <w:rPr>
          <w:szCs w:val="24"/>
        </w:rPr>
        <w:t>2015</w:t>
      </w:r>
      <w:r w:rsidRPr="00A04250">
        <w:rPr>
          <w:szCs w:val="24"/>
        </w:rPr>
        <w:t xml:space="preserve"> pour l</w:t>
      </w:r>
      <w:r w:rsidRPr="00A04250">
        <w:t>es véhicules de</w:t>
      </w:r>
      <w:r>
        <w:t xml:space="preserve"> la</w:t>
      </w:r>
      <w:r w:rsidR="00A706F4">
        <w:t xml:space="preserve"> </w:t>
      </w:r>
      <w:r w:rsidRPr="00A04250">
        <w:t xml:space="preserve">catégorie </w:t>
      </w:r>
      <w:r w:rsidRPr="004D12A9">
        <w:rPr>
          <w:szCs w:val="24"/>
        </w:rPr>
        <w:t>N</w:t>
      </w:r>
      <w:r w:rsidRPr="004D12A9">
        <w:rPr>
          <w:szCs w:val="24"/>
          <w:vertAlign w:val="subscript"/>
        </w:rPr>
        <w:t>1</w:t>
      </w:r>
      <w:r w:rsidRPr="004D12A9">
        <w:rPr>
          <w:szCs w:val="24"/>
        </w:rPr>
        <w:t xml:space="preserve"> (</w:t>
      </w:r>
      <w:r>
        <w:rPr>
          <w:szCs w:val="24"/>
        </w:rPr>
        <w:t>classes </w:t>
      </w:r>
      <w:r w:rsidRPr="004D12A9">
        <w:rPr>
          <w:szCs w:val="24"/>
        </w:rPr>
        <w:t>II o</w:t>
      </w:r>
      <w:r>
        <w:rPr>
          <w:szCs w:val="24"/>
        </w:rPr>
        <w:t>u </w:t>
      </w:r>
      <w:r w:rsidRPr="004D12A9">
        <w:rPr>
          <w:szCs w:val="24"/>
        </w:rPr>
        <w:t xml:space="preserve">III) </w:t>
      </w:r>
      <w:r>
        <w:rPr>
          <w:szCs w:val="24"/>
        </w:rPr>
        <w:t>et de la catégorie </w:t>
      </w:r>
      <w:r w:rsidRPr="004D12A9">
        <w:rPr>
          <w:szCs w:val="24"/>
        </w:rPr>
        <w:t>N</w:t>
      </w:r>
      <w:r w:rsidRPr="004D12A9">
        <w:rPr>
          <w:szCs w:val="24"/>
          <w:vertAlign w:val="subscript"/>
        </w:rPr>
        <w:t>2</w:t>
      </w:r>
      <w:r w:rsidRPr="00E81B67">
        <w:t>,</w:t>
      </w:r>
      <w:r>
        <w:rPr>
          <w:szCs w:val="24"/>
          <w:vertAlign w:val="subscript"/>
        </w:rPr>
        <w:t xml:space="preserve"> </w:t>
      </w:r>
      <w:r>
        <w:t xml:space="preserve">les Parties contractantes appliquant le présent Règlement ne devront délivrer une homologation pour </w:t>
      </w:r>
      <w:r w:rsidRPr="00EE481F">
        <w:t>de nouveaux types de véhicules</w:t>
      </w:r>
      <w:r>
        <w:t xml:space="preserve"> que</w:t>
      </w:r>
      <w:r w:rsidR="00A706F4">
        <w:t xml:space="preserve"> </w:t>
      </w:r>
      <w:r w:rsidRPr="00EE481F">
        <w:t>s</w:t>
      </w:r>
      <w:r>
        <w:t>’</w:t>
      </w:r>
      <w:r w:rsidRPr="00EE481F">
        <w:t>ils satisfont:</w:t>
      </w:r>
      <w:r>
        <w:t xml:space="preserve"> </w:t>
      </w:r>
    </w:p>
    <w:p w:rsidR="00C94B85" w:rsidRDefault="00C94B85" w:rsidP="007A48FB">
      <w:pPr>
        <w:kinsoku/>
        <w:overflowPunct/>
        <w:autoSpaceDE/>
        <w:autoSpaceDN/>
        <w:adjustRightInd/>
        <w:snapToGrid/>
        <w:spacing w:after="120"/>
        <w:ind w:left="2835" w:right="1134" w:hanging="567"/>
        <w:jc w:val="both"/>
      </w:pPr>
      <w:r w:rsidRPr="00E81B67">
        <w:rPr>
          <w:spacing w:val="-6"/>
          <w:szCs w:val="24"/>
        </w:rPr>
        <w:t>a)</w:t>
      </w:r>
      <w:r w:rsidRPr="00E81B67">
        <w:rPr>
          <w:spacing w:val="-6"/>
          <w:szCs w:val="24"/>
        </w:rPr>
        <w:tab/>
      </w:r>
      <w:r w:rsidRPr="007B64DF">
        <w:rPr>
          <w:spacing w:val="-4"/>
        </w:rPr>
        <w:t>Aux limites applicables po</w:t>
      </w:r>
      <w:r w:rsidR="00E81B67" w:rsidRPr="007B64DF">
        <w:rPr>
          <w:spacing w:val="-4"/>
        </w:rPr>
        <w:t xml:space="preserve">ur l’essai de type I indiquées </w:t>
      </w:r>
      <w:r w:rsidRPr="007B64DF">
        <w:rPr>
          <w:spacing w:val="-4"/>
        </w:rPr>
        <w:t>dans le</w:t>
      </w:r>
      <w:r w:rsidR="00E81B67" w:rsidRPr="007B64DF">
        <w:rPr>
          <w:spacing w:val="-4"/>
        </w:rPr>
        <w:t xml:space="preserve"> </w:t>
      </w:r>
      <w:r w:rsidRPr="007B64DF">
        <w:rPr>
          <w:spacing w:val="-4"/>
        </w:rPr>
        <w:t>tableau</w:t>
      </w:r>
      <w:r w:rsidR="00E81B67" w:rsidRPr="007B64DF">
        <w:rPr>
          <w:spacing w:val="-4"/>
        </w:rPr>
        <w:t> </w:t>
      </w:r>
      <w:r w:rsidRPr="007B64DF">
        <w:rPr>
          <w:spacing w:val="-4"/>
        </w:rPr>
        <w:t xml:space="preserve">1 </w:t>
      </w:r>
      <w:r>
        <w:t>et</w:t>
      </w:r>
      <w:r w:rsidR="00E81B67">
        <w:t> </w:t>
      </w:r>
      <w:r>
        <w:t xml:space="preserve">spécifiées au paragraphe 5.3.1.4 du présent Règlement; et </w:t>
      </w:r>
    </w:p>
    <w:p w:rsidR="00C94B85" w:rsidRPr="004D12A9" w:rsidRDefault="00C94B85" w:rsidP="007A48FB">
      <w:pPr>
        <w:kinsoku/>
        <w:overflowPunct/>
        <w:autoSpaceDE/>
        <w:autoSpaceDN/>
        <w:adjustRightInd/>
        <w:snapToGrid/>
        <w:spacing w:after="120"/>
        <w:ind w:left="2835" w:right="1134" w:hanging="567"/>
        <w:jc w:val="both"/>
        <w:rPr>
          <w:szCs w:val="24"/>
        </w:rPr>
      </w:pPr>
      <w:r w:rsidRPr="004D12A9">
        <w:rPr>
          <w:szCs w:val="24"/>
        </w:rPr>
        <w:t>b)</w:t>
      </w:r>
      <w:r w:rsidRPr="004D12A9">
        <w:rPr>
          <w:szCs w:val="24"/>
        </w:rPr>
        <w:tab/>
      </w:r>
      <w:r>
        <w:t>Aux valeurs limites préliminaires OBD indiquées dans le tableau A11/2 et spécifiées au paragraphe 3.3.2.2 de l’annexe 11 du présent Règlement</w:t>
      </w:r>
      <w:r w:rsidR="00225810">
        <w:rPr>
          <w:szCs w:val="24"/>
        </w:rPr>
        <w:t>»</w:t>
      </w:r>
      <w:r w:rsidRPr="00EE481F">
        <w:rPr>
          <w:szCs w:val="24"/>
        </w:rPr>
        <w:t>.</w:t>
      </w:r>
    </w:p>
    <w:p w:rsidR="00C94B85" w:rsidRPr="004D12A9" w:rsidRDefault="00C94B85" w:rsidP="007A48FB">
      <w:pPr>
        <w:keepNext/>
        <w:kinsoku/>
        <w:overflowPunct/>
        <w:autoSpaceDE/>
        <w:autoSpaceDN/>
        <w:adjustRightInd/>
        <w:snapToGrid/>
        <w:spacing w:after="120"/>
        <w:ind w:left="2268" w:right="1134" w:hanging="1134"/>
        <w:jc w:val="both"/>
        <w:rPr>
          <w:szCs w:val="24"/>
        </w:rPr>
      </w:pPr>
      <w:r w:rsidRPr="0040289E">
        <w:rPr>
          <w:i/>
          <w:iCs/>
          <w:szCs w:val="24"/>
        </w:rPr>
        <w:t>Paragraphe</w:t>
      </w:r>
      <w:r>
        <w:rPr>
          <w:i/>
          <w:iCs/>
          <w:szCs w:val="24"/>
        </w:rPr>
        <w:t> </w:t>
      </w:r>
      <w:r w:rsidRPr="004D12A9">
        <w:rPr>
          <w:i/>
          <w:iCs/>
          <w:szCs w:val="24"/>
        </w:rPr>
        <w:t>12.2.2</w:t>
      </w:r>
      <w:r w:rsidRPr="004D12A9">
        <w:rPr>
          <w:szCs w:val="24"/>
        </w:rPr>
        <w:t xml:space="preserve">, </w:t>
      </w:r>
      <w:r w:rsidRPr="0040289E">
        <w:rPr>
          <w:szCs w:val="24"/>
        </w:rPr>
        <w:t>modifier comme suit</w:t>
      </w:r>
      <w:r w:rsidRPr="004D12A9">
        <w:rPr>
          <w:szCs w:val="24"/>
        </w:rPr>
        <w:t>:</w:t>
      </w:r>
    </w:p>
    <w:p w:rsidR="00C94B85" w:rsidRDefault="00C94B85" w:rsidP="007A48FB">
      <w:pPr>
        <w:kinsoku/>
        <w:overflowPunct/>
        <w:autoSpaceDE/>
        <w:autoSpaceDN/>
        <w:adjustRightInd/>
        <w:snapToGrid/>
        <w:spacing w:after="120"/>
        <w:ind w:left="2268" w:right="1134" w:hanging="1134"/>
        <w:jc w:val="both"/>
      </w:pPr>
      <w:r>
        <w:rPr>
          <w:szCs w:val="24"/>
        </w:rPr>
        <w:t>«</w:t>
      </w:r>
      <w:r w:rsidRPr="004D12A9">
        <w:rPr>
          <w:szCs w:val="24"/>
        </w:rPr>
        <w:t>12.2.2</w:t>
      </w:r>
      <w:r w:rsidRPr="004D12A9">
        <w:rPr>
          <w:szCs w:val="24"/>
        </w:rPr>
        <w:tab/>
      </w:r>
      <w:r>
        <w:t>À compter du 1</w:t>
      </w:r>
      <w:r w:rsidRPr="0040289E">
        <w:rPr>
          <w:vertAlign w:val="superscript"/>
        </w:rPr>
        <w:t>er</w:t>
      </w:r>
      <w:r>
        <w:t> septembre 2015 pour le</w:t>
      </w:r>
      <w:r w:rsidR="006F0F87">
        <w:t>s véhicules des catégories M ou </w:t>
      </w:r>
      <w:r w:rsidRPr="004D12A9">
        <w:rPr>
          <w:szCs w:val="24"/>
        </w:rPr>
        <w:t>N</w:t>
      </w:r>
      <w:r w:rsidRPr="004D12A9">
        <w:rPr>
          <w:szCs w:val="24"/>
          <w:vertAlign w:val="subscript"/>
        </w:rPr>
        <w:t>1</w:t>
      </w:r>
      <w:r w:rsidRPr="004D12A9">
        <w:rPr>
          <w:szCs w:val="24"/>
        </w:rPr>
        <w:t xml:space="preserve"> </w:t>
      </w:r>
      <w:r>
        <w:t>(classe I) et du 1</w:t>
      </w:r>
      <w:r w:rsidRPr="002F05DB">
        <w:rPr>
          <w:vertAlign w:val="superscript"/>
        </w:rPr>
        <w:t>er</w:t>
      </w:r>
      <w:r>
        <w:t xml:space="preserve"> septembre 2016 pour les véhicules de la catégorie N1 (classes II ou III) et de la catégorie </w:t>
      </w:r>
      <w:r w:rsidRPr="004D12A9">
        <w:rPr>
          <w:szCs w:val="24"/>
        </w:rPr>
        <w:t>N</w:t>
      </w:r>
      <w:r w:rsidRPr="004D12A9">
        <w:rPr>
          <w:szCs w:val="24"/>
          <w:vertAlign w:val="subscript"/>
        </w:rPr>
        <w:t>2</w:t>
      </w:r>
      <w:r>
        <w:t xml:space="preserve">, les Parties contractantes appliquant le présent Règlement ne seront pas obligées d’accepter une homologation de type qui n’a pas été </w:t>
      </w:r>
      <w:r w:rsidRPr="00815BC4">
        <w:t>d</w:t>
      </w:r>
      <w:r>
        <w:t>élivrée conformément à la série </w:t>
      </w:r>
      <w:r w:rsidRPr="00815BC4">
        <w:t>0</w:t>
      </w:r>
      <w:r>
        <w:t>7</w:t>
      </w:r>
      <w:r w:rsidRPr="00815BC4">
        <w:t xml:space="preserve"> d</w:t>
      </w:r>
      <w:r>
        <w:t>’</w:t>
      </w:r>
      <w:r w:rsidRPr="00815BC4">
        <w:t xml:space="preserve">amendements au </w:t>
      </w:r>
      <w:r>
        <w:t xml:space="preserve">présent </w:t>
      </w:r>
      <w:r w:rsidRPr="00815BC4">
        <w:t>Règlement</w:t>
      </w:r>
      <w:r>
        <w:t xml:space="preserve"> s’il n’est pas satisfait: </w:t>
      </w:r>
    </w:p>
    <w:p w:rsidR="00C94B85" w:rsidRDefault="00C94B85" w:rsidP="007A48FB">
      <w:pPr>
        <w:kinsoku/>
        <w:overflowPunct/>
        <w:autoSpaceDE/>
        <w:autoSpaceDN/>
        <w:adjustRightInd/>
        <w:snapToGrid/>
        <w:spacing w:after="120"/>
        <w:ind w:left="2835" w:right="1134" w:hanging="567"/>
        <w:jc w:val="both"/>
      </w:pPr>
      <w:r w:rsidRPr="00E81B67">
        <w:rPr>
          <w:spacing w:val="-6"/>
          <w:szCs w:val="24"/>
        </w:rPr>
        <w:t>a)</w:t>
      </w:r>
      <w:r w:rsidRPr="00E81B67">
        <w:rPr>
          <w:spacing w:val="-6"/>
          <w:szCs w:val="24"/>
        </w:rPr>
        <w:tab/>
      </w:r>
      <w:r w:rsidRPr="00E81B67">
        <w:rPr>
          <w:spacing w:val="-4"/>
        </w:rPr>
        <w:t>Aux limites applicables pour l’essai de ty</w:t>
      </w:r>
      <w:r w:rsidR="00E81B67" w:rsidRPr="00E81B67">
        <w:rPr>
          <w:spacing w:val="-4"/>
        </w:rPr>
        <w:t xml:space="preserve">pe I indiquées </w:t>
      </w:r>
      <w:r w:rsidR="006F0F87" w:rsidRPr="00E81B67">
        <w:rPr>
          <w:spacing w:val="-4"/>
        </w:rPr>
        <w:t>dans le tableau </w:t>
      </w:r>
      <w:r w:rsidRPr="00E81B67">
        <w:rPr>
          <w:spacing w:val="-4"/>
        </w:rPr>
        <w:t>1 et</w:t>
      </w:r>
      <w:r>
        <w:t xml:space="preserve"> spécifiées au paragraphe 5.3.1.4 du présent Règlement; et </w:t>
      </w:r>
    </w:p>
    <w:p w:rsidR="00C94B85" w:rsidRPr="004D12A9" w:rsidRDefault="00C94B85" w:rsidP="007A48FB">
      <w:pPr>
        <w:kinsoku/>
        <w:overflowPunct/>
        <w:autoSpaceDE/>
        <w:autoSpaceDN/>
        <w:adjustRightInd/>
        <w:snapToGrid/>
        <w:spacing w:after="120"/>
        <w:ind w:left="2835" w:right="1134" w:hanging="567"/>
        <w:jc w:val="both"/>
        <w:rPr>
          <w:szCs w:val="24"/>
        </w:rPr>
      </w:pPr>
      <w:r w:rsidRPr="004D12A9">
        <w:rPr>
          <w:szCs w:val="24"/>
        </w:rPr>
        <w:t>b)</w:t>
      </w:r>
      <w:r w:rsidRPr="004D12A9">
        <w:rPr>
          <w:szCs w:val="24"/>
        </w:rPr>
        <w:tab/>
      </w:r>
      <w:r>
        <w:t>Aux valeurs limites préliminaires OBD indiquées dans le tableau A11/2 et spécifiées au paragraphe 3.3.2.2 de l’annexe 11 du présent Règlement</w:t>
      </w:r>
      <w:r>
        <w:rPr>
          <w:szCs w:val="24"/>
        </w:rPr>
        <w:t>».</w:t>
      </w:r>
    </w:p>
    <w:p w:rsidR="00C94B85" w:rsidRPr="004D12A9" w:rsidRDefault="00C94B85" w:rsidP="007A48FB">
      <w:pPr>
        <w:keepNext/>
        <w:kinsoku/>
        <w:overflowPunct/>
        <w:autoSpaceDE/>
        <w:autoSpaceDN/>
        <w:adjustRightInd/>
        <w:snapToGrid/>
        <w:spacing w:after="120"/>
        <w:ind w:left="2268" w:right="1134" w:hanging="1134"/>
        <w:jc w:val="both"/>
        <w:rPr>
          <w:szCs w:val="24"/>
        </w:rPr>
      </w:pPr>
      <w:r w:rsidRPr="00BC011B">
        <w:rPr>
          <w:i/>
          <w:iCs/>
          <w:szCs w:val="24"/>
        </w:rPr>
        <w:t>Paragraphe</w:t>
      </w:r>
      <w:r>
        <w:rPr>
          <w:i/>
          <w:iCs/>
          <w:szCs w:val="24"/>
        </w:rPr>
        <w:t> </w:t>
      </w:r>
      <w:r w:rsidRPr="004D12A9">
        <w:rPr>
          <w:i/>
          <w:iCs/>
          <w:szCs w:val="24"/>
        </w:rPr>
        <w:t>12.2.3</w:t>
      </w:r>
      <w:r w:rsidRPr="00C94B85">
        <w:t xml:space="preserve">, </w:t>
      </w:r>
      <w:r w:rsidRPr="00BC011B">
        <w:rPr>
          <w:szCs w:val="24"/>
        </w:rPr>
        <w:t>modifier comme suit</w:t>
      </w:r>
      <w:r w:rsidRPr="004D12A9">
        <w:rPr>
          <w:szCs w:val="24"/>
        </w:rPr>
        <w:t>:</w:t>
      </w:r>
    </w:p>
    <w:p w:rsidR="00C94B85" w:rsidRPr="00C94B85" w:rsidRDefault="00C94B85" w:rsidP="007A48FB">
      <w:pPr>
        <w:kinsoku/>
        <w:overflowPunct/>
        <w:autoSpaceDE/>
        <w:autoSpaceDN/>
        <w:adjustRightInd/>
        <w:snapToGrid/>
        <w:spacing w:after="120"/>
        <w:ind w:left="2268" w:right="1134" w:hanging="1134"/>
        <w:jc w:val="both"/>
      </w:pPr>
      <w:r>
        <w:rPr>
          <w:szCs w:val="24"/>
        </w:rPr>
        <w:t>«</w:t>
      </w:r>
      <w:r w:rsidRPr="004D12A9">
        <w:rPr>
          <w:szCs w:val="24"/>
        </w:rPr>
        <w:t>12.2.3</w:t>
      </w:r>
      <w:r w:rsidRPr="004D12A9">
        <w:rPr>
          <w:szCs w:val="24"/>
        </w:rPr>
        <w:tab/>
      </w:r>
      <w:r>
        <w:t>À compter du 1</w:t>
      </w:r>
      <w:r w:rsidRPr="0040289E">
        <w:rPr>
          <w:vertAlign w:val="superscript"/>
        </w:rPr>
        <w:t>er</w:t>
      </w:r>
      <w:r>
        <w:t> septembre 2017 pour les véhicules des catégories M ou </w:t>
      </w:r>
      <w:r w:rsidRPr="004D12A9">
        <w:rPr>
          <w:szCs w:val="24"/>
        </w:rPr>
        <w:t>N</w:t>
      </w:r>
      <w:r w:rsidRPr="004D12A9">
        <w:rPr>
          <w:szCs w:val="24"/>
          <w:vertAlign w:val="subscript"/>
        </w:rPr>
        <w:t>1</w:t>
      </w:r>
      <w:r w:rsidRPr="004D12A9">
        <w:rPr>
          <w:szCs w:val="24"/>
        </w:rPr>
        <w:t xml:space="preserve"> </w:t>
      </w:r>
      <w:r>
        <w:t>(classe I) et du 1</w:t>
      </w:r>
      <w:r w:rsidRPr="00C94B85">
        <w:rPr>
          <w:vertAlign w:val="superscript"/>
        </w:rPr>
        <w:t>er</w:t>
      </w:r>
      <w:r>
        <w:t> septembre 2018 pour les véhicules de la catégorie N</w:t>
      </w:r>
      <w:r w:rsidRPr="007B64DF">
        <w:rPr>
          <w:vertAlign w:val="subscript"/>
        </w:rPr>
        <w:t>1</w:t>
      </w:r>
      <w:r>
        <w:t xml:space="preserve"> (classes II ou III) et de la catégorie </w:t>
      </w:r>
      <w:r w:rsidRPr="004D12A9">
        <w:rPr>
          <w:szCs w:val="24"/>
        </w:rPr>
        <w:t>N</w:t>
      </w:r>
      <w:r w:rsidRPr="004D12A9">
        <w:rPr>
          <w:szCs w:val="24"/>
          <w:vertAlign w:val="subscript"/>
        </w:rPr>
        <w:t>2</w:t>
      </w:r>
      <w:r>
        <w:t xml:space="preserve">, les Parties contractantes appliquant le présent Règlement tel qu’amendé par la série 07 d’amendements ne devront délivrer une homologation pour </w:t>
      </w:r>
      <w:r w:rsidRPr="00EE481F">
        <w:t>de nouveaux types de véhicules</w:t>
      </w:r>
      <w:r>
        <w:t xml:space="preserve"> que</w:t>
      </w:r>
      <w:r w:rsidR="00A706F4">
        <w:t xml:space="preserve"> </w:t>
      </w:r>
      <w:r w:rsidRPr="00EE481F">
        <w:t>s</w:t>
      </w:r>
      <w:r>
        <w:t>’</w:t>
      </w:r>
      <w:r w:rsidRPr="00EE481F">
        <w:t>ils satisfont:</w:t>
      </w:r>
      <w:r>
        <w:t xml:space="preserve"> </w:t>
      </w:r>
    </w:p>
    <w:p w:rsidR="00C94B85" w:rsidRDefault="00C94B85" w:rsidP="007A48FB">
      <w:pPr>
        <w:kinsoku/>
        <w:overflowPunct/>
        <w:autoSpaceDE/>
        <w:autoSpaceDN/>
        <w:adjustRightInd/>
        <w:snapToGrid/>
        <w:spacing w:after="120"/>
        <w:ind w:left="2835" w:right="1134" w:hanging="567"/>
        <w:jc w:val="both"/>
      </w:pPr>
      <w:r w:rsidRPr="004D12A9">
        <w:rPr>
          <w:szCs w:val="24"/>
        </w:rPr>
        <w:t>a)</w:t>
      </w:r>
      <w:r w:rsidRPr="004D12A9">
        <w:rPr>
          <w:szCs w:val="24"/>
        </w:rPr>
        <w:tab/>
      </w:r>
      <w:r>
        <w:t xml:space="preserve">Aux limites applicables pour l’essai de type I indiquées </w:t>
      </w:r>
      <w:r>
        <w:tab/>
        <w:t xml:space="preserve">dans le tableau 1 et spécifiées au paragraphe 5.3.1.4 du présent Règlement; et </w:t>
      </w:r>
    </w:p>
    <w:p w:rsidR="00C94B85" w:rsidRPr="004D12A9" w:rsidRDefault="00C94B85" w:rsidP="007A48FB">
      <w:pPr>
        <w:kinsoku/>
        <w:overflowPunct/>
        <w:autoSpaceDE/>
        <w:autoSpaceDN/>
        <w:adjustRightInd/>
        <w:snapToGrid/>
        <w:spacing w:after="120"/>
        <w:ind w:left="2835" w:right="1134" w:hanging="567"/>
        <w:jc w:val="both"/>
        <w:rPr>
          <w:szCs w:val="24"/>
        </w:rPr>
      </w:pPr>
      <w:r w:rsidRPr="004D12A9">
        <w:rPr>
          <w:szCs w:val="24"/>
        </w:rPr>
        <w:t>b)</w:t>
      </w:r>
      <w:r w:rsidRPr="004D12A9">
        <w:rPr>
          <w:szCs w:val="24"/>
        </w:rPr>
        <w:tab/>
      </w:r>
      <w:r>
        <w:t>Aux valeurs limites finales OBD indiquées dans le tableau A11/1 et spécifiées au du paragraphe 3.3.2.1 de l’annexe 11 du présent Règlement</w:t>
      </w:r>
      <w:r>
        <w:rPr>
          <w:szCs w:val="24"/>
        </w:rPr>
        <w:t>».</w:t>
      </w:r>
    </w:p>
    <w:p w:rsidR="00C94B85" w:rsidRPr="004D12A9" w:rsidRDefault="00C94B85" w:rsidP="007A48FB">
      <w:pPr>
        <w:keepNext/>
        <w:kinsoku/>
        <w:overflowPunct/>
        <w:autoSpaceDE/>
        <w:autoSpaceDN/>
        <w:adjustRightInd/>
        <w:snapToGrid/>
        <w:spacing w:after="120"/>
        <w:ind w:left="2268" w:right="1134" w:hanging="1134"/>
        <w:jc w:val="both"/>
        <w:rPr>
          <w:szCs w:val="24"/>
        </w:rPr>
      </w:pPr>
      <w:r w:rsidRPr="002F05DB">
        <w:rPr>
          <w:i/>
          <w:iCs/>
          <w:szCs w:val="24"/>
        </w:rPr>
        <w:lastRenderedPageBreak/>
        <w:t>Paragraphe</w:t>
      </w:r>
      <w:r>
        <w:rPr>
          <w:i/>
          <w:iCs/>
          <w:szCs w:val="24"/>
        </w:rPr>
        <w:t> </w:t>
      </w:r>
      <w:r w:rsidRPr="004D12A9">
        <w:rPr>
          <w:i/>
          <w:iCs/>
          <w:szCs w:val="24"/>
        </w:rPr>
        <w:t>12.2.4</w:t>
      </w:r>
      <w:r w:rsidRPr="00C94B85">
        <w:t>,</w:t>
      </w:r>
      <w:r w:rsidRPr="004D12A9">
        <w:rPr>
          <w:szCs w:val="24"/>
        </w:rPr>
        <w:t xml:space="preserve"> </w:t>
      </w:r>
      <w:r w:rsidRPr="002F05DB">
        <w:rPr>
          <w:szCs w:val="24"/>
        </w:rPr>
        <w:t>modifier comme suit</w:t>
      </w:r>
      <w:r w:rsidRPr="004D12A9">
        <w:rPr>
          <w:szCs w:val="24"/>
        </w:rPr>
        <w:t>:</w:t>
      </w:r>
    </w:p>
    <w:p w:rsidR="00C94B85" w:rsidRDefault="00C94B85" w:rsidP="007A48FB">
      <w:pPr>
        <w:kinsoku/>
        <w:overflowPunct/>
        <w:autoSpaceDE/>
        <w:autoSpaceDN/>
        <w:adjustRightInd/>
        <w:snapToGrid/>
        <w:spacing w:after="120"/>
        <w:ind w:left="2268" w:right="1134" w:hanging="1134"/>
        <w:jc w:val="both"/>
      </w:pPr>
      <w:r>
        <w:rPr>
          <w:szCs w:val="24"/>
        </w:rPr>
        <w:t>«</w:t>
      </w:r>
      <w:r w:rsidRPr="004D12A9">
        <w:rPr>
          <w:szCs w:val="24"/>
        </w:rPr>
        <w:t>12.2.4</w:t>
      </w:r>
      <w:r w:rsidRPr="004D12A9">
        <w:rPr>
          <w:szCs w:val="24"/>
        </w:rPr>
        <w:tab/>
      </w:r>
      <w:r>
        <w:t>À compter du 1</w:t>
      </w:r>
      <w:r w:rsidRPr="0040289E">
        <w:rPr>
          <w:vertAlign w:val="superscript"/>
        </w:rPr>
        <w:t>er</w:t>
      </w:r>
      <w:r>
        <w:t xml:space="preserve"> septembre 2018 pour les véhicules des catégories M ou </w:t>
      </w:r>
      <w:r w:rsidRPr="004D12A9">
        <w:rPr>
          <w:szCs w:val="24"/>
        </w:rPr>
        <w:t>N</w:t>
      </w:r>
      <w:r w:rsidRPr="004D12A9">
        <w:rPr>
          <w:szCs w:val="24"/>
          <w:vertAlign w:val="subscript"/>
        </w:rPr>
        <w:t>1</w:t>
      </w:r>
      <w:r w:rsidRPr="004D12A9">
        <w:rPr>
          <w:szCs w:val="24"/>
        </w:rPr>
        <w:t xml:space="preserve"> </w:t>
      </w:r>
      <w:r>
        <w:t>(classe I) et du 1</w:t>
      </w:r>
      <w:r w:rsidRPr="002F05DB">
        <w:rPr>
          <w:vertAlign w:val="superscript"/>
        </w:rPr>
        <w:t>er</w:t>
      </w:r>
      <w:r>
        <w:t> septembre 2019 pour les véhicules de la catégorie N</w:t>
      </w:r>
      <w:r w:rsidR="007B64DF">
        <w:rPr>
          <w:vertAlign w:val="subscript"/>
        </w:rPr>
        <w:t>1</w:t>
      </w:r>
      <w:r>
        <w:t xml:space="preserve"> (classes II ou III) et de la catégorie </w:t>
      </w:r>
      <w:r w:rsidRPr="004D12A9">
        <w:rPr>
          <w:szCs w:val="24"/>
        </w:rPr>
        <w:t>N</w:t>
      </w:r>
      <w:r w:rsidRPr="004D12A9">
        <w:rPr>
          <w:szCs w:val="24"/>
          <w:vertAlign w:val="subscript"/>
        </w:rPr>
        <w:t>2</w:t>
      </w:r>
      <w:r>
        <w:t xml:space="preserve">, les Parties contractantes appliquant le présent Règlement ne seront pas obligées d’accepter une homologation de type qui n’a pas été </w:t>
      </w:r>
      <w:r w:rsidRPr="00815BC4">
        <w:t>délivrée conformément à la série 0</w:t>
      </w:r>
      <w:r>
        <w:t>7</w:t>
      </w:r>
      <w:r w:rsidRPr="00815BC4">
        <w:t xml:space="preserve"> d</w:t>
      </w:r>
      <w:r>
        <w:t>’</w:t>
      </w:r>
      <w:r w:rsidRPr="00815BC4">
        <w:t xml:space="preserve">amendements au </w:t>
      </w:r>
      <w:r>
        <w:t xml:space="preserve">présent </w:t>
      </w:r>
      <w:r w:rsidRPr="00815BC4">
        <w:t>Règlement</w:t>
      </w:r>
      <w:r>
        <w:t xml:space="preserve"> s’il n’est pas satisfait: </w:t>
      </w:r>
    </w:p>
    <w:p w:rsidR="00C94B85" w:rsidRPr="004D12A9" w:rsidRDefault="00C94B85" w:rsidP="007A48FB">
      <w:pPr>
        <w:kinsoku/>
        <w:overflowPunct/>
        <w:autoSpaceDE/>
        <w:autoSpaceDN/>
        <w:adjustRightInd/>
        <w:snapToGrid/>
        <w:spacing w:after="120"/>
        <w:ind w:left="2835" w:right="1134" w:hanging="567"/>
        <w:jc w:val="both"/>
        <w:rPr>
          <w:szCs w:val="24"/>
        </w:rPr>
      </w:pPr>
      <w:r w:rsidRPr="004D12A9">
        <w:rPr>
          <w:szCs w:val="24"/>
        </w:rPr>
        <w:t>a)</w:t>
      </w:r>
      <w:r w:rsidRPr="004D12A9">
        <w:rPr>
          <w:szCs w:val="24"/>
        </w:rPr>
        <w:tab/>
      </w:r>
      <w:r>
        <w:t xml:space="preserve">Aux limites applicables pour l’essai de type I indiquées </w:t>
      </w:r>
      <w:r>
        <w:tab/>
        <w:t xml:space="preserve">dans le tableau 1 et spécifiées au paragraphe 5.3.1.4 du présent Règlement; et </w:t>
      </w:r>
    </w:p>
    <w:p w:rsidR="00C94B85" w:rsidRPr="004D12A9" w:rsidRDefault="00C94B85" w:rsidP="007A48FB">
      <w:pPr>
        <w:kinsoku/>
        <w:overflowPunct/>
        <w:autoSpaceDE/>
        <w:autoSpaceDN/>
        <w:adjustRightInd/>
        <w:snapToGrid/>
        <w:spacing w:after="120" w:line="240" w:lineRule="auto"/>
        <w:ind w:left="2835" w:right="1134" w:hanging="567"/>
        <w:jc w:val="both"/>
        <w:rPr>
          <w:szCs w:val="24"/>
        </w:rPr>
      </w:pPr>
      <w:r w:rsidRPr="004D12A9">
        <w:rPr>
          <w:szCs w:val="24"/>
        </w:rPr>
        <w:t>b)</w:t>
      </w:r>
      <w:r w:rsidRPr="004D12A9">
        <w:rPr>
          <w:szCs w:val="24"/>
        </w:rPr>
        <w:tab/>
      </w:r>
      <w:r>
        <w:t>Aux valeurs limites finales OBD indiquées dans le tableau A11/1 et spécifiées au du paragraphe 3.3.2.1 de l’annexe 11 du présent Règlement</w:t>
      </w:r>
      <w:r>
        <w:rPr>
          <w:szCs w:val="24"/>
        </w:rPr>
        <w:t>».</w:t>
      </w:r>
    </w:p>
    <w:p w:rsidR="00C94B85" w:rsidRPr="004D12A9" w:rsidRDefault="00C94B85" w:rsidP="007A48FB">
      <w:pPr>
        <w:keepNext/>
        <w:autoSpaceDE/>
        <w:autoSpaceDN/>
        <w:adjustRightInd/>
        <w:snapToGrid/>
        <w:spacing w:before="120" w:after="240"/>
        <w:ind w:left="2268" w:right="1134" w:hanging="1134"/>
        <w:jc w:val="both"/>
        <w:textAlignment w:val="baseline"/>
        <w:rPr>
          <w:szCs w:val="24"/>
        </w:rPr>
      </w:pPr>
      <w:r w:rsidRPr="004D12A9">
        <w:rPr>
          <w:i/>
          <w:iCs/>
          <w:szCs w:val="24"/>
        </w:rPr>
        <w:t>Annex</w:t>
      </w:r>
      <w:r>
        <w:rPr>
          <w:i/>
          <w:iCs/>
          <w:szCs w:val="24"/>
        </w:rPr>
        <w:t>e </w:t>
      </w:r>
      <w:r w:rsidRPr="004D12A9">
        <w:rPr>
          <w:i/>
          <w:iCs/>
          <w:szCs w:val="24"/>
        </w:rPr>
        <w:t xml:space="preserve">1, </w:t>
      </w:r>
      <w:r w:rsidRPr="00674814">
        <w:rPr>
          <w:i/>
          <w:iCs/>
          <w:szCs w:val="24"/>
        </w:rPr>
        <w:t>paragraphe</w:t>
      </w:r>
      <w:r w:rsidRPr="004D12A9">
        <w:rPr>
          <w:i/>
          <w:iCs/>
          <w:szCs w:val="24"/>
        </w:rPr>
        <w:t xml:space="preserve"> 3.2.12.2.7.6.3</w:t>
      </w:r>
      <w:r w:rsidRPr="00C94B85">
        <w:t xml:space="preserve">, </w:t>
      </w:r>
      <w:r w:rsidRPr="00674814">
        <w:rPr>
          <w:szCs w:val="24"/>
        </w:rPr>
        <w:t>modifier comme suit</w:t>
      </w:r>
      <w:r w:rsidRPr="004D12A9">
        <w:rPr>
          <w:iCs/>
          <w:szCs w:val="24"/>
        </w:rPr>
        <w:t>:</w:t>
      </w:r>
    </w:p>
    <w:p w:rsidR="00C94B85" w:rsidRDefault="00C94B85" w:rsidP="00C81A20">
      <w:pPr>
        <w:keepNext/>
        <w:kinsoku/>
        <w:overflowPunct/>
        <w:autoSpaceDE/>
        <w:autoSpaceDN/>
        <w:adjustRightInd/>
        <w:snapToGrid/>
        <w:spacing w:after="120"/>
        <w:ind w:left="2268" w:right="1134" w:hanging="1134"/>
        <w:jc w:val="both"/>
        <w:rPr>
          <w:szCs w:val="24"/>
        </w:rPr>
      </w:pPr>
      <w:r>
        <w:rPr>
          <w:szCs w:val="24"/>
        </w:rPr>
        <w:t>«3.2.12.2.7.6.3</w:t>
      </w:r>
    </w:p>
    <w:p w:rsidR="00C94B85" w:rsidRPr="004D12A9" w:rsidRDefault="00C94B85" w:rsidP="007A48FB">
      <w:pPr>
        <w:kinsoku/>
        <w:overflowPunct/>
        <w:autoSpaceDE/>
        <w:autoSpaceDN/>
        <w:adjustRightInd/>
        <w:snapToGrid/>
        <w:spacing w:after="120"/>
        <w:ind w:left="2268" w:right="1134"/>
        <w:jc w:val="both"/>
        <w:rPr>
          <w:szCs w:val="24"/>
        </w:rPr>
      </w:pPr>
      <w:r>
        <w:rPr>
          <w:szCs w:val="24"/>
        </w:rPr>
        <w:tab/>
      </w:r>
      <w:r>
        <w:t>Un document exhaustif décrivant tous les composants contrôlés dans le cadre du dispositif de détection des erreurs et d’activation du témoin de défaillance MI (nombre fixe de cycles de conduite ou méthode statistique), y compris une liste des paramètres secondaires pertinents mesurés pour chaque composant contrôlé par le système OBD. Une liste de tous les codes et formats de sortie (accompagnée d’une explication pour chacun) utilisés pour les différents composants du groupe motopropulseur en rapport avec les émissions ainsi que pour les différents composants non liés aux émissions, lorsque la surveillance du composant concerné intervient dans l’activation de l’indicateur de dysfonctionnement (MI). Il convient notamment de commenter de façon détaillée les données correspondant au service $05 (test ID $21 à FF) et au service $06. Dans le cas de types de véhicule utilisant une liaison de données conforme à la norme</w:t>
      </w:r>
      <w:r w:rsidR="00C81A20">
        <w:t xml:space="preserve"> indiquée au paragraphe 6.3.5.1 a) de l’appendice </w:t>
      </w:r>
      <w:r>
        <w:t xml:space="preserve">1 </w:t>
      </w:r>
      <w:r w:rsidR="00C81A20">
        <w:t>de l’annexe </w:t>
      </w:r>
      <w:r>
        <w:t>11 du présent Règlement, une explication exhaustive des données correspondant au service $06 (test ID $00 à FF) doit être fournie pour chaque programme de surveillance OBD pris en charge»</w:t>
      </w:r>
      <w:r>
        <w:rPr>
          <w:szCs w:val="24"/>
        </w:rPr>
        <w:t>.</w:t>
      </w:r>
    </w:p>
    <w:p w:rsidR="00C94B85" w:rsidRPr="004D12A9" w:rsidRDefault="00C94B85" w:rsidP="007A48FB">
      <w:pPr>
        <w:keepNext/>
        <w:kinsoku/>
        <w:overflowPunct/>
        <w:autoSpaceDE/>
        <w:autoSpaceDN/>
        <w:adjustRightInd/>
        <w:snapToGrid/>
        <w:spacing w:before="120"/>
        <w:ind w:left="2268" w:right="1134" w:hanging="1134"/>
        <w:jc w:val="both"/>
        <w:rPr>
          <w:szCs w:val="24"/>
        </w:rPr>
      </w:pPr>
      <w:r w:rsidRPr="004D12A9">
        <w:rPr>
          <w:i/>
          <w:iCs/>
          <w:szCs w:val="24"/>
        </w:rPr>
        <w:t>Annex</w:t>
      </w:r>
      <w:r>
        <w:rPr>
          <w:i/>
          <w:iCs/>
          <w:szCs w:val="24"/>
        </w:rPr>
        <w:t>e </w:t>
      </w:r>
      <w:r w:rsidRPr="004D12A9">
        <w:rPr>
          <w:i/>
          <w:iCs/>
          <w:szCs w:val="24"/>
        </w:rPr>
        <w:t xml:space="preserve">2, </w:t>
      </w:r>
      <w:r>
        <w:rPr>
          <w:i/>
          <w:iCs/>
          <w:szCs w:val="24"/>
        </w:rPr>
        <w:t>Appendice</w:t>
      </w:r>
      <w:r w:rsidRPr="004D12A9">
        <w:rPr>
          <w:i/>
          <w:iCs/>
          <w:szCs w:val="24"/>
        </w:rPr>
        <w:t xml:space="preserve"> 1, </w:t>
      </w:r>
      <w:r w:rsidRPr="00674814">
        <w:rPr>
          <w:i/>
          <w:iCs/>
          <w:szCs w:val="24"/>
        </w:rPr>
        <w:t>paragraphe</w:t>
      </w:r>
      <w:r>
        <w:rPr>
          <w:i/>
          <w:iCs/>
          <w:szCs w:val="24"/>
        </w:rPr>
        <w:t> 3</w:t>
      </w:r>
      <w:r w:rsidRPr="00C94B85">
        <w:t>,</w:t>
      </w:r>
      <w:r w:rsidRPr="004D12A9">
        <w:rPr>
          <w:iCs/>
          <w:szCs w:val="24"/>
        </w:rPr>
        <w:t xml:space="preserve"> </w:t>
      </w:r>
      <w:r w:rsidRPr="00674814">
        <w:rPr>
          <w:iCs/>
          <w:szCs w:val="24"/>
        </w:rPr>
        <w:t>modifier comme suit</w:t>
      </w:r>
      <w:r w:rsidRPr="004D12A9">
        <w:rPr>
          <w:i/>
          <w:iCs/>
          <w:szCs w:val="24"/>
        </w:rPr>
        <w:t>:</w:t>
      </w:r>
    </w:p>
    <w:p w:rsidR="00C94B85" w:rsidRPr="004D12A9" w:rsidRDefault="00C94B85" w:rsidP="007A48FB">
      <w:pPr>
        <w:kinsoku/>
        <w:overflowPunct/>
        <w:autoSpaceDE/>
        <w:autoSpaceDN/>
        <w:adjustRightInd/>
        <w:snapToGrid/>
        <w:spacing w:before="120"/>
        <w:ind w:left="2268" w:right="1134" w:hanging="1134"/>
        <w:jc w:val="both"/>
        <w:rPr>
          <w:szCs w:val="24"/>
        </w:rPr>
      </w:pPr>
      <w:r>
        <w:rPr>
          <w:szCs w:val="24"/>
        </w:rPr>
        <w:t>«</w:t>
      </w:r>
      <w:r w:rsidRPr="004D12A9">
        <w:rPr>
          <w:szCs w:val="24"/>
        </w:rPr>
        <w:t>3.</w:t>
      </w:r>
      <w:r w:rsidRPr="004D12A9">
        <w:rPr>
          <w:szCs w:val="24"/>
        </w:rPr>
        <w:tab/>
      </w:r>
      <w:r>
        <w:t>Un document exhaustif décrivant tous les composants contrôlés dans le cadre du dispositif de détection des erreurs et d’activation de l’indicateur de dysfonctionnement (nombre fixe de cycles de conduite ou méthode statistique), y compris une liste des paramètres secondaires pertinents mesurés pour chaque composant contrôlé par le système OBD. Une liste de tous les codes et formats de sortie (accompagnée d’une explication pour chacun) utilisés pour les différents composants du groupe motopropulseur en rapport avec les émissions ainsi que pour les différents composants non liés aux émissions, lorsque la surveillance du composant concerné intervient dans l’activation de l’indicateur de dysfonctionnement (MI). Il convient notamment de commenter de façon détaillée les données correspondant au service $05 (test ID $21 à FF) et au service $06. Dans le cas de types de véhicule utilisant une liaison de données conforme à la norme indiquée au parag</w:t>
      </w:r>
      <w:r w:rsidR="00C81A20">
        <w:t>raphe 6.3.5.1 a) de l’appendice </w:t>
      </w:r>
      <w:r>
        <w:t>1 de l’annexe 11 du présent Règlement, une explication exhaustive des données correspondant au service $06 (test ID $00 à FF) doit être fournie pour chaque programme de surveillance OBD pris en charge</w:t>
      </w:r>
      <w:r>
        <w:rPr>
          <w:szCs w:val="24"/>
        </w:rPr>
        <w:t>».</w:t>
      </w:r>
    </w:p>
    <w:p w:rsidR="00C94B85" w:rsidRPr="004D12A9" w:rsidRDefault="00C94B85" w:rsidP="007A48FB">
      <w:pPr>
        <w:keepNext/>
        <w:kinsoku/>
        <w:overflowPunct/>
        <w:autoSpaceDE/>
        <w:autoSpaceDN/>
        <w:adjustRightInd/>
        <w:snapToGrid/>
        <w:spacing w:before="120"/>
        <w:ind w:left="2268" w:right="1134" w:hanging="1134"/>
        <w:jc w:val="both"/>
        <w:rPr>
          <w:szCs w:val="24"/>
        </w:rPr>
      </w:pPr>
      <w:r w:rsidRPr="004D12A9">
        <w:rPr>
          <w:i/>
          <w:iCs/>
          <w:szCs w:val="24"/>
        </w:rPr>
        <w:lastRenderedPageBreak/>
        <w:t>Annex</w:t>
      </w:r>
      <w:r>
        <w:rPr>
          <w:i/>
          <w:iCs/>
          <w:szCs w:val="24"/>
        </w:rPr>
        <w:t>e</w:t>
      </w:r>
      <w:r w:rsidRPr="004D12A9">
        <w:rPr>
          <w:i/>
          <w:iCs/>
          <w:szCs w:val="24"/>
        </w:rPr>
        <w:t xml:space="preserve"> 11, </w:t>
      </w:r>
      <w:r w:rsidRPr="00674814">
        <w:rPr>
          <w:i/>
          <w:iCs/>
          <w:szCs w:val="24"/>
        </w:rPr>
        <w:t>paragraphe</w:t>
      </w:r>
      <w:r>
        <w:rPr>
          <w:i/>
          <w:iCs/>
          <w:szCs w:val="24"/>
        </w:rPr>
        <w:t> </w:t>
      </w:r>
      <w:r w:rsidRPr="004D12A9">
        <w:rPr>
          <w:i/>
          <w:iCs/>
          <w:szCs w:val="24"/>
        </w:rPr>
        <w:t>3.9.3.1</w:t>
      </w:r>
      <w:r w:rsidRPr="00C94B85">
        <w:t xml:space="preserve">, </w:t>
      </w:r>
      <w:r w:rsidRPr="00674814">
        <w:rPr>
          <w:szCs w:val="24"/>
        </w:rPr>
        <w:t>modifier comme suit</w:t>
      </w:r>
      <w:r w:rsidRPr="004D12A9">
        <w:rPr>
          <w:iCs/>
          <w:szCs w:val="24"/>
        </w:rPr>
        <w:t>:</w:t>
      </w:r>
    </w:p>
    <w:p w:rsidR="00C94B85" w:rsidRPr="004D12A9" w:rsidRDefault="00C94B85" w:rsidP="007A48FB">
      <w:pPr>
        <w:kinsoku/>
        <w:overflowPunct/>
        <w:autoSpaceDE/>
        <w:autoSpaceDN/>
        <w:adjustRightInd/>
        <w:snapToGrid/>
        <w:spacing w:before="120"/>
        <w:ind w:left="2268" w:right="1134" w:hanging="1134"/>
        <w:jc w:val="both"/>
        <w:rPr>
          <w:szCs w:val="24"/>
        </w:rPr>
      </w:pPr>
      <w:r>
        <w:rPr>
          <w:szCs w:val="24"/>
        </w:rPr>
        <w:t>«</w:t>
      </w:r>
      <w:r w:rsidRPr="004D12A9">
        <w:rPr>
          <w:szCs w:val="24"/>
        </w:rPr>
        <w:t>3.9.3.</w:t>
      </w:r>
      <w:r w:rsidRPr="00AA3FD8">
        <w:rPr>
          <w:szCs w:val="24"/>
        </w:rPr>
        <w:t>1</w:t>
      </w:r>
      <w:r w:rsidRPr="004D12A9">
        <w:rPr>
          <w:szCs w:val="24"/>
        </w:rPr>
        <w:t xml:space="preserve"> </w:t>
      </w:r>
      <w:r w:rsidRPr="004D12A9">
        <w:rPr>
          <w:szCs w:val="24"/>
        </w:rPr>
        <w:tab/>
      </w:r>
      <w:r w:rsidRPr="004D12A9">
        <w:rPr>
          <w:szCs w:val="24"/>
        </w:rPr>
        <w:tab/>
      </w:r>
      <w:r>
        <w:t>À la demande d’un instrument de diagnostic, les signaux de diagnostic doivent être transmis à une ou plusieurs adresses sources. L’utilisation des adresses sources est décrite dans la norme</w:t>
      </w:r>
      <w:r w:rsidR="00A20387">
        <w:t xml:space="preserve"> indiquée au paragraphe 6.5.3.2 </w:t>
      </w:r>
      <w:r>
        <w:t>a) de l’appendice 1 de l’annexe 11 du présent Règlement</w:t>
      </w:r>
      <w:r>
        <w:rPr>
          <w:bCs/>
          <w:szCs w:val="24"/>
        </w:rPr>
        <w:t>»</w:t>
      </w:r>
      <w:r>
        <w:rPr>
          <w:szCs w:val="24"/>
        </w:rPr>
        <w:t>.</w:t>
      </w:r>
    </w:p>
    <w:p w:rsidR="00C94B85" w:rsidRPr="004D12A9" w:rsidRDefault="00C94B85" w:rsidP="007A48FB">
      <w:pPr>
        <w:keepNext/>
        <w:kinsoku/>
        <w:overflowPunct/>
        <w:autoSpaceDE/>
        <w:autoSpaceDN/>
        <w:adjustRightInd/>
        <w:snapToGrid/>
        <w:spacing w:before="120"/>
        <w:ind w:left="2268" w:right="1134" w:hanging="1134"/>
        <w:jc w:val="both"/>
        <w:rPr>
          <w:szCs w:val="24"/>
        </w:rPr>
      </w:pPr>
      <w:r>
        <w:rPr>
          <w:i/>
          <w:iCs/>
          <w:szCs w:val="24"/>
        </w:rPr>
        <w:t>Annexe </w:t>
      </w:r>
      <w:r w:rsidRPr="004D12A9">
        <w:rPr>
          <w:i/>
          <w:iCs/>
          <w:szCs w:val="24"/>
        </w:rPr>
        <w:t xml:space="preserve">11, </w:t>
      </w:r>
      <w:r>
        <w:rPr>
          <w:i/>
          <w:iCs/>
          <w:szCs w:val="24"/>
        </w:rPr>
        <w:t>appendice </w:t>
      </w:r>
      <w:r w:rsidRPr="004D12A9">
        <w:rPr>
          <w:i/>
          <w:iCs/>
          <w:szCs w:val="24"/>
        </w:rPr>
        <w:t xml:space="preserve">1, </w:t>
      </w:r>
      <w:r w:rsidRPr="00674814">
        <w:rPr>
          <w:i/>
          <w:iCs/>
          <w:szCs w:val="24"/>
        </w:rPr>
        <w:t>paragraphe</w:t>
      </w:r>
      <w:r>
        <w:rPr>
          <w:i/>
          <w:iCs/>
          <w:szCs w:val="24"/>
        </w:rPr>
        <w:t> </w:t>
      </w:r>
      <w:r w:rsidRPr="004D12A9">
        <w:rPr>
          <w:i/>
          <w:iCs/>
          <w:szCs w:val="24"/>
        </w:rPr>
        <w:t>6.5.3</w:t>
      </w:r>
      <w:r w:rsidRPr="00C94B85">
        <w:t xml:space="preserve">, </w:t>
      </w:r>
      <w:r w:rsidRPr="00674814">
        <w:rPr>
          <w:szCs w:val="24"/>
        </w:rPr>
        <w:t>modifier comme suit</w:t>
      </w:r>
      <w:r w:rsidRPr="004D12A9">
        <w:rPr>
          <w:iCs/>
          <w:szCs w:val="24"/>
        </w:rPr>
        <w:t>:</w:t>
      </w:r>
    </w:p>
    <w:p w:rsidR="00C94B85" w:rsidRPr="004D12A9" w:rsidRDefault="00C94B85" w:rsidP="007A48FB">
      <w:pPr>
        <w:kinsoku/>
        <w:overflowPunct/>
        <w:autoSpaceDE/>
        <w:autoSpaceDN/>
        <w:adjustRightInd/>
        <w:snapToGrid/>
        <w:spacing w:before="120"/>
        <w:ind w:left="2268" w:right="1134" w:hanging="1134"/>
        <w:jc w:val="both"/>
      </w:pPr>
      <w:r>
        <w:rPr>
          <w:szCs w:val="24"/>
        </w:rPr>
        <w:t>«</w:t>
      </w:r>
      <w:r w:rsidRPr="004D12A9">
        <w:rPr>
          <w:szCs w:val="24"/>
        </w:rPr>
        <w:t xml:space="preserve">6.5.3 </w:t>
      </w:r>
      <w:r w:rsidRPr="004D12A9">
        <w:rPr>
          <w:szCs w:val="24"/>
        </w:rPr>
        <w:tab/>
      </w:r>
      <w:r>
        <w:t>L’accès au système de diagnostic doit être normalisé et illimité; le système doit être conforme aux normes ISO et/ou à la spécification SAE indiquées ci</w:t>
      </w:r>
      <w:r w:rsidR="00A20387">
        <w:noBreakHyphen/>
      </w:r>
      <w:r>
        <w:t>après. Le constructeur peut, s’il le souhaite, utiliser des versions postérieures</w:t>
      </w:r>
      <w:r w:rsidRPr="004D12A9">
        <w:rPr>
          <w:bCs/>
          <w:szCs w:val="24"/>
        </w:rPr>
        <w:t xml:space="preserve">. </w:t>
      </w:r>
    </w:p>
    <w:p w:rsidR="00C94B85" w:rsidRPr="004D12A9" w:rsidRDefault="00C94B85" w:rsidP="007A48FB">
      <w:pPr>
        <w:keepNext/>
        <w:kinsoku/>
        <w:overflowPunct/>
        <w:autoSpaceDE/>
        <w:autoSpaceDN/>
        <w:adjustRightInd/>
        <w:snapToGrid/>
        <w:spacing w:before="120"/>
        <w:ind w:left="2268" w:right="1134" w:hanging="1134"/>
        <w:jc w:val="both"/>
        <w:rPr>
          <w:szCs w:val="24"/>
        </w:rPr>
      </w:pPr>
      <w:r w:rsidRPr="004D12A9">
        <w:rPr>
          <w:szCs w:val="24"/>
        </w:rPr>
        <w:t xml:space="preserve">6.5.3.1 </w:t>
      </w:r>
      <w:r w:rsidRPr="004D12A9">
        <w:rPr>
          <w:szCs w:val="24"/>
        </w:rPr>
        <w:tab/>
      </w:r>
      <w:r>
        <w:rPr>
          <w:szCs w:val="24"/>
        </w:rPr>
        <w:t xml:space="preserve">La norme suivante </w:t>
      </w:r>
      <w:r>
        <w:t>doit être utilisée pour la liaison de données de l’ordinateur de bord avec un ordinateur externe:</w:t>
      </w:r>
      <w:r w:rsidR="00A706F4">
        <w:t xml:space="preserve"> </w:t>
      </w:r>
    </w:p>
    <w:p w:rsidR="00C94B85" w:rsidRDefault="00C94B85" w:rsidP="007A48FB">
      <w:pPr>
        <w:kinsoku/>
        <w:overflowPunct/>
        <w:autoSpaceDE/>
        <w:autoSpaceDN/>
        <w:adjustRightInd/>
        <w:snapToGrid/>
        <w:spacing w:before="120"/>
        <w:ind w:left="2835" w:right="1134" w:hanging="567"/>
        <w:jc w:val="both"/>
      </w:pPr>
      <w:r>
        <w:rPr>
          <w:bCs/>
          <w:szCs w:val="24"/>
        </w:rPr>
        <w:t>a)</w:t>
      </w:r>
      <w:r w:rsidRPr="004D12A9">
        <w:rPr>
          <w:bCs/>
          <w:szCs w:val="24"/>
        </w:rPr>
        <w:tab/>
      </w:r>
      <w:r w:rsidR="00485E1B">
        <w:t>ISO DIS </w:t>
      </w:r>
      <w:r>
        <w:t>15765-4:2011 “Véhicules routiers − systèmes de diagnostic sur CAN − partie 4: Exigences pour les systèmes relatifs aux émissions”, du 1</w:t>
      </w:r>
      <w:r w:rsidRPr="0059340B">
        <w:rPr>
          <w:vertAlign w:val="superscript"/>
        </w:rPr>
        <w:t>er</w:t>
      </w:r>
      <w:r w:rsidR="00485E1B">
        <w:t> février 2011.</w:t>
      </w:r>
    </w:p>
    <w:p w:rsidR="00C94B85" w:rsidRPr="004D12A9" w:rsidRDefault="00C94B85" w:rsidP="007A48FB">
      <w:pPr>
        <w:keepNext/>
        <w:kinsoku/>
        <w:overflowPunct/>
        <w:autoSpaceDE/>
        <w:autoSpaceDN/>
        <w:adjustRightInd/>
        <w:snapToGrid/>
        <w:spacing w:before="120"/>
        <w:ind w:left="2268" w:right="1134" w:hanging="1134"/>
        <w:jc w:val="both"/>
        <w:rPr>
          <w:szCs w:val="24"/>
        </w:rPr>
      </w:pPr>
      <w:r w:rsidRPr="004D12A9">
        <w:rPr>
          <w:szCs w:val="24"/>
        </w:rPr>
        <w:t>6.5.3.2</w:t>
      </w:r>
      <w:r w:rsidRPr="004D12A9">
        <w:rPr>
          <w:szCs w:val="24"/>
        </w:rPr>
        <w:tab/>
      </w:r>
      <w:r>
        <w:t>Normes utilisées pour transmettre les informations OBD pertinentes:</w:t>
      </w:r>
    </w:p>
    <w:p w:rsidR="00C94B85" w:rsidRDefault="00C94B85" w:rsidP="007A48FB">
      <w:pPr>
        <w:kinsoku/>
        <w:overflowPunct/>
        <w:autoSpaceDE/>
        <w:autoSpaceDN/>
        <w:adjustRightInd/>
        <w:snapToGrid/>
        <w:spacing w:before="120"/>
        <w:ind w:left="2835" w:right="1134" w:hanging="567"/>
        <w:jc w:val="both"/>
      </w:pPr>
      <w:r w:rsidRPr="004D12A9">
        <w:rPr>
          <w:bCs/>
          <w:szCs w:val="24"/>
        </w:rPr>
        <w:t xml:space="preserve">a) </w:t>
      </w:r>
      <w:r w:rsidRPr="004D12A9">
        <w:rPr>
          <w:bCs/>
          <w:szCs w:val="24"/>
        </w:rPr>
        <w:tab/>
      </w:r>
      <w:r>
        <w:t>ISO 15031-5 “Véhicules routiers − communication entre un véhicule et un équipement externe pour le diagnostic relatif aux émissions − partie 5: Services de diagnostic relatif aux émissions”, du 1</w:t>
      </w:r>
      <w:r w:rsidRPr="00762244">
        <w:rPr>
          <w:vertAlign w:val="superscript"/>
        </w:rPr>
        <w:t>er</w:t>
      </w:r>
      <w:r w:rsidR="007A48FB">
        <w:t> avril 2011 ou SAE J </w:t>
      </w:r>
      <w:r>
        <w:t>1979 du 23 février 2012;</w:t>
      </w:r>
    </w:p>
    <w:p w:rsidR="00C94B85" w:rsidRDefault="00C94B85" w:rsidP="007A48FB">
      <w:pPr>
        <w:kinsoku/>
        <w:overflowPunct/>
        <w:autoSpaceDE/>
        <w:autoSpaceDN/>
        <w:adjustRightInd/>
        <w:snapToGrid/>
        <w:spacing w:before="120"/>
        <w:ind w:left="2835" w:right="1134" w:hanging="567"/>
        <w:jc w:val="both"/>
      </w:pPr>
      <w:r w:rsidRPr="004D12A9">
        <w:rPr>
          <w:bCs/>
          <w:szCs w:val="24"/>
        </w:rPr>
        <w:t xml:space="preserve">b) </w:t>
      </w:r>
      <w:r w:rsidRPr="004D12A9">
        <w:rPr>
          <w:bCs/>
          <w:szCs w:val="24"/>
        </w:rPr>
        <w:tab/>
      </w:r>
      <w:r>
        <w:t>ISO 15031-4 “Véhicules routiers − communication entre un véhicule et un équipement externe pour le diagnostic relatif aux émissions − partie 4: Dispositif d’essai externe”, du 1</w:t>
      </w:r>
      <w:r w:rsidRPr="00874B79">
        <w:rPr>
          <w:vertAlign w:val="superscript"/>
        </w:rPr>
        <w:t>er</w:t>
      </w:r>
      <w:r>
        <w:t> juin 2005 ou SAE J 1978 du 30 avril 2002;</w:t>
      </w:r>
    </w:p>
    <w:p w:rsidR="00C94B85" w:rsidRDefault="00C94B85" w:rsidP="007A48FB">
      <w:pPr>
        <w:kinsoku/>
        <w:overflowPunct/>
        <w:autoSpaceDE/>
        <w:autoSpaceDN/>
        <w:adjustRightInd/>
        <w:snapToGrid/>
        <w:spacing w:before="120"/>
        <w:ind w:left="2835" w:right="1134" w:hanging="567"/>
        <w:jc w:val="both"/>
      </w:pPr>
      <w:r w:rsidRPr="004D12A9">
        <w:rPr>
          <w:bCs/>
          <w:szCs w:val="24"/>
        </w:rPr>
        <w:t xml:space="preserve">c) </w:t>
      </w:r>
      <w:r w:rsidRPr="004D12A9">
        <w:rPr>
          <w:bCs/>
          <w:szCs w:val="24"/>
        </w:rPr>
        <w:tab/>
      </w:r>
      <w:r>
        <w:t>ISO 15031-3 “Véhicules routiers − communication entre un véhicule et un équipement externe pour le diagnostic relatif aux émissions − partie 3: Connecteur de diagnostic et circuits électriques associés: spécifications et utilisation”, du 1</w:t>
      </w:r>
      <w:r w:rsidRPr="00874B79">
        <w:rPr>
          <w:vertAlign w:val="superscript"/>
        </w:rPr>
        <w:t>er</w:t>
      </w:r>
      <w:r>
        <w:t> juillet 2004 ou SAE J 1962 du 26 juillet 2012;</w:t>
      </w:r>
    </w:p>
    <w:p w:rsidR="00C94B85" w:rsidRDefault="00C94B85" w:rsidP="007A48FB">
      <w:pPr>
        <w:kinsoku/>
        <w:overflowPunct/>
        <w:autoSpaceDE/>
        <w:autoSpaceDN/>
        <w:adjustRightInd/>
        <w:snapToGrid/>
        <w:spacing w:before="120"/>
        <w:ind w:left="2835" w:right="1134" w:hanging="567"/>
        <w:jc w:val="both"/>
      </w:pPr>
      <w:r w:rsidRPr="004D12A9">
        <w:rPr>
          <w:bCs/>
          <w:szCs w:val="24"/>
        </w:rPr>
        <w:t xml:space="preserve">d) </w:t>
      </w:r>
      <w:r w:rsidRPr="004D12A9">
        <w:rPr>
          <w:bCs/>
          <w:szCs w:val="24"/>
        </w:rPr>
        <w:tab/>
      </w:r>
      <w:r>
        <w:t>ISO 15031-6 “Véhicules routiers − communication entre un véhicule et un équipement externe pour le diagnostic relatif aux émissions − partie 6: Définitions des codes d’anomalie”, du 13 août 2010 ou SAE J 2012 du 7 mars 2013;</w:t>
      </w:r>
    </w:p>
    <w:p w:rsidR="00C94B85" w:rsidRDefault="00C94B85" w:rsidP="007A48FB">
      <w:pPr>
        <w:kinsoku/>
        <w:overflowPunct/>
        <w:autoSpaceDE/>
        <w:autoSpaceDN/>
        <w:adjustRightInd/>
        <w:snapToGrid/>
        <w:spacing w:before="120"/>
        <w:ind w:left="2835" w:right="1134" w:hanging="567"/>
        <w:jc w:val="both"/>
      </w:pPr>
      <w:r w:rsidRPr="004D12A9">
        <w:rPr>
          <w:bCs/>
          <w:szCs w:val="24"/>
        </w:rPr>
        <w:t xml:space="preserve">e) </w:t>
      </w:r>
      <w:r w:rsidRPr="004D12A9">
        <w:rPr>
          <w:bCs/>
          <w:szCs w:val="24"/>
        </w:rPr>
        <w:tab/>
      </w:r>
      <w:r>
        <w:t xml:space="preserve">ISO 27145 “Véhicules routiers − mise en application des exigences de communication pour le diagnostic embarqué harmonisé à l’échelle mondiale (WWH-OBD)”, du 15 août 2012 avec la restriction que seul le 6.5.3.1 a) peut être utilisé comme liaison de données; </w:t>
      </w:r>
    </w:p>
    <w:p w:rsidR="00C94B85" w:rsidRPr="004D12A9" w:rsidRDefault="00C94B85" w:rsidP="007A48FB">
      <w:pPr>
        <w:kinsoku/>
        <w:overflowPunct/>
        <w:autoSpaceDE/>
        <w:autoSpaceDN/>
        <w:adjustRightInd/>
        <w:snapToGrid/>
        <w:spacing w:before="120"/>
        <w:ind w:left="2835" w:right="1134" w:hanging="567"/>
        <w:jc w:val="both"/>
        <w:rPr>
          <w:bCs/>
          <w:szCs w:val="24"/>
        </w:rPr>
      </w:pPr>
      <w:r w:rsidRPr="004D12A9">
        <w:rPr>
          <w:bCs/>
          <w:szCs w:val="24"/>
        </w:rPr>
        <w:t>f)</w:t>
      </w:r>
      <w:r w:rsidRPr="004D12A9">
        <w:rPr>
          <w:bCs/>
          <w:szCs w:val="24"/>
        </w:rPr>
        <w:tab/>
      </w:r>
      <w:r>
        <w:t>ISO 14229:2013 “Véhicules routiers − services de diagnostic unifiés (SDU) avec la restriction que seul le 6.5.3.1 a) peut être utilisé comme liaison de données»</w:t>
      </w:r>
      <w:r w:rsidRPr="004D12A9">
        <w:rPr>
          <w:bCs/>
          <w:szCs w:val="24"/>
        </w:rPr>
        <w:t>.</w:t>
      </w:r>
    </w:p>
    <w:p w:rsidR="00C94B85" w:rsidRPr="004D12A9" w:rsidRDefault="00C94B85" w:rsidP="007A48FB">
      <w:pPr>
        <w:kinsoku/>
        <w:overflowPunct/>
        <w:autoSpaceDE/>
        <w:autoSpaceDN/>
        <w:adjustRightInd/>
        <w:snapToGrid/>
        <w:spacing w:before="120"/>
        <w:ind w:left="2268" w:right="1134"/>
        <w:jc w:val="both"/>
        <w:rPr>
          <w:bCs/>
          <w:szCs w:val="24"/>
        </w:rPr>
      </w:pPr>
      <w:r w:rsidRPr="004D12A9">
        <w:rPr>
          <w:bCs/>
          <w:szCs w:val="24"/>
        </w:rPr>
        <w:tab/>
      </w:r>
      <w:r>
        <w:t>Les normes e) et f) ne pourront être utilisées à la place de la norme a) qu’à partir du 1</w:t>
      </w:r>
      <w:r w:rsidRPr="00874B79">
        <w:rPr>
          <w:vertAlign w:val="superscript"/>
        </w:rPr>
        <w:t>er</w:t>
      </w:r>
      <w:r>
        <w:t xml:space="preserve"> janvier 2019. </w:t>
      </w:r>
    </w:p>
    <w:p w:rsidR="00C94B85" w:rsidRDefault="00C94B85" w:rsidP="007A48FB">
      <w:pPr>
        <w:kinsoku/>
        <w:overflowPunct/>
        <w:autoSpaceDE/>
        <w:autoSpaceDN/>
        <w:adjustRightInd/>
        <w:snapToGrid/>
        <w:spacing w:before="120"/>
        <w:ind w:left="2268" w:right="1134" w:hanging="1134"/>
        <w:jc w:val="both"/>
      </w:pPr>
      <w:r>
        <w:rPr>
          <w:szCs w:val="24"/>
        </w:rPr>
        <w:t>6.5.3.3</w:t>
      </w:r>
      <w:r w:rsidRPr="004D12A9">
        <w:rPr>
          <w:szCs w:val="24"/>
        </w:rPr>
        <w:tab/>
      </w:r>
      <w:r>
        <w:t>L’appareillage d’essai et les outils de diagnostic nécessaires pour communiquer avec le système d’autodiagnostic doivent au moins respecter les spécifications fonctionnelles données dans la norme indiquée au paragraphe 6.5.3.2 b) du présent appendice.</w:t>
      </w:r>
    </w:p>
    <w:p w:rsidR="00C94B85" w:rsidRDefault="00C94B85" w:rsidP="007A48FB">
      <w:pPr>
        <w:kinsoku/>
        <w:overflowPunct/>
        <w:autoSpaceDE/>
        <w:autoSpaceDN/>
        <w:adjustRightInd/>
        <w:snapToGrid/>
        <w:spacing w:before="120"/>
        <w:ind w:left="2268" w:right="1134" w:hanging="1134"/>
        <w:jc w:val="both"/>
      </w:pPr>
      <w:r w:rsidRPr="004D12A9">
        <w:rPr>
          <w:szCs w:val="24"/>
        </w:rPr>
        <w:lastRenderedPageBreak/>
        <w:t xml:space="preserve">6.5.3.4 </w:t>
      </w:r>
      <w:r w:rsidRPr="004D12A9">
        <w:rPr>
          <w:szCs w:val="24"/>
        </w:rPr>
        <w:tab/>
      </w:r>
      <w:r>
        <w:t xml:space="preserve">Les données de diagnostic de base (spécifiées au paragraphe 6.5.1) et les informations de contrôle bidirectionnel doivent être fournies selon le format prescrit et en utilisant les unités prévues dans la norme indiquée au paragraphe 6.5.3.2 a) du présent appendice et doivent au moins respecter les spécifications fonctionnelles données dans la norme indiquée au paragraphe 6.5.3.2 b) du présent appendice. </w:t>
      </w:r>
    </w:p>
    <w:p w:rsidR="00C94B85" w:rsidRDefault="00C94B85" w:rsidP="007A48FB">
      <w:pPr>
        <w:kinsoku/>
        <w:overflowPunct/>
        <w:autoSpaceDE/>
        <w:autoSpaceDN/>
        <w:adjustRightInd/>
        <w:snapToGrid/>
        <w:spacing w:before="120"/>
        <w:ind w:left="2268" w:right="1134" w:hanging="1134"/>
        <w:jc w:val="both"/>
        <w:rPr>
          <w:szCs w:val="24"/>
        </w:rPr>
      </w:pPr>
      <w:r w:rsidRPr="00C70577">
        <w:rPr>
          <w:szCs w:val="24"/>
        </w:rPr>
        <w:tab/>
      </w:r>
      <w:r w:rsidRPr="00C70577">
        <w:rPr>
          <w:szCs w:val="24"/>
        </w:rPr>
        <w:tab/>
      </w:r>
      <w:r>
        <w:t>Le constructeur du véhicule doit communiquer à l’organisme national de normalisation des données détaillées de diagnostic relatif aux émissions, par exemple PID, “données d’identification des programmes de surveillance OBD”, “test Id” non spécifiés dans la norme indiquée au paragraphe 6.5.3.2 a) du présent appendice mais liés au présent Règlement.</w:t>
      </w:r>
    </w:p>
    <w:p w:rsidR="00C94B85" w:rsidRDefault="00C94B85" w:rsidP="007A48FB">
      <w:pPr>
        <w:kinsoku/>
        <w:overflowPunct/>
        <w:autoSpaceDE/>
        <w:autoSpaceDN/>
        <w:adjustRightInd/>
        <w:snapToGrid/>
        <w:spacing w:before="120"/>
        <w:ind w:left="2268" w:right="1134" w:hanging="1134"/>
        <w:jc w:val="both"/>
      </w:pPr>
      <w:r w:rsidRPr="004D12A9">
        <w:rPr>
          <w:szCs w:val="24"/>
        </w:rPr>
        <w:t xml:space="preserve">6.5.3.5 </w:t>
      </w:r>
      <w:r w:rsidRPr="004D12A9">
        <w:rPr>
          <w:szCs w:val="24"/>
        </w:rPr>
        <w:tab/>
      </w:r>
      <w:r>
        <w:t xml:space="preserve">Lorsqu’une erreur est enregistrée, le constructeur doit l’identifier en utilisant un code d’erreur ISO/SAE approprié spécifié dans l’une des normes indiquées au paragraphe 6.5.3.2 d) du présent appendice concernant les “codes d’anomalie du système de diagnostic relatif aux émissions”. Si ce n’est pas possible, le constructeur peut utiliser des codes d’anomalie visés dans la même norme. L’accès aux codes défaut est doit être possible par le biais d’un appareillage de diagnostic normalisé conforme aux dispositions du paragraphe 6.5.3.2 de la présente annexe. </w:t>
      </w:r>
    </w:p>
    <w:p w:rsidR="00C94B85" w:rsidRDefault="00C94B85" w:rsidP="007A48FB">
      <w:pPr>
        <w:kinsoku/>
        <w:overflowPunct/>
        <w:autoSpaceDE/>
        <w:autoSpaceDN/>
        <w:adjustRightInd/>
        <w:snapToGrid/>
        <w:spacing w:before="120"/>
        <w:ind w:left="2268" w:right="1134" w:hanging="1134"/>
        <w:jc w:val="both"/>
      </w:pPr>
      <w:r w:rsidRPr="00C70577">
        <w:rPr>
          <w:szCs w:val="24"/>
        </w:rPr>
        <w:tab/>
      </w:r>
      <w:r w:rsidRPr="00C70577">
        <w:rPr>
          <w:szCs w:val="24"/>
        </w:rPr>
        <w:tab/>
      </w:r>
      <w:r>
        <w:t xml:space="preserve">Le constructeur du véhicule doit communiquer à l’organisme national de normalisation des données détaillées de diagnostic relatif aux émissions, par </w:t>
      </w:r>
      <w:r w:rsidRPr="00C94B85">
        <w:rPr>
          <w:spacing w:val="-2"/>
        </w:rPr>
        <w:t>exemple PID, “données d’identification des programmes de surveillance OBD”, “test Id” non spécifiés dans la norme</w:t>
      </w:r>
      <w:r w:rsidR="00A20387">
        <w:rPr>
          <w:spacing w:val="-2"/>
        </w:rPr>
        <w:t xml:space="preserve"> indiquée au paragraphe 6.5.3.2 </w:t>
      </w:r>
      <w:r w:rsidRPr="00C94B85">
        <w:rPr>
          <w:spacing w:val="-2"/>
        </w:rPr>
        <w:t>a)</w:t>
      </w:r>
      <w:r>
        <w:t xml:space="preserve"> du présent appendice mais liés au présent Règlement.</w:t>
      </w:r>
    </w:p>
    <w:p w:rsidR="00C94B85" w:rsidRDefault="00C94B85" w:rsidP="007A48FB">
      <w:pPr>
        <w:kinsoku/>
        <w:overflowPunct/>
        <w:autoSpaceDE/>
        <w:autoSpaceDN/>
        <w:adjustRightInd/>
        <w:snapToGrid/>
        <w:spacing w:before="120" w:after="120"/>
        <w:ind w:left="2268" w:right="1134" w:hanging="1134"/>
        <w:jc w:val="both"/>
      </w:pPr>
      <w:r w:rsidRPr="004D12A9">
        <w:rPr>
          <w:szCs w:val="24"/>
        </w:rPr>
        <w:t xml:space="preserve">6.5.3.6 </w:t>
      </w:r>
      <w:r w:rsidRPr="004D12A9">
        <w:rPr>
          <w:szCs w:val="24"/>
        </w:rPr>
        <w:tab/>
      </w:r>
      <w:r>
        <w:t>L’interface de connexion entre le véhicule et le banc de diagnostic doit être normalisée et respecter toutes les spécifications de la norme indiquée au paragraphe 6.5.3.2 c) du présent appendice. L’emplacement choisi pour le montage doit être approuvé par l’autorité chargée de l’homologation: il doit être facilement accessible au personnel de service mais doit être protégé contre toute utilisation non autorisée.</w:t>
      </w:r>
      <w:r w:rsidR="00A706F4">
        <w:t xml:space="preserve"> </w:t>
      </w:r>
    </w:p>
    <w:p w:rsidR="00C94B85" w:rsidRDefault="00C94B85" w:rsidP="007A48FB">
      <w:pPr>
        <w:suppressAutoHyphens w:val="0"/>
        <w:kinsoku/>
        <w:overflowPunct/>
        <w:snapToGrid/>
        <w:spacing w:line="240" w:lineRule="auto"/>
        <w:ind w:left="2268" w:right="1134" w:hanging="1134"/>
        <w:jc w:val="both"/>
      </w:pPr>
      <w:r w:rsidRPr="004D12A9">
        <w:rPr>
          <w:szCs w:val="24"/>
        </w:rPr>
        <w:t xml:space="preserve">6.5.3.7 </w:t>
      </w:r>
      <w:r w:rsidRPr="004D12A9">
        <w:rPr>
          <w:szCs w:val="24"/>
        </w:rPr>
        <w:tab/>
      </w:r>
      <w:r>
        <w:t>Le constructeur doit également rendre accessibles, le cas échéant à titre onéreux, les informations techniques nécessaires à la réparation ou à l’entretien des véhicules, à moins que ces informations soient couvertes par un droit de propriété intellectuelle ou constituent un savoir-faire secret, substantiel et identifié, auquel cas on ne peut refuser de façon abusive de communiquer les informations techniques nécessaires.</w:t>
      </w:r>
    </w:p>
    <w:p w:rsidR="00C94B85" w:rsidRPr="004D12A9" w:rsidRDefault="00C94B85" w:rsidP="007A48FB">
      <w:pPr>
        <w:kinsoku/>
        <w:overflowPunct/>
        <w:autoSpaceDE/>
        <w:autoSpaceDN/>
        <w:adjustRightInd/>
        <w:snapToGrid/>
        <w:spacing w:before="120"/>
        <w:ind w:left="2268" w:right="1134" w:hanging="1134"/>
        <w:jc w:val="both"/>
        <w:rPr>
          <w:szCs w:val="24"/>
        </w:rPr>
      </w:pPr>
      <w:r w:rsidRPr="00C70577">
        <w:rPr>
          <w:szCs w:val="24"/>
        </w:rPr>
        <w:tab/>
      </w:r>
      <w:r>
        <w:t>Toutes les personnes dont la profession est de réparer, d’entretenir, de dépanner, d’inspecter ou de tester les véhicules, de fabriquer ou de vendre des pièces de rechange ou des accessoires, des outils de diagnostic et des équipements d’essai, sont habilitées à accéder à ces informations</w:t>
      </w:r>
      <w:r w:rsidR="004A7474">
        <w:rPr>
          <w:szCs w:val="24"/>
        </w:rPr>
        <w:t>»</w:t>
      </w:r>
      <w:r>
        <w:rPr>
          <w:szCs w:val="24"/>
        </w:rPr>
        <w:t>.</w:t>
      </w:r>
    </w:p>
    <w:p w:rsidR="00C94B85" w:rsidRPr="004D12A9" w:rsidRDefault="00C94B85" w:rsidP="007A48FB">
      <w:pPr>
        <w:kinsoku/>
        <w:overflowPunct/>
        <w:autoSpaceDE/>
        <w:autoSpaceDN/>
        <w:adjustRightInd/>
        <w:snapToGrid/>
        <w:spacing w:before="120"/>
        <w:ind w:left="2268" w:right="1134" w:hanging="1134"/>
        <w:jc w:val="both"/>
        <w:rPr>
          <w:szCs w:val="24"/>
        </w:rPr>
      </w:pPr>
      <w:r>
        <w:rPr>
          <w:i/>
          <w:iCs/>
          <w:szCs w:val="24"/>
        </w:rPr>
        <w:t>Annexe </w:t>
      </w:r>
      <w:r w:rsidRPr="004D12A9">
        <w:rPr>
          <w:i/>
          <w:iCs/>
          <w:szCs w:val="24"/>
        </w:rPr>
        <w:t xml:space="preserve">11, </w:t>
      </w:r>
      <w:r>
        <w:rPr>
          <w:i/>
          <w:iCs/>
          <w:szCs w:val="24"/>
        </w:rPr>
        <w:t>a</w:t>
      </w:r>
      <w:r w:rsidRPr="004D12A9">
        <w:rPr>
          <w:i/>
          <w:iCs/>
          <w:szCs w:val="24"/>
        </w:rPr>
        <w:t>ppendi</w:t>
      </w:r>
      <w:r>
        <w:rPr>
          <w:i/>
          <w:iCs/>
          <w:szCs w:val="24"/>
        </w:rPr>
        <w:t>ce</w:t>
      </w:r>
      <w:r w:rsidRPr="004D12A9">
        <w:rPr>
          <w:i/>
          <w:iCs/>
          <w:szCs w:val="24"/>
        </w:rPr>
        <w:t xml:space="preserve"> 1, </w:t>
      </w:r>
      <w:r w:rsidRPr="00674814">
        <w:rPr>
          <w:i/>
          <w:iCs/>
          <w:szCs w:val="24"/>
        </w:rPr>
        <w:t>paragraphe</w:t>
      </w:r>
      <w:r>
        <w:rPr>
          <w:i/>
          <w:iCs/>
          <w:szCs w:val="24"/>
        </w:rPr>
        <w:t> </w:t>
      </w:r>
      <w:r w:rsidRPr="004D12A9">
        <w:rPr>
          <w:i/>
          <w:iCs/>
          <w:szCs w:val="24"/>
        </w:rPr>
        <w:t>7.6.1</w:t>
      </w:r>
      <w:r w:rsidRPr="004D12A9">
        <w:rPr>
          <w:szCs w:val="24"/>
        </w:rPr>
        <w:t xml:space="preserve">, </w:t>
      </w:r>
      <w:r w:rsidRPr="00674814">
        <w:rPr>
          <w:szCs w:val="24"/>
        </w:rPr>
        <w:t>modifier comme suit</w:t>
      </w:r>
      <w:r w:rsidRPr="004D12A9">
        <w:rPr>
          <w:iCs/>
          <w:szCs w:val="24"/>
        </w:rPr>
        <w:t>:</w:t>
      </w:r>
    </w:p>
    <w:p w:rsidR="00C94B85" w:rsidRDefault="00C94B85" w:rsidP="007A48FB">
      <w:pPr>
        <w:kinsoku/>
        <w:overflowPunct/>
        <w:autoSpaceDE/>
        <w:autoSpaceDN/>
        <w:adjustRightInd/>
        <w:snapToGrid/>
        <w:spacing w:before="120"/>
        <w:ind w:left="2268" w:right="1134" w:hanging="1134"/>
        <w:jc w:val="both"/>
      </w:pPr>
      <w:r>
        <w:rPr>
          <w:szCs w:val="24"/>
        </w:rPr>
        <w:t>«</w:t>
      </w:r>
      <w:r w:rsidRPr="004D12A9">
        <w:rPr>
          <w:szCs w:val="24"/>
        </w:rPr>
        <w:t xml:space="preserve">7.6.1 </w:t>
      </w:r>
      <w:r w:rsidRPr="004D12A9">
        <w:rPr>
          <w:szCs w:val="24"/>
        </w:rPr>
        <w:tab/>
      </w:r>
      <w:r>
        <w:t>Le système OBD doit relever, conformément à la norme ISO 15031-5 indiquée au paragraphe 6.5.3.2 a) du présent appendice, l’état du compteur de cycles d’allumage et du dénominateur général ainsi que des numérateurs et dénominateurs séparés pour les surveillances ci-dessous, si leur présence sur le véhicule est exigée par la présente annexe:</w:t>
      </w:r>
    </w:p>
    <w:p w:rsidR="00C94B85" w:rsidRPr="004D12A9" w:rsidRDefault="00C94B85" w:rsidP="007A48FB">
      <w:pPr>
        <w:kinsoku/>
        <w:overflowPunct/>
        <w:autoSpaceDE/>
        <w:autoSpaceDN/>
        <w:adjustRightInd/>
        <w:snapToGrid/>
        <w:spacing w:before="120"/>
        <w:ind w:left="2268" w:right="1134"/>
        <w:jc w:val="both"/>
        <w:rPr>
          <w:szCs w:val="24"/>
        </w:rPr>
      </w:pPr>
      <w:r w:rsidRPr="004D12A9">
        <w:rPr>
          <w:bCs/>
          <w:szCs w:val="24"/>
        </w:rPr>
        <w:t>a)</w:t>
      </w:r>
      <w:r w:rsidRPr="004D12A9">
        <w:rPr>
          <w:bCs/>
          <w:szCs w:val="24"/>
        </w:rPr>
        <w:tab/>
      </w:r>
      <w:r>
        <w:t>Catalyseurs (relevé séparé de chaque rampe);</w:t>
      </w:r>
      <w:r w:rsidRPr="004D12A9">
        <w:rPr>
          <w:szCs w:val="24"/>
        </w:rPr>
        <w:t xml:space="preserve"> </w:t>
      </w:r>
    </w:p>
    <w:p w:rsidR="00C94B85" w:rsidRDefault="00C94B85" w:rsidP="007A48FB">
      <w:pPr>
        <w:kinsoku/>
        <w:overflowPunct/>
        <w:autoSpaceDE/>
        <w:autoSpaceDN/>
        <w:adjustRightInd/>
        <w:snapToGrid/>
        <w:spacing w:before="120"/>
        <w:ind w:left="2835" w:right="1134" w:hanging="567"/>
        <w:jc w:val="both"/>
      </w:pPr>
      <w:r w:rsidRPr="004D12A9">
        <w:rPr>
          <w:bCs/>
          <w:szCs w:val="24"/>
        </w:rPr>
        <w:lastRenderedPageBreak/>
        <w:t>b)</w:t>
      </w:r>
      <w:r w:rsidRPr="004D12A9">
        <w:rPr>
          <w:bCs/>
          <w:szCs w:val="24"/>
        </w:rPr>
        <w:tab/>
      </w:r>
      <w:r>
        <w:t>Sondes à oxygène/capteurs de gaz d’échappement, y compris les sondes à oxygène secondaires (relevé séparé de chaque sonde ou capteur);</w:t>
      </w:r>
    </w:p>
    <w:p w:rsidR="00C94B85" w:rsidRPr="004D12A9" w:rsidRDefault="00C94B85" w:rsidP="007A48FB">
      <w:pPr>
        <w:kinsoku/>
        <w:overflowPunct/>
        <w:autoSpaceDE/>
        <w:autoSpaceDN/>
        <w:adjustRightInd/>
        <w:snapToGrid/>
        <w:spacing w:before="120"/>
        <w:ind w:left="2268" w:right="1134"/>
        <w:jc w:val="both"/>
        <w:rPr>
          <w:szCs w:val="24"/>
        </w:rPr>
      </w:pPr>
      <w:r w:rsidRPr="004D12A9">
        <w:rPr>
          <w:bCs/>
          <w:szCs w:val="24"/>
        </w:rPr>
        <w:t>c)</w:t>
      </w:r>
      <w:r w:rsidRPr="004D12A9">
        <w:rPr>
          <w:bCs/>
          <w:szCs w:val="24"/>
        </w:rPr>
        <w:tab/>
      </w:r>
      <w:r>
        <w:t>Système d’évaporation;</w:t>
      </w:r>
    </w:p>
    <w:p w:rsidR="00C94B85" w:rsidRPr="004D12A9" w:rsidRDefault="00C94B85" w:rsidP="007A48FB">
      <w:pPr>
        <w:kinsoku/>
        <w:overflowPunct/>
        <w:autoSpaceDE/>
        <w:autoSpaceDN/>
        <w:adjustRightInd/>
        <w:snapToGrid/>
        <w:spacing w:before="120"/>
        <w:ind w:left="2268" w:right="1134"/>
        <w:jc w:val="both"/>
        <w:rPr>
          <w:szCs w:val="24"/>
          <w:lang w:val="de-DE"/>
        </w:rPr>
      </w:pPr>
      <w:r w:rsidRPr="004D12A9">
        <w:rPr>
          <w:bCs/>
          <w:szCs w:val="24"/>
          <w:lang w:val="de-DE"/>
        </w:rPr>
        <w:t>d)</w:t>
      </w:r>
      <w:r w:rsidRPr="004D12A9">
        <w:rPr>
          <w:bCs/>
          <w:szCs w:val="24"/>
          <w:lang w:val="de-DE"/>
        </w:rPr>
        <w:tab/>
      </w:r>
      <w:r>
        <w:t>Système EGR</w:t>
      </w:r>
      <w:r w:rsidRPr="004D12A9">
        <w:rPr>
          <w:szCs w:val="24"/>
          <w:lang w:val="de-DE"/>
        </w:rPr>
        <w:t>;</w:t>
      </w:r>
    </w:p>
    <w:p w:rsidR="00C94B85" w:rsidRPr="004D12A9" w:rsidRDefault="00C94B85" w:rsidP="007A48FB">
      <w:pPr>
        <w:kinsoku/>
        <w:overflowPunct/>
        <w:autoSpaceDE/>
        <w:autoSpaceDN/>
        <w:adjustRightInd/>
        <w:snapToGrid/>
        <w:spacing w:before="120"/>
        <w:ind w:left="2268" w:right="1134"/>
        <w:jc w:val="both"/>
        <w:rPr>
          <w:szCs w:val="24"/>
          <w:lang w:val="de-DE"/>
        </w:rPr>
      </w:pPr>
      <w:r w:rsidRPr="004D12A9">
        <w:rPr>
          <w:bCs/>
          <w:szCs w:val="24"/>
          <w:lang w:val="de-DE"/>
        </w:rPr>
        <w:t>e)</w:t>
      </w:r>
      <w:r w:rsidRPr="004D12A9">
        <w:rPr>
          <w:bCs/>
          <w:szCs w:val="24"/>
          <w:lang w:val="de-DE"/>
        </w:rPr>
        <w:tab/>
      </w:r>
      <w:r>
        <w:t>Système VVT</w:t>
      </w:r>
      <w:r w:rsidRPr="004D12A9">
        <w:rPr>
          <w:szCs w:val="24"/>
          <w:lang w:val="de-DE"/>
        </w:rPr>
        <w:t>;</w:t>
      </w:r>
    </w:p>
    <w:p w:rsidR="00C94B85" w:rsidRPr="004D12A9" w:rsidRDefault="00C94B85" w:rsidP="007A48FB">
      <w:pPr>
        <w:kinsoku/>
        <w:overflowPunct/>
        <w:autoSpaceDE/>
        <w:autoSpaceDN/>
        <w:adjustRightInd/>
        <w:snapToGrid/>
        <w:spacing w:before="120"/>
        <w:ind w:left="2268" w:right="1134"/>
        <w:jc w:val="both"/>
        <w:rPr>
          <w:szCs w:val="24"/>
        </w:rPr>
      </w:pPr>
      <w:r w:rsidRPr="004D12A9">
        <w:rPr>
          <w:bCs/>
          <w:szCs w:val="24"/>
        </w:rPr>
        <w:t>f)</w:t>
      </w:r>
      <w:r w:rsidRPr="004D12A9">
        <w:rPr>
          <w:bCs/>
          <w:szCs w:val="24"/>
        </w:rPr>
        <w:tab/>
      </w:r>
      <w:r>
        <w:t>Système d’air secondaire</w:t>
      </w:r>
      <w:r w:rsidRPr="004D12A9">
        <w:rPr>
          <w:szCs w:val="24"/>
        </w:rPr>
        <w:t>;</w:t>
      </w:r>
    </w:p>
    <w:p w:rsidR="00C94B85" w:rsidRPr="004D12A9" w:rsidRDefault="00C94B85" w:rsidP="007A48FB">
      <w:pPr>
        <w:kinsoku/>
        <w:overflowPunct/>
        <w:autoSpaceDE/>
        <w:autoSpaceDN/>
        <w:adjustRightInd/>
        <w:snapToGrid/>
        <w:spacing w:before="120"/>
        <w:ind w:left="2268" w:right="1134"/>
        <w:jc w:val="both"/>
        <w:rPr>
          <w:szCs w:val="24"/>
        </w:rPr>
      </w:pPr>
      <w:r w:rsidRPr="004D12A9">
        <w:rPr>
          <w:bCs/>
          <w:szCs w:val="24"/>
        </w:rPr>
        <w:t>g)</w:t>
      </w:r>
      <w:r w:rsidRPr="004D12A9">
        <w:rPr>
          <w:bCs/>
          <w:szCs w:val="24"/>
        </w:rPr>
        <w:tab/>
      </w:r>
      <w:r>
        <w:t>Filtre à particules;</w:t>
      </w:r>
    </w:p>
    <w:p w:rsidR="00C94B85" w:rsidRDefault="00C94B85" w:rsidP="007A48FB">
      <w:pPr>
        <w:kinsoku/>
        <w:overflowPunct/>
        <w:autoSpaceDE/>
        <w:autoSpaceDN/>
        <w:adjustRightInd/>
        <w:snapToGrid/>
        <w:spacing w:before="120"/>
        <w:ind w:left="2835" w:right="1134" w:hanging="567"/>
        <w:jc w:val="both"/>
      </w:pPr>
      <w:r w:rsidRPr="004D12A9">
        <w:rPr>
          <w:bCs/>
          <w:szCs w:val="24"/>
        </w:rPr>
        <w:t>h)</w:t>
      </w:r>
      <w:r w:rsidRPr="004D12A9">
        <w:rPr>
          <w:bCs/>
          <w:szCs w:val="24"/>
        </w:rPr>
        <w:tab/>
      </w:r>
      <w:r>
        <w:t xml:space="preserve">Système d’épuration aval des </w:t>
      </w:r>
      <w:r w:rsidRPr="004D12A9">
        <w:rPr>
          <w:szCs w:val="24"/>
        </w:rPr>
        <w:t>NO</w:t>
      </w:r>
      <w:r w:rsidRPr="004D12A9">
        <w:rPr>
          <w:szCs w:val="24"/>
          <w:vertAlign w:val="subscript"/>
        </w:rPr>
        <w:t>x</w:t>
      </w:r>
      <w:r>
        <w:t xml:space="preserve"> (par exemple adsorbeur de </w:t>
      </w:r>
      <w:r w:rsidRPr="004D12A9">
        <w:rPr>
          <w:szCs w:val="24"/>
        </w:rPr>
        <w:t>NO</w:t>
      </w:r>
      <w:r w:rsidRPr="004D12A9">
        <w:rPr>
          <w:szCs w:val="24"/>
          <w:vertAlign w:val="subscript"/>
        </w:rPr>
        <w:t>x</w:t>
      </w:r>
      <w:r>
        <w:t xml:space="preserve">, système réactif/catalyseur de </w:t>
      </w:r>
      <w:r w:rsidRPr="004D12A9">
        <w:rPr>
          <w:szCs w:val="24"/>
        </w:rPr>
        <w:t>NO</w:t>
      </w:r>
      <w:r w:rsidRPr="004D12A9">
        <w:rPr>
          <w:szCs w:val="24"/>
          <w:vertAlign w:val="subscript"/>
        </w:rPr>
        <w:t>x</w:t>
      </w:r>
      <w:r>
        <w:t>);</w:t>
      </w:r>
    </w:p>
    <w:p w:rsidR="00C94B85" w:rsidRPr="004D12A9" w:rsidRDefault="00C94B85" w:rsidP="007A48FB">
      <w:pPr>
        <w:kinsoku/>
        <w:overflowPunct/>
        <w:autoSpaceDE/>
        <w:autoSpaceDN/>
        <w:adjustRightInd/>
        <w:snapToGrid/>
        <w:spacing w:before="120"/>
        <w:ind w:left="2268" w:right="1134"/>
        <w:jc w:val="both"/>
        <w:rPr>
          <w:szCs w:val="24"/>
        </w:rPr>
      </w:pPr>
      <w:r w:rsidRPr="004D12A9">
        <w:rPr>
          <w:bCs/>
          <w:szCs w:val="24"/>
        </w:rPr>
        <w:t>i)</w:t>
      </w:r>
      <w:r w:rsidRPr="004D12A9">
        <w:rPr>
          <w:bCs/>
          <w:szCs w:val="24"/>
        </w:rPr>
        <w:tab/>
      </w:r>
      <w:r>
        <w:t>Système de contrôle de la pression</w:t>
      </w:r>
      <w:r>
        <w:rPr>
          <w:szCs w:val="24"/>
        </w:rPr>
        <w:t>»</w:t>
      </w:r>
      <w:r w:rsidRPr="00845113">
        <w:rPr>
          <w:szCs w:val="24"/>
        </w:rPr>
        <w:t>.</w:t>
      </w:r>
    </w:p>
    <w:p w:rsidR="00C94B85" w:rsidRPr="004D12A9" w:rsidRDefault="00C94B85" w:rsidP="007A48FB">
      <w:pPr>
        <w:keepNext/>
        <w:kinsoku/>
        <w:overflowPunct/>
        <w:autoSpaceDE/>
        <w:autoSpaceDN/>
        <w:adjustRightInd/>
        <w:snapToGrid/>
        <w:spacing w:before="120"/>
        <w:ind w:left="2268" w:right="1134" w:hanging="1134"/>
        <w:jc w:val="both"/>
        <w:rPr>
          <w:szCs w:val="24"/>
        </w:rPr>
      </w:pPr>
      <w:r>
        <w:rPr>
          <w:i/>
          <w:iCs/>
          <w:szCs w:val="24"/>
        </w:rPr>
        <w:t>Annexe </w:t>
      </w:r>
      <w:r w:rsidRPr="004D12A9">
        <w:rPr>
          <w:i/>
          <w:iCs/>
          <w:szCs w:val="24"/>
        </w:rPr>
        <w:t xml:space="preserve">11, </w:t>
      </w:r>
      <w:r w:rsidRPr="00674814">
        <w:rPr>
          <w:i/>
          <w:iCs/>
          <w:szCs w:val="24"/>
        </w:rPr>
        <w:t>paragraphe</w:t>
      </w:r>
      <w:r>
        <w:rPr>
          <w:i/>
          <w:iCs/>
          <w:szCs w:val="24"/>
        </w:rPr>
        <w:t> </w:t>
      </w:r>
      <w:r w:rsidRPr="004D12A9">
        <w:rPr>
          <w:i/>
          <w:iCs/>
          <w:szCs w:val="24"/>
        </w:rPr>
        <w:t>2</w:t>
      </w:r>
      <w:r w:rsidRPr="00C94B85">
        <w:t xml:space="preserve">, </w:t>
      </w:r>
      <w:r w:rsidRPr="00674814">
        <w:rPr>
          <w:iCs/>
          <w:szCs w:val="24"/>
        </w:rPr>
        <w:t>modifier comme suit</w:t>
      </w:r>
      <w:r w:rsidRPr="004D12A9">
        <w:rPr>
          <w:iCs/>
          <w:szCs w:val="24"/>
        </w:rPr>
        <w:t>:</w:t>
      </w:r>
      <w:r w:rsidRPr="004D12A9">
        <w:rPr>
          <w:i/>
          <w:iCs/>
          <w:szCs w:val="24"/>
        </w:rPr>
        <w:t xml:space="preserve"> </w:t>
      </w:r>
    </w:p>
    <w:p w:rsidR="00C94B85" w:rsidRPr="00C70577" w:rsidRDefault="00C94B85" w:rsidP="007A48FB">
      <w:pPr>
        <w:kinsoku/>
        <w:overflowPunct/>
        <w:autoSpaceDE/>
        <w:autoSpaceDN/>
        <w:adjustRightInd/>
        <w:snapToGrid/>
        <w:spacing w:before="120"/>
        <w:ind w:left="2268" w:right="1134" w:hanging="1134"/>
        <w:jc w:val="both"/>
        <w:rPr>
          <w:szCs w:val="24"/>
        </w:rPr>
      </w:pPr>
      <w:r>
        <w:rPr>
          <w:szCs w:val="24"/>
        </w:rPr>
        <w:t>«</w:t>
      </w:r>
      <w:r w:rsidRPr="00C70577">
        <w:rPr>
          <w:szCs w:val="24"/>
        </w:rPr>
        <w:t xml:space="preserve">2. </w:t>
      </w:r>
      <w:r w:rsidRPr="00C70577">
        <w:rPr>
          <w:szCs w:val="24"/>
        </w:rPr>
        <w:tab/>
        <w:t>…</w:t>
      </w:r>
    </w:p>
    <w:p w:rsidR="00C94B85" w:rsidRPr="004D12A9" w:rsidRDefault="00C94B85" w:rsidP="007A48FB">
      <w:pPr>
        <w:kinsoku/>
        <w:overflowPunct/>
        <w:autoSpaceDE/>
        <w:autoSpaceDN/>
        <w:adjustRightInd/>
        <w:snapToGrid/>
        <w:spacing w:before="120" w:after="120"/>
        <w:ind w:left="2268" w:right="1134"/>
        <w:jc w:val="both"/>
        <w:rPr>
          <w:bCs/>
          <w:szCs w:val="24"/>
        </w:rPr>
      </w:pPr>
      <w:r w:rsidRPr="00C70577">
        <w:rPr>
          <w:szCs w:val="24"/>
        </w:rPr>
        <w:tab/>
      </w:r>
      <w:r>
        <w:t>Au sens de la présente annexe seulement</w:t>
      </w:r>
      <w:r w:rsidRPr="004D12A9">
        <w:rPr>
          <w:bCs/>
          <w:szCs w:val="24"/>
        </w:rPr>
        <w:t>:</w:t>
      </w:r>
      <w:r>
        <w:rPr>
          <w:bCs/>
          <w:szCs w:val="24"/>
        </w:rPr>
        <w:t>»</w:t>
      </w:r>
    </w:p>
    <w:p w:rsidR="00C94B85" w:rsidRPr="004D12A9" w:rsidRDefault="00C94B85" w:rsidP="007A48FB">
      <w:pPr>
        <w:keepNext/>
        <w:autoSpaceDE/>
        <w:autoSpaceDN/>
        <w:adjustRightInd/>
        <w:snapToGrid/>
        <w:spacing w:after="120"/>
        <w:ind w:left="1134" w:right="1134"/>
        <w:textAlignment w:val="baseline"/>
        <w:rPr>
          <w:szCs w:val="24"/>
        </w:rPr>
      </w:pPr>
      <w:r>
        <w:rPr>
          <w:i/>
          <w:iCs/>
          <w:szCs w:val="24"/>
        </w:rPr>
        <w:t>Annexe </w:t>
      </w:r>
      <w:r w:rsidRPr="004D12A9">
        <w:rPr>
          <w:i/>
          <w:iCs/>
          <w:szCs w:val="24"/>
        </w:rPr>
        <w:t xml:space="preserve">11, </w:t>
      </w:r>
      <w:r w:rsidRPr="00674814">
        <w:rPr>
          <w:i/>
          <w:iCs/>
          <w:szCs w:val="24"/>
        </w:rPr>
        <w:t>paragraphe</w:t>
      </w:r>
      <w:r w:rsidRPr="004D12A9">
        <w:rPr>
          <w:i/>
          <w:iCs/>
          <w:szCs w:val="24"/>
        </w:rPr>
        <w:t xml:space="preserve"> 2.10</w:t>
      </w:r>
      <w:r w:rsidRPr="00C94B85">
        <w:t>,</w:t>
      </w:r>
      <w:r w:rsidRPr="004D12A9">
        <w:rPr>
          <w:i/>
          <w:iCs/>
          <w:szCs w:val="24"/>
        </w:rPr>
        <w:t xml:space="preserve"> </w:t>
      </w:r>
      <w:r w:rsidRPr="00674814">
        <w:rPr>
          <w:iCs/>
          <w:szCs w:val="24"/>
        </w:rPr>
        <w:t>modifier comme suit</w:t>
      </w:r>
      <w:r w:rsidRPr="004D12A9">
        <w:rPr>
          <w:iCs/>
          <w:szCs w:val="24"/>
        </w:rPr>
        <w:t xml:space="preserve">: </w:t>
      </w:r>
    </w:p>
    <w:p w:rsidR="00C94B85" w:rsidRDefault="00C94B85" w:rsidP="007A48FB">
      <w:pPr>
        <w:autoSpaceDE/>
        <w:autoSpaceDN/>
        <w:adjustRightInd/>
        <w:snapToGrid/>
        <w:spacing w:before="120" w:after="120"/>
        <w:ind w:left="2259" w:right="1134" w:hanging="1125"/>
        <w:textAlignment w:val="baseline"/>
      </w:pPr>
      <w:r>
        <w:rPr>
          <w:szCs w:val="24"/>
        </w:rPr>
        <w:t>«</w:t>
      </w:r>
      <w:r w:rsidRPr="004D12A9">
        <w:rPr>
          <w:szCs w:val="24"/>
        </w:rPr>
        <w:t xml:space="preserve">2.10 </w:t>
      </w:r>
      <w:r w:rsidRPr="004D12A9">
        <w:rPr>
          <w:szCs w:val="24"/>
        </w:rPr>
        <w:tab/>
      </w:r>
      <w:r>
        <w:t>“</w:t>
      </w:r>
      <w:r w:rsidRPr="00A23282">
        <w:rPr>
          <w:i/>
        </w:rPr>
        <w:t>Cycle de conduite</w:t>
      </w:r>
      <w:r>
        <w:t xml:space="preserve">”, l’ensemble d’opérations comprenant le démarrage du moteur, une phase de roulage pendant laquelle un éventuel dysfonctionnement serait détecté et la coupure du moteur (position arrêt)». </w:t>
      </w:r>
    </w:p>
    <w:p w:rsidR="00C94B85" w:rsidRDefault="00C94B85" w:rsidP="007A48FB">
      <w:pPr>
        <w:keepNext/>
        <w:autoSpaceDE/>
        <w:autoSpaceDN/>
        <w:adjustRightInd/>
        <w:snapToGrid/>
        <w:spacing w:before="120" w:after="120"/>
        <w:ind w:left="2259" w:right="1134" w:hanging="1125"/>
        <w:textAlignment w:val="baseline"/>
        <w:rPr>
          <w:i/>
          <w:iCs/>
          <w:szCs w:val="24"/>
        </w:rPr>
      </w:pPr>
      <w:r>
        <w:rPr>
          <w:i/>
          <w:iCs/>
          <w:szCs w:val="24"/>
        </w:rPr>
        <w:t>Annexe</w:t>
      </w:r>
      <w:r w:rsidR="00FB7A55">
        <w:rPr>
          <w:i/>
          <w:iCs/>
          <w:szCs w:val="24"/>
        </w:rPr>
        <w:t> </w:t>
      </w:r>
      <w:r w:rsidRPr="004D12A9">
        <w:rPr>
          <w:i/>
          <w:iCs/>
          <w:szCs w:val="24"/>
        </w:rPr>
        <w:t xml:space="preserve">11, </w:t>
      </w:r>
      <w:r w:rsidRPr="00674814">
        <w:rPr>
          <w:i/>
          <w:iCs/>
          <w:szCs w:val="24"/>
        </w:rPr>
        <w:t>paragraphe</w:t>
      </w:r>
      <w:r w:rsidRPr="004D12A9">
        <w:rPr>
          <w:i/>
          <w:iCs/>
          <w:szCs w:val="24"/>
        </w:rPr>
        <w:t xml:space="preserve"> 3.8.1</w:t>
      </w:r>
      <w:r w:rsidRPr="00FB7A55">
        <w:t xml:space="preserve">, </w:t>
      </w:r>
      <w:r w:rsidRPr="00674814">
        <w:rPr>
          <w:iCs/>
          <w:szCs w:val="24"/>
        </w:rPr>
        <w:t>modif</w:t>
      </w:r>
      <w:r>
        <w:rPr>
          <w:iCs/>
          <w:szCs w:val="24"/>
        </w:rPr>
        <w:t>i</w:t>
      </w:r>
      <w:r w:rsidRPr="00674814">
        <w:rPr>
          <w:iCs/>
          <w:szCs w:val="24"/>
        </w:rPr>
        <w:t>er comme suit</w:t>
      </w:r>
      <w:r w:rsidRPr="004D12A9">
        <w:rPr>
          <w:i/>
          <w:iCs/>
          <w:szCs w:val="24"/>
        </w:rPr>
        <w:t>:</w:t>
      </w:r>
    </w:p>
    <w:p w:rsidR="00C94B85" w:rsidRPr="004D12A9" w:rsidRDefault="00FB7A55" w:rsidP="007A48FB">
      <w:pPr>
        <w:autoSpaceDE/>
        <w:autoSpaceDN/>
        <w:adjustRightInd/>
        <w:snapToGrid/>
        <w:spacing w:before="120" w:after="120"/>
        <w:ind w:left="2259" w:right="1134" w:hanging="1125"/>
        <w:textAlignment w:val="baseline"/>
        <w:rPr>
          <w:szCs w:val="24"/>
        </w:rPr>
      </w:pPr>
      <w:r>
        <w:rPr>
          <w:szCs w:val="24"/>
        </w:rPr>
        <w:t>«</w:t>
      </w:r>
      <w:r w:rsidR="00C94B85" w:rsidRPr="004D12A9">
        <w:rPr>
          <w:szCs w:val="24"/>
        </w:rPr>
        <w:t xml:space="preserve">3.8.1 </w:t>
      </w:r>
      <w:r w:rsidR="00C94B85" w:rsidRPr="004D12A9">
        <w:rPr>
          <w:szCs w:val="24"/>
        </w:rPr>
        <w:tab/>
      </w:r>
      <w:r w:rsidR="00C94B85">
        <w:t>Le système OBD peut supprimer un code d’erreur, la distance parcourue et les codes figés correspondants si la même défaillance n’est plus ré</w:t>
      </w:r>
      <w:r>
        <w:t>enregistrée pendant au moins 40 </w:t>
      </w:r>
      <w:r w:rsidR="00C94B85">
        <w:t>cycles</w:t>
      </w:r>
      <w:r w:rsidR="00A20387">
        <w:t xml:space="preserve"> d’échauffement du moteur ou 40 </w:t>
      </w:r>
      <w:r w:rsidR="00C94B85">
        <w:t>cycles de conduite au cours desquels le fonctionnement du véhicule satisfait aux critères spécifiés aux pa</w:t>
      </w:r>
      <w:r>
        <w:t>ragraphes 7.5.1 a) à </w:t>
      </w:r>
      <w:r w:rsidR="00C94B85">
        <w:t>c) de l’</w:t>
      </w:r>
      <w:r>
        <w:t>appendice </w:t>
      </w:r>
      <w:r w:rsidR="00C94B85">
        <w:t>1 de l’annexe</w:t>
      </w:r>
      <w:r>
        <w:t> </w:t>
      </w:r>
      <w:r w:rsidR="00C94B85">
        <w:t>11</w:t>
      </w:r>
      <w:r>
        <w:rPr>
          <w:bCs/>
          <w:szCs w:val="24"/>
        </w:rPr>
        <w:t>».</w:t>
      </w:r>
    </w:p>
    <w:p w:rsidR="00C94B85" w:rsidRPr="00FB7A55" w:rsidRDefault="00C94B85" w:rsidP="007A48FB">
      <w:pPr>
        <w:keepNext/>
        <w:kinsoku/>
        <w:overflowPunct/>
        <w:autoSpaceDE/>
        <w:autoSpaceDN/>
        <w:adjustRightInd/>
        <w:snapToGrid/>
        <w:spacing w:before="120"/>
        <w:ind w:left="2268" w:right="1134" w:hanging="1134"/>
        <w:jc w:val="both"/>
      </w:pPr>
      <w:r>
        <w:rPr>
          <w:i/>
          <w:iCs/>
          <w:szCs w:val="24"/>
        </w:rPr>
        <w:t>Annexe</w:t>
      </w:r>
      <w:r w:rsidR="00FB7A55">
        <w:rPr>
          <w:i/>
          <w:iCs/>
          <w:szCs w:val="24"/>
        </w:rPr>
        <w:t> </w:t>
      </w:r>
      <w:r w:rsidRPr="004D12A9">
        <w:rPr>
          <w:i/>
          <w:iCs/>
          <w:szCs w:val="24"/>
        </w:rPr>
        <w:t xml:space="preserve">11, </w:t>
      </w:r>
      <w:r>
        <w:rPr>
          <w:i/>
          <w:iCs/>
          <w:szCs w:val="24"/>
        </w:rPr>
        <w:t>a</w:t>
      </w:r>
      <w:r w:rsidRPr="004D12A9">
        <w:rPr>
          <w:i/>
          <w:iCs/>
          <w:szCs w:val="24"/>
        </w:rPr>
        <w:t>ppendi</w:t>
      </w:r>
      <w:r>
        <w:rPr>
          <w:i/>
          <w:iCs/>
          <w:szCs w:val="24"/>
        </w:rPr>
        <w:t>ce</w:t>
      </w:r>
      <w:r w:rsidRPr="004D12A9">
        <w:rPr>
          <w:i/>
          <w:iCs/>
          <w:szCs w:val="24"/>
        </w:rPr>
        <w:t xml:space="preserve"> 1, </w:t>
      </w:r>
      <w:r w:rsidRPr="00674814">
        <w:rPr>
          <w:i/>
          <w:iCs/>
          <w:szCs w:val="24"/>
        </w:rPr>
        <w:t>paragraphe</w:t>
      </w:r>
      <w:r w:rsidR="00FB7A55">
        <w:rPr>
          <w:i/>
          <w:iCs/>
          <w:szCs w:val="24"/>
        </w:rPr>
        <w:t> </w:t>
      </w:r>
      <w:r w:rsidRPr="004D12A9">
        <w:rPr>
          <w:i/>
          <w:iCs/>
          <w:szCs w:val="24"/>
        </w:rPr>
        <w:t>1</w:t>
      </w:r>
      <w:r w:rsidRPr="004D12A9">
        <w:rPr>
          <w:szCs w:val="24"/>
        </w:rPr>
        <w:t xml:space="preserve">, </w:t>
      </w:r>
      <w:r w:rsidRPr="00674814">
        <w:rPr>
          <w:szCs w:val="24"/>
        </w:rPr>
        <w:t>modifier comme suit</w:t>
      </w:r>
      <w:r w:rsidRPr="00FB7A55">
        <w:t>:</w:t>
      </w:r>
    </w:p>
    <w:p w:rsidR="00C94B85" w:rsidRPr="00C70577" w:rsidRDefault="00FB7A55" w:rsidP="007A48FB">
      <w:pPr>
        <w:keepNext/>
        <w:kinsoku/>
        <w:overflowPunct/>
        <w:autoSpaceDE/>
        <w:autoSpaceDN/>
        <w:adjustRightInd/>
        <w:snapToGrid/>
        <w:spacing w:before="120"/>
        <w:ind w:left="2268" w:right="1134" w:hanging="1134"/>
        <w:jc w:val="both"/>
        <w:rPr>
          <w:szCs w:val="24"/>
        </w:rPr>
      </w:pPr>
      <w:r>
        <w:rPr>
          <w:szCs w:val="24"/>
        </w:rPr>
        <w:t>«</w:t>
      </w:r>
      <w:r w:rsidR="00C94B85" w:rsidRPr="00C70577">
        <w:rPr>
          <w:szCs w:val="24"/>
        </w:rPr>
        <w:t xml:space="preserve">1. </w:t>
      </w:r>
      <w:r w:rsidR="00C94B85" w:rsidRPr="00C70577">
        <w:rPr>
          <w:szCs w:val="24"/>
        </w:rPr>
        <w:tab/>
        <w:t>Introduction</w:t>
      </w:r>
    </w:p>
    <w:p w:rsidR="00C94B85" w:rsidRDefault="00C94B85" w:rsidP="007A48FB">
      <w:pPr>
        <w:kinsoku/>
        <w:overflowPunct/>
        <w:autoSpaceDE/>
        <w:autoSpaceDN/>
        <w:adjustRightInd/>
        <w:snapToGrid/>
        <w:spacing w:before="120"/>
        <w:ind w:left="2268" w:right="1134"/>
        <w:jc w:val="both"/>
      </w:pPr>
      <w:r w:rsidRPr="00C70577">
        <w:rPr>
          <w:szCs w:val="24"/>
        </w:rPr>
        <w:tab/>
      </w:r>
      <w:r>
        <w:t>Le présent appendice décrit la procédure de l’essai à effec</w:t>
      </w:r>
      <w:r w:rsidR="00FB7A55">
        <w:t>tuer conformément au paragraphe </w:t>
      </w:r>
      <w:r>
        <w:t>3 de la présente annexe. Il s’agit d’une méthode de vérification du fonctionnement du système d’autodiagnostic (OBD) installé sur un véhicule, grâce à la simulation de défaillances des systèmes correspondants au niveau du système de gestion du moteur ou de réduction des émissions. Le présent appendice décrit également les procédures à utiliser pour déterminer la durabilité des systèmes OBD.</w:t>
      </w:r>
    </w:p>
    <w:p w:rsidR="00C94B85" w:rsidRDefault="00C94B85" w:rsidP="007A48FB">
      <w:pPr>
        <w:kinsoku/>
        <w:overflowPunct/>
        <w:autoSpaceDE/>
        <w:autoSpaceDN/>
        <w:adjustRightInd/>
        <w:snapToGrid/>
        <w:spacing w:before="120"/>
        <w:ind w:left="2268" w:right="1134"/>
        <w:jc w:val="both"/>
      </w:pPr>
      <w:r>
        <w:t>Le constructeur doit mettre à disposition les composants et/ou les dispositifs électriques défectueux à utiliser pour simuler des défaillances. Lorsqu’ils sont mesurés dans le cadre du cycle d’</w:t>
      </w:r>
      <w:r w:rsidR="00FB7A55">
        <w:t>essai du type </w:t>
      </w:r>
      <w:r>
        <w:t>I, ces composants ou dispositifs défectueux ne doivent pas entraîner une production d’émissions par le v</w:t>
      </w:r>
      <w:r w:rsidR="00FB7A55">
        <w:t>éhicule dépassant de plus de 20 </w:t>
      </w:r>
      <w:r>
        <w:t>% les limites fixées au paragraphe</w:t>
      </w:r>
      <w:r w:rsidR="00FB7A55">
        <w:t> </w:t>
      </w:r>
      <w:r>
        <w:t>3.3.2. Pour les défaillances électriques (court-circuit ou circuit ouvert), les émissions du véhicule</w:t>
      </w:r>
      <w:r w:rsidR="00FB7A55">
        <w:t xml:space="preserve"> peuvent dépasser de plus de 20 </w:t>
      </w:r>
      <w:r>
        <w:t>% l</w:t>
      </w:r>
      <w:r w:rsidR="00A20387">
        <w:t>es limites fixées au paragraphe </w:t>
      </w:r>
      <w:r>
        <w:t>3.3.2.</w:t>
      </w:r>
    </w:p>
    <w:p w:rsidR="00C94B85" w:rsidRDefault="00C94B85" w:rsidP="007A48FB">
      <w:pPr>
        <w:kinsoku/>
        <w:overflowPunct/>
        <w:autoSpaceDE/>
        <w:autoSpaceDN/>
        <w:adjustRightInd/>
        <w:snapToGrid/>
        <w:spacing w:before="120" w:after="120"/>
        <w:ind w:left="2275" w:right="1138"/>
        <w:jc w:val="both"/>
        <w:rPr>
          <w:szCs w:val="24"/>
        </w:rPr>
      </w:pPr>
      <w:r>
        <w:t xml:space="preserve">Lorsque le véhicule est soumis à un essai alors qu’il est équipé du composant ou dispositif défectueux, le système OBD est approuvé si l’indicateur de </w:t>
      </w:r>
      <w:r>
        <w:lastRenderedPageBreak/>
        <w:t>dysfonctionnement est activé. Le système OBD est également approuvé si cet indicateur est activé au-dessous des valeurs limites fixées pour l’OBD</w:t>
      </w:r>
      <w:r w:rsidR="00FB7A55">
        <w:t>»</w:t>
      </w:r>
      <w:r>
        <w:rPr>
          <w:szCs w:val="24"/>
        </w:rPr>
        <w:t xml:space="preserve">. </w:t>
      </w:r>
    </w:p>
    <w:p w:rsidR="00C94B85" w:rsidRDefault="00C94B85" w:rsidP="00A20387">
      <w:pPr>
        <w:keepNext/>
        <w:kinsoku/>
        <w:overflowPunct/>
        <w:autoSpaceDE/>
        <w:autoSpaceDN/>
        <w:adjustRightInd/>
        <w:snapToGrid/>
        <w:spacing w:before="120" w:after="120"/>
        <w:ind w:left="2275" w:right="1138" w:hanging="1141"/>
        <w:jc w:val="both"/>
        <w:rPr>
          <w:iCs/>
          <w:szCs w:val="24"/>
        </w:rPr>
      </w:pPr>
      <w:r w:rsidRPr="002479B5">
        <w:rPr>
          <w:i/>
          <w:iCs/>
          <w:szCs w:val="24"/>
        </w:rPr>
        <w:t>Annexe</w:t>
      </w:r>
      <w:r w:rsidR="00FB7A55">
        <w:rPr>
          <w:i/>
          <w:iCs/>
          <w:szCs w:val="24"/>
        </w:rPr>
        <w:t> </w:t>
      </w:r>
      <w:r w:rsidRPr="004D12A9">
        <w:rPr>
          <w:i/>
          <w:iCs/>
          <w:szCs w:val="24"/>
        </w:rPr>
        <w:t xml:space="preserve">11, </w:t>
      </w:r>
      <w:r w:rsidRPr="002479B5">
        <w:rPr>
          <w:i/>
          <w:iCs/>
          <w:szCs w:val="24"/>
        </w:rPr>
        <w:t>a</w:t>
      </w:r>
      <w:r w:rsidRPr="004D12A9">
        <w:rPr>
          <w:i/>
          <w:iCs/>
          <w:szCs w:val="24"/>
        </w:rPr>
        <w:t>ppendi</w:t>
      </w:r>
      <w:r w:rsidR="007A48FB">
        <w:rPr>
          <w:i/>
          <w:iCs/>
          <w:szCs w:val="24"/>
        </w:rPr>
        <w:t>ce </w:t>
      </w:r>
      <w:r w:rsidRPr="004D12A9">
        <w:rPr>
          <w:i/>
          <w:iCs/>
          <w:szCs w:val="24"/>
        </w:rPr>
        <w:t xml:space="preserve">1, </w:t>
      </w:r>
      <w:r w:rsidRPr="002479B5">
        <w:rPr>
          <w:i/>
          <w:iCs/>
          <w:szCs w:val="24"/>
        </w:rPr>
        <w:t>ajouter un nouveau</w:t>
      </w:r>
      <w:r>
        <w:rPr>
          <w:i/>
          <w:iCs/>
          <w:szCs w:val="24"/>
        </w:rPr>
        <w:t xml:space="preserve"> </w:t>
      </w:r>
      <w:r w:rsidRPr="002479B5">
        <w:rPr>
          <w:i/>
          <w:iCs/>
          <w:szCs w:val="24"/>
        </w:rPr>
        <w:t>paragraphe</w:t>
      </w:r>
      <w:r w:rsidR="00FB7A55">
        <w:rPr>
          <w:i/>
          <w:iCs/>
          <w:szCs w:val="24"/>
        </w:rPr>
        <w:t> </w:t>
      </w:r>
      <w:r w:rsidRPr="004D12A9">
        <w:rPr>
          <w:i/>
          <w:iCs/>
          <w:szCs w:val="24"/>
        </w:rPr>
        <w:t>6.1.1</w:t>
      </w:r>
      <w:r w:rsidRPr="00FB7A55">
        <w:t>,</w:t>
      </w:r>
      <w:r w:rsidRPr="004D12A9">
        <w:rPr>
          <w:iCs/>
          <w:szCs w:val="24"/>
        </w:rPr>
        <w:t xml:space="preserve"> </w:t>
      </w:r>
      <w:r>
        <w:rPr>
          <w:iCs/>
          <w:szCs w:val="24"/>
        </w:rPr>
        <w:t xml:space="preserve">ainsi conçu: </w:t>
      </w:r>
    </w:p>
    <w:p w:rsidR="00C94B85" w:rsidRPr="00324E07" w:rsidRDefault="00FB7A55" w:rsidP="007A48FB">
      <w:pPr>
        <w:kinsoku/>
        <w:overflowPunct/>
        <w:autoSpaceDE/>
        <w:autoSpaceDN/>
        <w:adjustRightInd/>
        <w:snapToGrid/>
        <w:ind w:left="2275" w:right="1138" w:hanging="1141"/>
        <w:jc w:val="both"/>
      </w:pPr>
      <w:r>
        <w:rPr>
          <w:szCs w:val="24"/>
        </w:rPr>
        <w:t>«</w:t>
      </w:r>
      <w:r w:rsidR="00C94B85" w:rsidRPr="004D12A9">
        <w:rPr>
          <w:iCs/>
          <w:szCs w:val="24"/>
        </w:rPr>
        <w:t xml:space="preserve">6.1.1 </w:t>
      </w:r>
      <w:r w:rsidR="00C94B85" w:rsidRPr="004D12A9">
        <w:rPr>
          <w:iCs/>
          <w:szCs w:val="24"/>
        </w:rPr>
        <w:tab/>
      </w:r>
      <w:r w:rsidR="00C94B85" w:rsidRPr="00324E07">
        <w:t>Il n</w:t>
      </w:r>
      <w:r w:rsidR="00C94B85">
        <w:t>’</w:t>
      </w:r>
      <w:r w:rsidR="00C94B85" w:rsidRPr="00324E07">
        <w:t>est pas nécessaire d</w:t>
      </w:r>
      <w:r w:rsidR="00C94B85">
        <w:t>’</w:t>
      </w:r>
      <w:r w:rsidR="00C94B85" w:rsidRPr="00324E07">
        <w:t>effectuer l</w:t>
      </w:r>
      <w:r w:rsidR="00C94B85">
        <w:t>’</w:t>
      </w:r>
      <w:r w:rsidR="00C94B85" w:rsidRPr="00324E07">
        <w:t>essai du type I pour la démonstration de défaillances électriques (court-circuit ou circuit ouvert). Le constructeur peut démontrer ces modes de défaillance dans les conditions de conduite correspondant à l</w:t>
      </w:r>
      <w:r w:rsidR="00C94B85">
        <w:t>’</w:t>
      </w:r>
      <w:r w:rsidR="00C94B85" w:rsidRPr="00324E07">
        <w:t xml:space="preserve">utilisation de ce composant et aux modalités de surveillance. Ces conditions doivent être documentées dans le dossier </w:t>
      </w:r>
    </w:p>
    <w:p w:rsidR="00C94B85" w:rsidRPr="004D12A9" w:rsidRDefault="00C94B85" w:rsidP="007A48FB">
      <w:pPr>
        <w:keepNext/>
        <w:autoSpaceDE/>
        <w:autoSpaceDN/>
        <w:adjustRightInd/>
        <w:snapToGrid/>
        <w:spacing w:after="120"/>
        <w:ind w:left="2268" w:right="1134" w:hanging="1134"/>
        <w:jc w:val="both"/>
        <w:textAlignment w:val="baseline"/>
      </w:pPr>
      <w:r w:rsidRPr="00324E07">
        <w:t xml:space="preserve"> </w:t>
      </w:r>
      <w:r w:rsidRPr="00324E07">
        <w:tab/>
        <w:t>d</w:t>
      </w:r>
      <w:r>
        <w:t>’</w:t>
      </w:r>
      <w:r w:rsidRPr="00324E07">
        <w:t>homologation</w:t>
      </w:r>
      <w:r w:rsidR="00FB7A55">
        <w:t>»</w:t>
      </w:r>
      <w:r w:rsidRPr="00324E07">
        <w:rPr>
          <w:szCs w:val="24"/>
        </w:rPr>
        <w:t>.</w:t>
      </w:r>
    </w:p>
    <w:p w:rsidR="00C94B85" w:rsidRPr="004D12A9" w:rsidRDefault="00C94B85" w:rsidP="007A48FB">
      <w:pPr>
        <w:keepNext/>
        <w:autoSpaceDE/>
        <w:autoSpaceDN/>
        <w:adjustRightInd/>
        <w:snapToGrid/>
        <w:spacing w:after="120"/>
        <w:ind w:left="1135" w:right="1134" w:hanging="1"/>
        <w:jc w:val="both"/>
        <w:textAlignment w:val="baseline"/>
        <w:rPr>
          <w:i/>
          <w:iCs/>
          <w:szCs w:val="24"/>
        </w:rPr>
      </w:pPr>
      <w:r w:rsidRPr="002479B5">
        <w:rPr>
          <w:i/>
          <w:iCs/>
          <w:szCs w:val="24"/>
        </w:rPr>
        <w:t>Annexe</w:t>
      </w:r>
      <w:r w:rsidR="00FB7A55">
        <w:rPr>
          <w:i/>
          <w:iCs/>
          <w:szCs w:val="24"/>
        </w:rPr>
        <w:t> </w:t>
      </w:r>
      <w:r w:rsidRPr="004D12A9">
        <w:rPr>
          <w:i/>
          <w:iCs/>
          <w:szCs w:val="24"/>
        </w:rPr>
        <w:t xml:space="preserve">11, </w:t>
      </w:r>
      <w:r w:rsidRPr="002479B5">
        <w:rPr>
          <w:i/>
          <w:iCs/>
          <w:szCs w:val="24"/>
        </w:rPr>
        <w:t>a</w:t>
      </w:r>
      <w:r w:rsidRPr="004D12A9">
        <w:rPr>
          <w:i/>
          <w:iCs/>
          <w:szCs w:val="24"/>
        </w:rPr>
        <w:t>ppendi</w:t>
      </w:r>
      <w:r w:rsidRPr="002479B5">
        <w:rPr>
          <w:i/>
          <w:iCs/>
          <w:szCs w:val="24"/>
        </w:rPr>
        <w:t>ce</w:t>
      </w:r>
      <w:r w:rsidRPr="004D12A9">
        <w:rPr>
          <w:i/>
          <w:iCs/>
          <w:szCs w:val="24"/>
        </w:rPr>
        <w:t xml:space="preserve"> 1, </w:t>
      </w:r>
      <w:r w:rsidRPr="002479B5">
        <w:rPr>
          <w:i/>
          <w:iCs/>
          <w:szCs w:val="24"/>
        </w:rPr>
        <w:t>ajouter un nouveau</w:t>
      </w:r>
      <w:r>
        <w:rPr>
          <w:i/>
          <w:iCs/>
          <w:szCs w:val="24"/>
        </w:rPr>
        <w:t xml:space="preserve"> </w:t>
      </w:r>
      <w:r w:rsidRPr="002479B5">
        <w:rPr>
          <w:i/>
          <w:iCs/>
          <w:szCs w:val="24"/>
        </w:rPr>
        <w:t>paragraphe</w:t>
      </w:r>
      <w:r w:rsidR="00FB7A55">
        <w:rPr>
          <w:i/>
          <w:iCs/>
          <w:szCs w:val="24"/>
        </w:rPr>
        <w:t> </w:t>
      </w:r>
      <w:r w:rsidRPr="004D12A9">
        <w:rPr>
          <w:i/>
          <w:iCs/>
          <w:szCs w:val="24"/>
        </w:rPr>
        <w:t>6.</w:t>
      </w:r>
      <w:r>
        <w:rPr>
          <w:i/>
          <w:iCs/>
          <w:szCs w:val="24"/>
        </w:rPr>
        <w:t>2</w:t>
      </w:r>
      <w:r w:rsidRPr="004D12A9">
        <w:rPr>
          <w:i/>
          <w:iCs/>
          <w:szCs w:val="24"/>
        </w:rPr>
        <w:t>.</w:t>
      </w:r>
      <w:r>
        <w:rPr>
          <w:i/>
          <w:iCs/>
          <w:szCs w:val="24"/>
        </w:rPr>
        <w:t>3</w:t>
      </w:r>
      <w:r w:rsidRPr="00FB7A55">
        <w:t>,</w:t>
      </w:r>
      <w:r w:rsidRPr="004D12A9">
        <w:rPr>
          <w:iCs/>
          <w:szCs w:val="24"/>
        </w:rPr>
        <w:t xml:space="preserve"> </w:t>
      </w:r>
      <w:r>
        <w:rPr>
          <w:iCs/>
          <w:szCs w:val="24"/>
        </w:rPr>
        <w:t xml:space="preserve">ainsi conçu: </w:t>
      </w:r>
    </w:p>
    <w:p w:rsidR="00C94B85" w:rsidRPr="004D12A9" w:rsidRDefault="00FB7A55" w:rsidP="007A48FB">
      <w:pPr>
        <w:kinsoku/>
        <w:overflowPunct/>
        <w:autoSpaceDE/>
        <w:autoSpaceDN/>
        <w:adjustRightInd/>
        <w:snapToGrid/>
        <w:spacing w:after="120"/>
        <w:ind w:left="2268" w:right="1134" w:hanging="1134"/>
        <w:jc w:val="both"/>
        <w:rPr>
          <w:szCs w:val="24"/>
        </w:rPr>
      </w:pPr>
      <w:r>
        <w:rPr>
          <w:szCs w:val="24"/>
        </w:rPr>
        <w:t>«</w:t>
      </w:r>
      <w:r w:rsidR="00C94B85" w:rsidRPr="004D12A9">
        <w:rPr>
          <w:szCs w:val="24"/>
        </w:rPr>
        <w:t>6.2.3</w:t>
      </w:r>
      <w:r w:rsidR="00C94B85" w:rsidRPr="004D12A9">
        <w:rPr>
          <w:szCs w:val="24"/>
        </w:rPr>
        <w:tab/>
      </w:r>
      <w:r w:rsidR="00C94B85">
        <w:t>L’utilisation de cycles de préconditionnement additionnels ou d’autres méthodes de préconditionnement doit être documentée dans le dossier d’homologation</w:t>
      </w:r>
      <w:r w:rsidR="00A44876">
        <w:t>»</w:t>
      </w:r>
      <w:r w:rsidR="00C94B85">
        <w:rPr>
          <w:szCs w:val="24"/>
        </w:rPr>
        <w:t>.</w:t>
      </w:r>
    </w:p>
    <w:p w:rsidR="00C94B85" w:rsidRPr="004D12A9" w:rsidRDefault="00C94B85" w:rsidP="007A48FB">
      <w:pPr>
        <w:keepNext/>
        <w:kinsoku/>
        <w:overflowPunct/>
        <w:autoSpaceDE/>
        <w:autoSpaceDN/>
        <w:adjustRightInd/>
        <w:snapToGrid/>
        <w:spacing w:before="120" w:after="120"/>
        <w:ind w:left="2276" w:right="1138" w:hanging="1138"/>
        <w:jc w:val="both"/>
        <w:rPr>
          <w:szCs w:val="24"/>
        </w:rPr>
      </w:pPr>
      <w:r>
        <w:rPr>
          <w:i/>
          <w:iCs/>
          <w:szCs w:val="24"/>
        </w:rPr>
        <w:t>Annexe</w:t>
      </w:r>
      <w:r w:rsidR="00A44876">
        <w:rPr>
          <w:i/>
          <w:iCs/>
          <w:szCs w:val="24"/>
        </w:rPr>
        <w:t> </w:t>
      </w:r>
      <w:r w:rsidRPr="004D12A9">
        <w:rPr>
          <w:i/>
          <w:iCs/>
          <w:szCs w:val="24"/>
        </w:rPr>
        <w:t xml:space="preserve">11, </w:t>
      </w:r>
      <w:r>
        <w:rPr>
          <w:i/>
          <w:iCs/>
          <w:szCs w:val="24"/>
        </w:rPr>
        <w:t>a</w:t>
      </w:r>
      <w:r w:rsidRPr="004D12A9">
        <w:rPr>
          <w:i/>
          <w:iCs/>
          <w:szCs w:val="24"/>
        </w:rPr>
        <w:t>ppendi</w:t>
      </w:r>
      <w:r>
        <w:rPr>
          <w:i/>
          <w:iCs/>
          <w:szCs w:val="24"/>
        </w:rPr>
        <w:t>ce</w:t>
      </w:r>
      <w:r w:rsidRPr="004D12A9">
        <w:rPr>
          <w:i/>
          <w:iCs/>
          <w:szCs w:val="24"/>
        </w:rPr>
        <w:t xml:space="preserve"> 1, </w:t>
      </w:r>
      <w:r w:rsidRPr="00674814">
        <w:rPr>
          <w:i/>
          <w:iCs/>
          <w:szCs w:val="24"/>
        </w:rPr>
        <w:t>paragraphe</w:t>
      </w:r>
      <w:r w:rsidR="00A44876">
        <w:rPr>
          <w:i/>
          <w:iCs/>
          <w:szCs w:val="24"/>
        </w:rPr>
        <w:t> </w:t>
      </w:r>
      <w:r w:rsidRPr="004D12A9">
        <w:rPr>
          <w:i/>
          <w:iCs/>
          <w:szCs w:val="24"/>
        </w:rPr>
        <w:t>6.3.1.5</w:t>
      </w:r>
      <w:r w:rsidRPr="00A20387">
        <w:t>,</w:t>
      </w:r>
      <w:r w:rsidRPr="004D12A9">
        <w:rPr>
          <w:szCs w:val="24"/>
        </w:rPr>
        <w:t xml:space="preserve"> </w:t>
      </w:r>
      <w:r w:rsidRPr="00674814">
        <w:rPr>
          <w:szCs w:val="24"/>
        </w:rPr>
        <w:t>modifier comme suit</w:t>
      </w:r>
      <w:r w:rsidRPr="00A44876">
        <w:t>:</w:t>
      </w:r>
    </w:p>
    <w:p w:rsidR="00C94B85" w:rsidRDefault="00C94B85" w:rsidP="007A48FB">
      <w:pPr>
        <w:kinsoku/>
        <w:overflowPunct/>
        <w:autoSpaceDE/>
        <w:autoSpaceDN/>
        <w:adjustRightInd/>
        <w:snapToGrid/>
        <w:spacing w:after="120"/>
        <w:ind w:left="2268" w:right="1134" w:hanging="1134"/>
        <w:jc w:val="both"/>
      </w:pPr>
      <w:r w:rsidRPr="004D12A9">
        <w:rPr>
          <w:rFonts w:eastAsia="MS Mincho"/>
          <w:szCs w:val="24"/>
        </w:rPr>
        <w:t>6.3.1.5</w:t>
      </w:r>
      <w:r w:rsidRPr="004D12A9">
        <w:rPr>
          <w:rFonts w:eastAsia="MS Mincho"/>
          <w:b/>
          <w:szCs w:val="24"/>
        </w:rPr>
        <w:tab/>
      </w:r>
      <w:r>
        <w:t>Déconnexion électrique du dispositif électronique de commande de purge par évaporation (si le véhicule en est équipé et s’il est activé pour le type de carburant sélectionné).</w:t>
      </w:r>
    </w:p>
    <w:p w:rsidR="00C94B85" w:rsidRPr="004D12A9" w:rsidRDefault="00C94B85" w:rsidP="007A48FB">
      <w:pPr>
        <w:keepNext/>
        <w:kinsoku/>
        <w:overflowPunct/>
        <w:autoSpaceDE/>
        <w:autoSpaceDN/>
        <w:adjustRightInd/>
        <w:snapToGrid/>
        <w:spacing w:before="120"/>
        <w:ind w:left="2268" w:right="1134" w:hanging="1134"/>
        <w:jc w:val="both"/>
        <w:rPr>
          <w:szCs w:val="24"/>
        </w:rPr>
      </w:pPr>
      <w:r>
        <w:rPr>
          <w:i/>
          <w:iCs/>
          <w:szCs w:val="24"/>
        </w:rPr>
        <w:t>Annexe</w:t>
      </w:r>
      <w:r w:rsidR="00A44876">
        <w:rPr>
          <w:i/>
          <w:iCs/>
          <w:szCs w:val="24"/>
        </w:rPr>
        <w:t> </w:t>
      </w:r>
      <w:r w:rsidRPr="004D12A9">
        <w:rPr>
          <w:i/>
          <w:iCs/>
          <w:szCs w:val="24"/>
        </w:rPr>
        <w:t xml:space="preserve">11, </w:t>
      </w:r>
      <w:r>
        <w:rPr>
          <w:i/>
          <w:iCs/>
          <w:szCs w:val="24"/>
        </w:rPr>
        <w:t>a</w:t>
      </w:r>
      <w:r w:rsidRPr="004D12A9">
        <w:rPr>
          <w:i/>
          <w:iCs/>
          <w:szCs w:val="24"/>
        </w:rPr>
        <w:t>ppendi</w:t>
      </w:r>
      <w:r>
        <w:rPr>
          <w:i/>
          <w:iCs/>
          <w:szCs w:val="24"/>
        </w:rPr>
        <w:t>ce</w:t>
      </w:r>
      <w:r w:rsidRPr="004D12A9">
        <w:rPr>
          <w:i/>
          <w:iCs/>
          <w:szCs w:val="24"/>
        </w:rPr>
        <w:t xml:space="preserve"> 1, </w:t>
      </w:r>
      <w:r w:rsidRPr="00674814">
        <w:rPr>
          <w:i/>
          <w:szCs w:val="24"/>
        </w:rPr>
        <w:t>paragraphe</w:t>
      </w:r>
      <w:r w:rsidR="00A44876">
        <w:rPr>
          <w:i/>
          <w:szCs w:val="24"/>
        </w:rPr>
        <w:t> </w:t>
      </w:r>
      <w:r w:rsidRPr="004D12A9">
        <w:rPr>
          <w:i/>
          <w:szCs w:val="24"/>
        </w:rPr>
        <w:t>6.4.1.1</w:t>
      </w:r>
      <w:r w:rsidRPr="00A20387">
        <w:t>,</w:t>
      </w:r>
      <w:r w:rsidRPr="004D12A9">
        <w:rPr>
          <w:szCs w:val="24"/>
        </w:rPr>
        <w:t xml:space="preserve"> </w:t>
      </w:r>
      <w:r w:rsidRPr="00674814">
        <w:rPr>
          <w:szCs w:val="24"/>
        </w:rPr>
        <w:t>modifier comme suit</w:t>
      </w:r>
      <w:r w:rsidRPr="004D12A9">
        <w:rPr>
          <w:szCs w:val="24"/>
        </w:rPr>
        <w:t>:</w:t>
      </w:r>
    </w:p>
    <w:p w:rsidR="00C94B85" w:rsidRDefault="00A44876" w:rsidP="007A48FB">
      <w:pPr>
        <w:keepLines/>
        <w:kinsoku/>
        <w:overflowPunct/>
        <w:autoSpaceDE/>
        <w:autoSpaceDN/>
        <w:adjustRightInd/>
        <w:snapToGrid/>
        <w:spacing w:before="120"/>
        <w:ind w:left="2268" w:right="1134" w:hanging="1134"/>
        <w:jc w:val="both"/>
      </w:pPr>
      <w:r>
        <w:rPr>
          <w:szCs w:val="24"/>
        </w:rPr>
        <w:t>«</w:t>
      </w:r>
      <w:r w:rsidR="00C94B85" w:rsidRPr="004D12A9">
        <w:rPr>
          <w:szCs w:val="24"/>
        </w:rPr>
        <w:t>6.4.1.1</w:t>
      </w:r>
      <w:r w:rsidR="00C94B85" w:rsidRPr="004D12A9">
        <w:rPr>
          <w:szCs w:val="24"/>
        </w:rPr>
        <w:tab/>
      </w:r>
      <w:r w:rsidR="00C94B85">
        <w:t>Après avoir été préconditionné conformément aux dispositions du paragraphe</w:t>
      </w:r>
      <w:r>
        <w:t> </w:t>
      </w:r>
      <w:r w:rsidR="00C94B85">
        <w:t>6.2 du présent appendice, le véhicule d’essai doit être soumis à un cycle de conduite de l’essai du type I (première et seconde parties).</w:t>
      </w:r>
    </w:p>
    <w:p w:rsidR="00C94B85" w:rsidRPr="00AF13AF" w:rsidRDefault="00C94B85" w:rsidP="007A48FB">
      <w:pPr>
        <w:kinsoku/>
        <w:overflowPunct/>
        <w:autoSpaceDE/>
        <w:autoSpaceDN/>
        <w:adjustRightInd/>
        <w:snapToGrid/>
        <w:spacing w:before="120"/>
        <w:ind w:left="2268" w:right="1134" w:hanging="1134"/>
        <w:jc w:val="both"/>
      </w:pPr>
      <w:r w:rsidRPr="00C70577">
        <w:rPr>
          <w:szCs w:val="24"/>
        </w:rPr>
        <w:tab/>
      </w:r>
      <w:r w:rsidRPr="00AF13AF">
        <w:t>L</w:t>
      </w:r>
      <w:r>
        <w:t xml:space="preserve">’indicateur de dysfonctionnement </w:t>
      </w:r>
      <w:r w:rsidRPr="00AF13AF">
        <w:t>doit se déclencher avant la fin de cet essai dans toutes les conditi</w:t>
      </w:r>
      <w:r w:rsidR="00A44876">
        <w:t>ons mentionnées aux paragraphes </w:t>
      </w:r>
      <w:r w:rsidR="00A20387">
        <w:t>6.4.1.2 à </w:t>
      </w:r>
      <w:r w:rsidRPr="00AF13AF">
        <w:t xml:space="preserve">6.4.1.5 du présent appendice. </w:t>
      </w:r>
      <w:r>
        <w:t>Il peut aussi être activé pendant la phase de préconditionnement. Le service technique peut remplacer ces conditions par d’au</w:t>
      </w:r>
      <w:r w:rsidR="00A44876">
        <w:t>tres conformément au paragraphe </w:t>
      </w:r>
      <w:r>
        <w:t>6.4.1.6.</w:t>
      </w:r>
    </w:p>
    <w:p w:rsidR="00C94B85" w:rsidRPr="00AF13AF" w:rsidRDefault="00C94B85" w:rsidP="007A48FB">
      <w:pPr>
        <w:kinsoku/>
        <w:overflowPunct/>
        <w:autoSpaceDE/>
        <w:autoSpaceDN/>
        <w:adjustRightInd/>
        <w:snapToGrid/>
        <w:spacing w:before="120"/>
        <w:ind w:left="2268" w:right="1134" w:hanging="1134"/>
        <w:jc w:val="both"/>
        <w:rPr>
          <w:szCs w:val="24"/>
        </w:rPr>
      </w:pPr>
      <w:r w:rsidRPr="00AF13AF">
        <w:rPr>
          <w:szCs w:val="24"/>
        </w:rPr>
        <w:t>.</w:t>
      </w:r>
      <w:r w:rsidRPr="00AF13AF">
        <w:rPr>
          <w:szCs w:val="24"/>
        </w:rPr>
        <w:tab/>
      </w:r>
      <w:r>
        <w:t>Dans le cas de l’essai d’un véhicule à bicarburation, les deux types de carburant peuvent être utilisés, à condition que le nombre de défaillances simulées ne dépasse pas quatre à la discrétion de l’autorité d’homologation de type</w:t>
      </w:r>
      <w:r w:rsidR="00A44876">
        <w:t>»</w:t>
      </w:r>
      <w:r>
        <w:rPr>
          <w:szCs w:val="24"/>
        </w:rPr>
        <w:t>.</w:t>
      </w:r>
    </w:p>
    <w:p w:rsidR="00C94B85" w:rsidRPr="00C70577" w:rsidRDefault="00A44876" w:rsidP="007A48FB">
      <w:pPr>
        <w:keepNext/>
        <w:kinsoku/>
        <w:overflowPunct/>
        <w:autoSpaceDE/>
        <w:autoSpaceDN/>
        <w:adjustRightInd/>
        <w:snapToGrid/>
        <w:spacing w:before="120"/>
        <w:ind w:left="2268" w:right="1134" w:hanging="1134"/>
        <w:jc w:val="both"/>
        <w:rPr>
          <w:szCs w:val="24"/>
        </w:rPr>
      </w:pPr>
      <w:r>
        <w:rPr>
          <w:i/>
          <w:iCs/>
          <w:szCs w:val="24"/>
        </w:rPr>
        <w:t>Annexe </w:t>
      </w:r>
      <w:r w:rsidR="00C94B85" w:rsidRPr="00C70577">
        <w:rPr>
          <w:i/>
          <w:iCs/>
          <w:szCs w:val="24"/>
        </w:rPr>
        <w:t xml:space="preserve">11, </w:t>
      </w:r>
      <w:r w:rsidR="00C94B85">
        <w:rPr>
          <w:i/>
          <w:iCs/>
          <w:szCs w:val="24"/>
        </w:rPr>
        <w:t>appendice</w:t>
      </w:r>
      <w:r w:rsidR="00C94B85" w:rsidRPr="00C70577">
        <w:rPr>
          <w:i/>
          <w:iCs/>
          <w:szCs w:val="24"/>
        </w:rPr>
        <w:t xml:space="preserve"> 1, </w:t>
      </w:r>
      <w:r>
        <w:rPr>
          <w:i/>
          <w:szCs w:val="24"/>
        </w:rPr>
        <w:t>paragraphe </w:t>
      </w:r>
      <w:r w:rsidR="00C94B85" w:rsidRPr="00C70577">
        <w:rPr>
          <w:i/>
          <w:szCs w:val="24"/>
        </w:rPr>
        <w:t>6.4.2.1</w:t>
      </w:r>
      <w:r w:rsidR="00C94B85" w:rsidRPr="00C70577">
        <w:rPr>
          <w:szCs w:val="24"/>
        </w:rPr>
        <w:t>, modifier comme suit:</w:t>
      </w:r>
    </w:p>
    <w:p w:rsidR="00C94B85" w:rsidRPr="00C70577" w:rsidRDefault="00A44876" w:rsidP="007A48FB">
      <w:pPr>
        <w:kinsoku/>
        <w:overflowPunct/>
        <w:autoSpaceDE/>
        <w:autoSpaceDN/>
        <w:adjustRightInd/>
        <w:snapToGrid/>
        <w:spacing w:before="120"/>
        <w:ind w:left="2268" w:right="1134" w:hanging="1134"/>
        <w:jc w:val="both"/>
        <w:rPr>
          <w:szCs w:val="24"/>
        </w:rPr>
      </w:pPr>
      <w:r>
        <w:rPr>
          <w:szCs w:val="24"/>
        </w:rPr>
        <w:t>«</w:t>
      </w:r>
      <w:r w:rsidR="00C94B85" w:rsidRPr="00C70577">
        <w:rPr>
          <w:szCs w:val="24"/>
        </w:rPr>
        <w:t>6.4.2.1</w:t>
      </w:r>
      <w:r w:rsidR="00C94B85" w:rsidRPr="00C70577">
        <w:rPr>
          <w:szCs w:val="24"/>
        </w:rPr>
        <w:tab/>
      </w:r>
      <w:r w:rsidR="00C94B85">
        <w:t>Après avoir été préconditionné conformément aux dispositions du paragraphe</w:t>
      </w:r>
      <w:r>
        <w:t> </w:t>
      </w:r>
      <w:r w:rsidR="00C94B85">
        <w:t>6.2 du présent appendice, le véhicule d’essai doit être soumis à un cycle</w:t>
      </w:r>
      <w:r>
        <w:t xml:space="preserve"> de conduite de l’essai du type </w:t>
      </w:r>
      <w:r w:rsidR="00C94B85">
        <w:t>I (première et seconde parties).</w:t>
      </w:r>
    </w:p>
    <w:p w:rsidR="00C94B85" w:rsidRPr="00A658AF" w:rsidRDefault="00C94B85" w:rsidP="007A48FB">
      <w:pPr>
        <w:kinsoku/>
        <w:overflowPunct/>
        <w:autoSpaceDE/>
        <w:autoSpaceDN/>
        <w:adjustRightInd/>
        <w:snapToGrid/>
        <w:spacing w:before="120"/>
        <w:ind w:left="2268" w:right="1134" w:hanging="1134"/>
        <w:jc w:val="both"/>
      </w:pPr>
      <w:r w:rsidRPr="00C70577">
        <w:rPr>
          <w:szCs w:val="24"/>
        </w:rPr>
        <w:tab/>
      </w:r>
      <w:r w:rsidRPr="00AF13AF">
        <w:t>L</w:t>
      </w:r>
      <w:r>
        <w:t>’indicateur de dysfonctionnement doit se déclencher avant la fin de cet essai dans toutes les conditions mentio</w:t>
      </w:r>
      <w:r w:rsidR="00A44876">
        <w:t>nnées aux paragraphes 6.4.2.2 à </w:t>
      </w:r>
      <w:r>
        <w:t>6.4.2.5 du présent appendice. Il peut aussi être activé pendant la phase de préconditionnement. Le service technique peut remplacer ces conditions par d’au</w:t>
      </w:r>
      <w:r w:rsidR="00A44876">
        <w:t>tres conformément au paragraphe </w:t>
      </w:r>
      <w:r>
        <w:t>6.4.2.5. Cependant, le nombre total des défaillances simulées ne doit pas dépasser quatre aux fins de la procédure d’homologation de type</w:t>
      </w:r>
      <w:r w:rsidR="00A44876">
        <w:rPr>
          <w:szCs w:val="24"/>
        </w:rPr>
        <w:t>»</w:t>
      </w:r>
      <w:r w:rsidRPr="00A658AF">
        <w:rPr>
          <w:szCs w:val="24"/>
        </w:rPr>
        <w:t>.</w:t>
      </w:r>
    </w:p>
    <w:p w:rsidR="00C94B85" w:rsidRPr="00C70577" w:rsidRDefault="00A44876" w:rsidP="007A48FB">
      <w:pPr>
        <w:keepNext/>
        <w:kinsoku/>
        <w:overflowPunct/>
        <w:autoSpaceDE/>
        <w:autoSpaceDN/>
        <w:adjustRightInd/>
        <w:snapToGrid/>
        <w:spacing w:before="120"/>
        <w:ind w:left="2268" w:right="1134" w:hanging="1134"/>
        <w:jc w:val="both"/>
        <w:rPr>
          <w:szCs w:val="24"/>
        </w:rPr>
      </w:pPr>
      <w:r>
        <w:rPr>
          <w:i/>
          <w:iCs/>
          <w:szCs w:val="24"/>
        </w:rPr>
        <w:t>Annexe </w:t>
      </w:r>
      <w:r w:rsidR="00C94B85" w:rsidRPr="00C70577">
        <w:rPr>
          <w:i/>
          <w:iCs/>
          <w:szCs w:val="24"/>
        </w:rPr>
        <w:t xml:space="preserve">11, </w:t>
      </w:r>
      <w:r w:rsidR="00C94B85">
        <w:rPr>
          <w:i/>
          <w:iCs/>
          <w:szCs w:val="24"/>
        </w:rPr>
        <w:t>appendice</w:t>
      </w:r>
      <w:r w:rsidR="007A48FB">
        <w:rPr>
          <w:i/>
          <w:iCs/>
          <w:szCs w:val="24"/>
        </w:rPr>
        <w:t> </w:t>
      </w:r>
      <w:r>
        <w:rPr>
          <w:i/>
          <w:iCs/>
          <w:szCs w:val="24"/>
        </w:rPr>
        <w:t>1, paragraphe </w:t>
      </w:r>
      <w:r w:rsidR="00C94B85" w:rsidRPr="00C70577">
        <w:rPr>
          <w:i/>
          <w:iCs/>
          <w:szCs w:val="24"/>
        </w:rPr>
        <w:t>7.6.2</w:t>
      </w:r>
      <w:r w:rsidR="00C94B85" w:rsidRPr="00A44876">
        <w:t xml:space="preserve">, </w:t>
      </w:r>
      <w:r w:rsidR="00C94B85" w:rsidRPr="00C70577">
        <w:rPr>
          <w:iCs/>
          <w:szCs w:val="24"/>
        </w:rPr>
        <w:t>modifier comme suit:</w:t>
      </w:r>
    </w:p>
    <w:p w:rsidR="00C94B85" w:rsidRPr="00A658AF" w:rsidRDefault="00A44876" w:rsidP="007A48FB">
      <w:pPr>
        <w:kinsoku/>
        <w:overflowPunct/>
        <w:autoSpaceDE/>
        <w:autoSpaceDN/>
        <w:adjustRightInd/>
        <w:snapToGrid/>
        <w:spacing w:before="120"/>
        <w:ind w:left="2268" w:right="1134" w:hanging="1134"/>
        <w:jc w:val="both"/>
        <w:rPr>
          <w:szCs w:val="24"/>
        </w:rPr>
      </w:pPr>
      <w:r>
        <w:rPr>
          <w:szCs w:val="24"/>
        </w:rPr>
        <w:t>«</w:t>
      </w:r>
      <w:r w:rsidR="00C94B85" w:rsidRPr="00A658AF">
        <w:rPr>
          <w:szCs w:val="24"/>
        </w:rPr>
        <w:t>7.6.2</w:t>
      </w:r>
      <w:r w:rsidR="00C94B85" w:rsidRPr="00A658AF">
        <w:rPr>
          <w:szCs w:val="24"/>
        </w:rPr>
        <w:tab/>
      </w:r>
      <w:r w:rsidR="00C94B85">
        <w:t xml:space="preserve">Pour des composants ou systèmes spécifiques faisant l’objet de surveillances multiples qui doivent être relevées en vertu du présent paragraphe (par exemple, la rampe 1 de capteur d’oxygène peut faire l’objet de surveillances multiples relatives à la réaction du capteur ou à d’autres de ses </w:t>
      </w:r>
      <w:r w:rsidR="00C94B85">
        <w:lastRenderedPageBreak/>
        <w:t>caractéristiques), le système OBD doit recenser séparément les numérateurs et les dénominateurs pour chacune des surveillances spécifiques et relever uniquement le numérateur et le dénominateur correspondants pour la surveillance spécifique présentant le rapport numérique le plus faible. Si deux ou plusieurs surveillances spécifiques ont des rapports identiques, le</w:t>
      </w:r>
      <w:r w:rsidR="007A48FB">
        <w:t> </w:t>
      </w:r>
      <w:r w:rsidR="00C94B85">
        <w:t>numérateur et le dénominateur correspondants pour la surveillance spécifique qui a le dénominateur le plus élevé doivent être relevés pour le composant spécifique</w:t>
      </w:r>
      <w:r>
        <w:rPr>
          <w:szCs w:val="24"/>
        </w:rPr>
        <w:t>»</w:t>
      </w:r>
      <w:r w:rsidR="00C94B85" w:rsidRPr="00A658AF">
        <w:rPr>
          <w:szCs w:val="24"/>
        </w:rPr>
        <w:t>.</w:t>
      </w:r>
    </w:p>
    <w:p w:rsidR="00C94B85" w:rsidRPr="00A658AF" w:rsidRDefault="00A44876" w:rsidP="007A48FB">
      <w:pPr>
        <w:keepNext/>
        <w:kinsoku/>
        <w:overflowPunct/>
        <w:autoSpaceDE/>
        <w:autoSpaceDN/>
        <w:adjustRightInd/>
        <w:snapToGrid/>
        <w:spacing w:before="120" w:after="120"/>
        <w:ind w:left="2276" w:right="1138" w:hanging="1138"/>
        <w:jc w:val="both"/>
        <w:rPr>
          <w:szCs w:val="24"/>
        </w:rPr>
      </w:pPr>
      <w:r>
        <w:rPr>
          <w:i/>
          <w:iCs/>
          <w:szCs w:val="24"/>
        </w:rPr>
        <w:t>Annexe </w:t>
      </w:r>
      <w:r w:rsidR="00C94B85" w:rsidRPr="00A658AF">
        <w:rPr>
          <w:i/>
          <w:iCs/>
          <w:szCs w:val="24"/>
        </w:rPr>
        <w:t xml:space="preserve">11, </w:t>
      </w:r>
      <w:r w:rsidR="00C94B85">
        <w:rPr>
          <w:i/>
          <w:iCs/>
          <w:szCs w:val="24"/>
        </w:rPr>
        <w:t>a</w:t>
      </w:r>
      <w:r w:rsidR="007A48FB">
        <w:rPr>
          <w:i/>
          <w:iCs/>
          <w:szCs w:val="24"/>
        </w:rPr>
        <w:t>ppendice </w:t>
      </w:r>
      <w:r w:rsidR="00C94B85" w:rsidRPr="00A658AF">
        <w:rPr>
          <w:i/>
          <w:iCs/>
          <w:szCs w:val="24"/>
        </w:rPr>
        <w:t xml:space="preserve">1, </w:t>
      </w:r>
      <w:r>
        <w:rPr>
          <w:i/>
        </w:rPr>
        <w:t>ajouter un nouveau paragraphe </w:t>
      </w:r>
      <w:r w:rsidR="00C94B85" w:rsidRPr="00A658AF">
        <w:rPr>
          <w:i/>
        </w:rPr>
        <w:t>7.6.2.1</w:t>
      </w:r>
      <w:r w:rsidR="00C94B85" w:rsidRPr="00A44876">
        <w:t>,</w:t>
      </w:r>
      <w:r w:rsidR="00C94B85" w:rsidRPr="00A658AF">
        <w:rPr>
          <w:i/>
        </w:rPr>
        <w:t xml:space="preserve"> </w:t>
      </w:r>
      <w:r w:rsidR="00C94B85" w:rsidRPr="00A658AF">
        <w:t>ainsi conçu:</w:t>
      </w:r>
      <w:r w:rsidR="00C94B85">
        <w:t xml:space="preserve"> </w:t>
      </w:r>
    </w:p>
    <w:p w:rsidR="00C94B85" w:rsidRDefault="00A44876" w:rsidP="007A48FB">
      <w:pPr>
        <w:autoSpaceDE/>
        <w:autoSpaceDN/>
        <w:adjustRightInd/>
        <w:snapToGrid/>
        <w:spacing w:after="120"/>
        <w:ind w:left="2276" w:right="1138" w:hanging="1138"/>
        <w:jc w:val="both"/>
        <w:textAlignment w:val="baseline"/>
      </w:pPr>
      <w:r>
        <w:rPr>
          <w:bCs/>
          <w:szCs w:val="24"/>
        </w:rPr>
        <w:t>«</w:t>
      </w:r>
      <w:r w:rsidR="00C94B85" w:rsidRPr="00A658AF">
        <w:rPr>
          <w:bCs/>
          <w:szCs w:val="24"/>
        </w:rPr>
        <w:t>7.6.2.1</w:t>
      </w:r>
      <w:r w:rsidR="00C94B85" w:rsidRPr="00A658AF">
        <w:rPr>
          <w:bCs/>
          <w:szCs w:val="24"/>
        </w:rPr>
        <w:tab/>
      </w:r>
      <w:r w:rsidR="00C94B85">
        <w:t>Il n’est pas nécessaire de relever le numérateur et le dénominateur pour les surveillances spécifiques de composants ou de systèmes qui surveillent les défaillances de court-circuit ou de circuit ouvert.</w:t>
      </w:r>
    </w:p>
    <w:p w:rsidR="00C94B85" w:rsidRPr="00A658AF" w:rsidRDefault="00A44876" w:rsidP="007A48FB">
      <w:pPr>
        <w:autoSpaceDE/>
        <w:autoSpaceDN/>
        <w:adjustRightInd/>
        <w:snapToGrid/>
        <w:spacing w:after="120"/>
        <w:ind w:left="2276" w:right="1138" w:hanging="8"/>
        <w:jc w:val="both"/>
        <w:textAlignment w:val="baseline"/>
      </w:pPr>
      <w:r>
        <w:rPr>
          <w:bCs/>
          <w:szCs w:val="24"/>
        </w:rPr>
        <w:t>“</w:t>
      </w:r>
      <w:r w:rsidR="00C94B85" w:rsidRPr="00A658AF">
        <w:t>En continu</w:t>
      </w:r>
      <w:r>
        <w:t>”,</w:t>
      </w:r>
      <w:r w:rsidR="00C94B85" w:rsidRPr="00A658AF">
        <w:t xml:space="preserve"> signifie en l</w:t>
      </w:r>
      <w:r w:rsidR="00C94B85">
        <w:t>’</w:t>
      </w:r>
      <w:r w:rsidR="00C94B85" w:rsidRPr="00A658AF">
        <w:t>occurrence que la surveillance est toujours opérationnelle et que l</w:t>
      </w:r>
      <w:r w:rsidR="00C94B85">
        <w:t>’</w:t>
      </w:r>
      <w:r w:rsidR="00C94B85" w:rsidRPr="00A658AF">
        <w:t>échantillonnage du signal se fait à la fréquence d</w:t>
      </w:r>
      <w:r w:rsidR="00C94B85">
        <w:t>’</w:t>
      </w:r>
      <w:r w:rsidR="00C94B85" w:rsidRPr="00A658AF">
        <w:t>au moins des fois par seconde, la présence ou l</w:t>
      </w:r>
      <w:r w:rsidR="00C94B85">
        <w:t>’</w:t>
      </w:r>
      <w:r w:rsidR="00C94B85" w:rsidRPr="00A658AF">
        <w:t>absence de défaillan</w:t>
      </w:r>
      <w:r>
        <w:t>ce étant déterminée en moins de 15 </w:t>
      </w:r>
      <w:r w:rsidR="00C94B85" w:rsidRPr="00A658AF">
        <w:t>s</w:t>
      </w:r>
      <w:r w:rsidR="00346B5F">
        <w:t>econdes</w:t>
      </w:r>
      <w:r w:rsidR="00C94B85" w:rsidRPr="00A658AF">
        <w:t>.</w:t>
      </w:r>
    </w:p>
    <w:p w:rsidR="00C94B85" w:rsidRDefault="00C94B85" w:rsidP="007A48FB">
      <w:pPr>
        <w:autoSpaceDE/>
        <w:autoSpaceDN/>
        <w:adjustRightInd/>
        <w:snapToGrid/>
        <w:spacing w:after="120"/>
        <w:ind w:left="2276" w:right="1138" w:hanging="8"/>
        <w:jc w:val="both"/>
        <w:textAlignment w:val="baseline"/>
      </w:pPr>
      <w:r>
        <w:t>Si pour des raisons de gestion du moteur le composant d’entrée ou de sortie d’un ordinateur est échantillonné moins fréquemment, le signal du composant peut être évalué à chaque échantillonnage.</w:t>
      </w:r>
    </w:p>
    <w:p w:rsidR="00C94B85" w:rsidRPr="00A658AF" w:rsidRDefault="00C94B85" w:rsidP="007A48FB">
      <w:pPr>
        <w:autoSpaceDE/>
        <w:autoSpaceDN/>
        <w:adjustRightInd/>
        <w:snapToGrid/>
        <w:spacing w:after="120"/>
        <w:ind w:left="2276" w:right="1138" w:hanging="8"/>
        <w:jc w:val="both"/>
        <w:textAlignment w:val="baseline"/>
        <w:rPr>
          <w:bCs/>
          <w:szCs w:val="24"/>
        </w:rPr>
      </w:pPr>
      <w:r>
        <w:t>Il n’est pas obligatoire d’activer un composa</w:t>
      </w:r>
      <w:r w:rsidR="007A48FB">
        <w:t>nt ou un système de sortie à la </w:t>
      </w:r>
      <w:r>
        <w:t>seule fin de surveiller ledit composant ou système</w:t>
      </w:r>
      <w:r w:rsidR="00A44876">
        <w:rPr>
          <w:bCs/>
          <w:szCs w:val="24"/>
        </w:rPr>
        <w:t>»</w:t>
      </w:r>
      <w:r w:rsidRPr="00A658AF">
        <w:rPr>
          <w:bCs/>
          <w:szCs w:val="24"/>
        </w:rPr>
        <w:t>.</w:t>
      </w:r>
    </w:p>
    <w:p w:rsidR="00C94B85" w:rsidRPr="004D12A9" w:rsidRDefault="00C94B85" w:rsidP="007A48FB">
      <w:pPr>
        <w:keepNext/>
        <w:keepLines/>
        <w:autoSpaceDE/>
        <w:autoSpaceDN/>
        <w:adjustRightInd/>
        <w:snapToGrid/>
        <w:spacing w:after="120"/>
        <w:ind w:left="1134" w:right="1134"/>
        <w:jc w:val="both"/>
        <w:textAlignment w:val="baseline"/>
        <w:rPr>
          <w:szCs w:val="24"/>
        </w:rPr>
      </w:pPr>
      <w:r>
        <w:rPr>
          <w:i/>
          <w:iCs/>
          <w:szCs w:val="24"/>
        </w:rPr>
        <w:t>Annexe</w:t>
      </w:r>
      <w:r w:rsidR="00A44876">
        <w:rPr>
          <w:i/>
          <w:iCs/>
          <w:szCs w:val="24"/>
        </w:rPr>
        <w:t> </w:t>
      </w:r>
      <w:r w:rsidRPr="004D12A9">
        <w:rPr>
          <w:i/>
          <w:iCs/>
          <w:szCs w:val="24"/>
        </w:rPr>
        <w:t xml:space="preserve">11, </w:t>
      </w:r>
      <w:r w:rsidRPr="00674814">
        <w:rPr>
          <w:i/>
          <w:iCs/>
          <w:szCs w:val="24"/>
        </w:rPr>
        <w:t>paragraphe</w:t>
      </w:r>
      <w:r w:rsidRPr="004D12A9">
        <w:rPr>
          <w:i/>
          <w:iCs/>
          <w:szCs w:val="24"/>
        </w:rPr>
        <w:t xml:space="preserve"> 9.3.5.2</w:t>
      </w:r>
      <w:r w:rsidRPr="00A44876">
        <w:t xml:space="preserve">, </w:t>
      </w:r>
      <w:r w:rsidRPr="00674814">
        <w:rPr>
          <w:iCs/>
          <w:szCs w:val="24"/>
        </w:rPr>
        <w:t>modifier comme suit</w:t>
      </w:r>
      <w:r w:rsidRPr="004D12A9">
        <w:rPr>
          <w:iCs/>
          <w:szCs w:val="24"/>
        </w:rPr>
        <w:t>:</w:t>
      </w:r>
    </w:p>
    <w:p w:rsidR="00C94B85" w:rsidRDefault="00A44876" w:rsidP="007A48FB">
      <w:pPr>
        <w:kinsoku/>
        <w:overflowPunct/>
        <w:autoSpaceDE/>
        <w:autoSpaceDN/>
        <w:adjustRightInd/>
        <w:snapToGrid/>
        <w:spacing w:after="120"/>
        <w:ind w:left="2268" w:right="1134" w:hanging="1134"/>
        <w:jc w:val="both"/>
      </w:pPr>
      <w:r>
        <w:rPr>
          <w:szCs w:val="24"/>
        </w:rPr>
        <w:t>«</w:t>
      </w:r>
      <w:r w:rsidR="00C94B85" w:rsidRPr="00A658AF">
        <w:rPr>
          <w:szCs w:val="24"/>
        </w:rPr>
        <w:t>9.3.5.2</w:t>
      </w:r>
      <w:r w:rsidR="00C94B85" w:rsidRPr="00A658AF">
        <w:rPr>
          <w:szCs w:val="24"/>
        </w:rPr>
        <w:tab/>
      </w:r>
      <w:r w:rsidR="00C94B85">
        <w:t xml:space="preserve">Pour l’IUPR, le nombre de lots d’échantillons à </w:t>
      </w:r>
      <w:r>
        <w:t>prélever figure dans le tableau </w:t>
      </w:r>
      <w:r w:rsidR="00C94B85">
        <w:t xml:space="preserve">4 et dépend du nombre de véhicules d’une famille de systèmes OBD qui sont homologués avec IUPR (soumis à échantillonnage). </w:t>
      </w:r>
    </w:p>
    <w:p w:rsidR="00C94B85" w:rsidRPr="000B78B7" w:rsidRDefault="00A44876" w:rsidP="007A48FB">
      <w:pPr>
        <w:kinsoku/>
        <w:overflowPunct/>
        <w:autoSpaceDE/>
        <w:autoSpaceDN/>
        <w:adjustRightInd/>
        <w:snapToGrid/>
        <w:spacing w:after="120"/>
        <w:ind w:left="2268" w:right="1134"/>
        <w:jc w:val="both"/>
      </w:pPr>
      <w:r>
        <w:rPr>
          <w:szCs w:val="24"/>
        </w:rPr>
        <w:tab/>
      </w:r>
      <w:r w:rsidR="00C94B85" w:rsidRPr="000B78B7">
        <w:t>Pour la première période d</w:t>
      </w:r>
      <w:r w:rsidR="00C94B85">
        <w:t>’</w:t>
      </w:r>
      <w:r w:rsidR="00C94B85" w:rsidRPr="000B78B7">
        <w:t>échantillonnage d</w:t>
      </w:r>
      <w:r w:rsidR="00C94B85">
        <w:t>’</w:t>
      </w:r>
      <w:r w:rsidR="00C94B85" w:rsidRPr="000B78B7">
        <w:t>une famille de systèmes OBD, tous les types de véhicules de la famille qui sont homologués avec IUPR sont susceptibles d</w:t>
      </w:r>
      <w:r w:rsidR="00C94B85">
        <w:t>’</w:t>
      </w:r>
      <w:r w:rsidR="00C94B85" w:rsidRPr="000B78B7">
        <w:t>être soumis à échantillonnage.</w:t>
      </w:r>
      <w:r w:rsidR="00C94B85">
        <w:t xml:space="preserve"> Pour les périodes d’échantillonnage ultérieures, seuls les types de véhicules n’ayant pas encore été mis à l’essai ou qui sont couverts par des homologations concernant les émissions qui ont été étendues depuis la période précédente doivent être prises en considération pour l’échantillonnage.</w:t>
      </w:r>
    </w:p>
    <w:p w:rsidR="00C94B85" w:rsidRPr="000B78B7" w:rsidRDefault="00A44876" w:rsidP="007A48FB">
      <w:pPr>
        <w:kinsoku/>
        <w:overflowPunct/>
        <w:autoSpaceDE/>
        <w:autoSpaceDN/>
        <w:adjustRightInd/>
        <w:snapToGrid/>
        <w:spacing w:after="120"/>
        <w:ind w:left="2268" w:right="1134"/>
        <w:jc w:val="both"/>
        <w:rPr>
          <w:szCs w:val="24"/>
        </w:rPr>
      </w:pPr>
      <w:r>
        <w:rPr>
          <w:szCs w:val="24"/>
          <w:lang w:val="en-US"/>
        </w:rPr>
        <w:tab/>
      </w:r>
      <w:r w:rsidR="00C94B85" w:rsidRPr="000B78B7">
        <w:t>Pour l</w:t>
      </w:r>
      <w:r>
        <w:t xml:space="preserve">es familles comptant moins de </w:t>
      </w:r>
      <w:r w:rsidRPr="00A44876">
        <w:t>5</w:t>
      </w:r>
      <w:r>
        <w:t> </w:t>
      </w:r>
      <w:r w:rsidR="00C94B85" w:rsidRPr="00A44876">
        <w:t>000</w:t>
      </w:r>
      <w:r>
        <w:t> </w:t>
      </w:r>
      <w:r w:rsidR="00C94B85" w:rsidRPr="000B78B7">
        <w:t>immatriculations soumises à échantillonnage au cours de la période considérée, le nombre minimum de véhicules par lot d</w:t>
      </w:r>
      <w:r w:rsidR="00C94B85">
        <w:t>’</w:t>
      </w:r>
      <w:r w:rsidR="00C94B85" w:rsidRPr="000B78B7">
        <w:t>échantillons est de six.</w:t>
      </w:r>
      <w:r w:rsidR="00C94B85">
        <w:t xml:space="preserve"> Pour toutes les autres familles, le nombre minimum de véhicules par lot d’échantillons est de quinze.</w:t>
      </w:r>
    </w:p>
    <w:p w:rsidR="00C94B85" w:rsidRDefault="00A44876" w:rsidP="007A48FB">
      <w:pPr>
        <w:kinsoku/>
        <w:overflowPunct/>
        <w:autoSpaceDE/>
        <w:autoSpaceDN/>
        <w:adjustRightInd/>
        <w:snapToGrid/>
        <w:spacing w:after="120"/>
        <w:ind w:left="2268" w:right="1134"/>
        <w:jc w:val="both"/>
      </w:pPr>
      <w:r>
        <w:rPr>
          <w:szCs w:val="24"/>
        </w:rPr>
        <w:tab/>
      </w:r>
      <w:r w:rsidR="00C94B85">
        <w:t>Chaque lot d’échantillons doit rendre correctement compte de la répartition des ventes, de telle sorte qu’au moins les types de véhicule les plus vendus (au moins 20 % de l’ensemble des ventes de la famille) soient représentés.</w:t>
      </w:r>
    </w:p>
    <w:p w:rsidR="00C94B85" w:rsidRPr="000B78B7" w:rsidRDefault="00A44876" w:rsidP="007A48FB">
      <w:pPr>
        <w:kinsoku/>
        <w:overflowPunct/>
        <w:autoSpaceDE/>
        <w:autoSpaceDN/>
        <w:adjustRightInd/>
        <w:snapToGrid/>
        <w:spacing w:after="120"/>
        <w:ind w:left="2268" w:right="1134"/>
        <w:jc w:val="both"/>
        <w:rPr>
          <w:szCs w:val="24"/>
        </w:rPr>
      </w:pPr>
      <w:r>
        <w:rPr>
          <w:szCs w:val="24"/>
          <w:lang w:val="en-US"/>
        </w:rPr>
        <w:tab/>
      </w:r>
      <w:r w:rsidR="00C94B85">
        <w:t>Pour les véhicules produits en séries limi</w:t>
      </w:r>
      <w:r>
        <w:t>tées de moins de 1 000 </w:t>
      </w:r>
      <w:r w:rsidR="00C94B85">
        <w:t>unités par famille de systèmes OBD il n’est pas nécessaire de satisfaire aux exigences minimales de l’IUPR ni à l’obligation de les démontrer à l’autorité d’homologation</w:t>
      </w:r>
      <w:r>
        <w:t>»</w:t>
      </w:r>
      <w:r w:rsidR="00C94B85">
        <w:rPr>
          <w:szCs w:val="24"/>
        </w:rPr>
        <w:t>.</w:t>
      </w:r>
    </w:p>
    <w:p w:rsidR="00C94B85" w:rsidRPr="00A658AF" w:rsidRDefault="00A44876" w:rsidP="007A48FB">
      <w:pPr>
        <w:keepNext/>
        <w:kinsoku/>
        <w:overflowPunct/>
        <w:autoSpaceDE/>
        <w:autoSpaceDN/>
        <w:adjustRightInd/>
        <w:snapToGrid/>
        <w:spacing w:before="120" w:after="120"/>
        <w:ind w:left="2276" w:right="1138" w:hanging="1138"/>
        <w:jc w:val="both"/>
        <w:rPr>
          <w:szCs w:val="24"/>
        </w:rPr>
      </w:pPr>
      <w:r>
        <w:rPr>
          <w:i/>
          <w:szCs w:val="24"/>
        </w:rPr>
        <w:t>Annexe </w:t>
      </w:r>
      <w:r w:rsidR="00C94B85" w:rsidRPr="000B78B7">
        <w:rPr>
          <w:i/>
          <w:szCs w:val="24"/>
        </w:rPr>
        <w:t xml:space="preserve">11, </w:t>
      </w:r>
      <w:r>
        <w:rPr>
          <w:i/>
        </w:rPr>
        <w:t>ajouter un nouveau paragraphe </w:t>
      </w:r>
      <w:r w:rsidR="00C94B85">
        <w:rPr>
          <w:i/>
        </w:rPr>
        <w:t>3.10</w:t>
      </w:r>
      <w:r w:rsidR="00C94B85" w:rsidRPr="00A44876">
        <w:t>,</w:t>
      </w:r>
      <w:r w:rsidR="00C94B85" w:rsidRPr="00A658AF">
        <w:rPr>
          <w:i/>
        </w:rPr>
        <w:t xml:space="preserve"> </w:t>
      </w:r>
      <w:r w:rsidR="00C94B85" w:rsidRPr="00A658AF">
        <w:t>ainsi conçu:</w:t>
      </w:r>
      <w:r w:rsidR="00C94B85">
        <w:t xml:space="preserve"> </w:t>
      </w:r>
    </w:p>
    <w:p w:rsidR="00C94B85" w:rsidRPr="000B78B7" w:rsidRDefault="00A44876" w:rsidP="007A48FB">
      <w:pPr>
        <w:kinsoku/>
        <w:overflowPunct/>
        <w:autoSpaceDE/>
        <w:autoSpaceDN/>
        <w:adjustRightInd/>
        <w:snapToGrid/>
        <w:spacing w:after="120"/>
        <w:ind w:left="2268" w:right="1134" w:hanging="1134"/>
        <w:jc w:val="both"/>
        <w:rPr>
          <w:szCs w:val="24"/>
        </w:rPr>
      </w:pPr>
      <w:r>
        <w:rPr>
          <w:szCs w:val="24"/>
        </w:rPr>
        <w:t>«</w:t>
      </w:r>
      <w:r w:rsidR="00C94B85" w:rsidRPr="000B78B7">
        <w:rPr>
          <w:szCs w:val="24"/>
        </w:rPr>
        <w:t>3.10</w:t>
      </w:r>
      <w:r w:rsidR="00C94B85" w:rsidRPr="000B78B7">
        <w:rPr>
          <w:szCs w:val="24"/>
        </w:rPr>
        <w:tab/>
      </w:r>
      <w:r>
        <w:rPr>
          <w:szCs w:val="24"/>
        </w:rPr>
        <w:tab/>
      </w:r>
      <w:r w:rsidR="00C94B85">
        <w:t>Dispositions supplémentaires applicables a</w:t>
      </w:r>
      <w:r>
        <w:t>ux véhicules qui utilisent des </w:t>
      </w:r>
      <w:r w:rsidR="00A20387">
        <w:t>stratégies d’arrêt du moteur;</w:t>
      </w:r>
    </w:p>
    <w:p w:rsidR="00C94B85" w:rsidRPr="00874F24" w:rsidRDefault="00A44876" w:rsidP="007A48FB">
      <w:pPr>
        <w:kinsoku/>
        <w:overflowPunct/>
        <w:autoSpaceDE/>
        <w:autoSpaceDN/>
        <w:adjustRightInd/>
        <w:snapToGrid/>
        <w:spacing w:after="120"/>
        <w:ind w:left="1166"/>
        <w:jc w:val="both"/>
        <w:rPr>
          <w:szCs w:val="24"/>
        </w:rPr>
      </w:pPr>
      <w:r>
        <w:rPr>
          <w:szCs w:val="24"/>
        </w:rPr>
        <w:lastRenderedPageBreak/>
        <w:t>3.10.1</w:t>
      </w:r>
      <w:r w:rsidR="00C94B85" w:rsidRPr="00874F24">
        <w:rPr>
          <w:szCs w:val="24"/>
        </w:rPr>
        <w:tab/>
      </w:r>
      <w:r>
        <w:rPr>
          <w:szCs w:val="24"/>
        </w:rPr>
        <w:tab/>
      </w:r>
      <w:r w:rsidR="00C94B85">
        <w:t>Cycle de conduite</w:t>
      </w:r>
      <w:r w:rsidR="00A20387">
        <w:rPr>
          <w:szCs w:val="24"/>
        </w:rPr>
        <w:t>;</w:t>
      </w:r>
    </w:p>
    <w:p w:rsidR="00C94B85" w:rsidRPr="00874F24" w:rsidRDefault="00C94B85" w:rsidP="007A48FB">
      <w:pPr>
        <w:kinsoku/>
        <w:overflowPunct/>
        <w:autoSpaceDE/>
        <w:autoSpaceDN/>
        <w:adjustRightInd/>
        <w:snapToGrid/>
        <w:spacing w:after="120"/>
        <w:ind w:left="2250" w:right="999" w:hanging="1084"/>
        <w:jc w:val="both"/>
        <w:rPr>
          <w:szCs w:val="24"/>
        </w:rPr>
      </w:pPr>
      <w:r w:rsidRPr="00874F24">
        <w:rPr>
          <w:szCs w:val="24"/>
        </w:rPr>
        <w:t>3.10.1.1</w:t>
      </w:r>
      <w:r w:rsidRPr="00874F24">
        <w:rPr>
          <w:szCs w:val="24"/>
        </w:rPr>
        <w:tab/>
      </w:r>
      <w:r>
        <w:t>Le redémarrage autonome commandé par le système de contrôle d’un moteur qui a calé peut être considéré soit comme un nouveau cycle de conduite soit comme la continuation du cycle en cours</w:t>
      </w:r>
      <w:r w:rsidR="00A44876">
        <w:rPr>
          <w:szCs w:val="24"/>
        </w:rPr>
        <w:t>»</w:t>
      </w:r>
      <w:r>
        <w:rPr>
          <w:szCs w:val="24"/>
        </w:rPr>
        <w:t>.</w:t>
      </w:r>
    </w:p>
    <w:p w:rsidR="00C94B85" w:rsidRPr="000B78B7" w:rsidRDefault="00C94B85" w:rsidP="007A48FB">
      <w:pPr>
        <w:keepNext/>
        <w:keepLines/>
        <w:kinsoku/>
        <w:overflowPunct/>
        <w:autoSpaceDE/>
        <w:autoSpaceDN/>
        <w:adjustRightInd/>
        <w:snapToGrid/>
        <w:spacing w:after="120" w:line="240" w:lineRule="exact"/>
        <w:ind w:left="1134" w:right="1134"/>
        <w:jc w:val="both"/>
        <w:rPr>
          <w:bCs/>
          <w:szCs w:val="24"/>
        </w:rPr>
      </w:pPr>
      <w:r w:rsidRPr="000B78B7">
        <w:rPr>
          <w:bCs/>
          <w:i/>
          <w:szCs w:val="24"/>
        </w:rPr>
        <w:t>Annexe</w:t>
      </w:r>
      <w:r w:rsidR="00A44876">
        <w:rPr>
          <w:bCs/>
          <w:i/>
          <w:szCs w:val="24"/>
        </w:rPr>
        <w:t> </w:t>
      </w:r>
      <w:r>
        <w:rPr>
          <w:bCs/>
          <w:i/>
          <w:szCs w:val="24"/>
        </w:rPr>
        <w:t xml:space="preserve">11, </w:t>
      </w:r>
      <w:r w:rsidR="00A44876">
        <w:rPr>
          <w:i/>
        </w:rPr>
        <w:t>ajouter un nouveau paragraphe </w:t>
      </w:r>
      <w:r>
        <w:rPr>
          <w:i/>
        </w:rPr>
        <w:t>3.2.3</w:t>
      </w:r>
      <w:r w:rsidRPr="00A44876">
        <w:t>,</w:t>
      </w:r>
      <w:r w:rsidRPr="00A658AF">
        <w:rPr>
          <w:i/>
        </w:rPr>
        <w:t xml:space="preserve"> </w:t>
      </w:r>
      <w:r w:rsidRPr="00A658AF">
        <w:t>ainsi conçu:</w:t>
      </w:r>
      <w:r>
        <w:t xml:space="preserve"> </w:t>
      </w:r>
    </w:p>
    <w:p w:rsidR="00C94B85" w:rsidRPr="00874F24" w:rsidRDefault="00A44876" w:rsidP="007A48FB">
      <w:pPr>
        <w:keepNext/>
        <w:keepLines/>
        <w:kinsoku/>
        <w:overflowPunct/>
        <w:autoSpaceDE/>
        <w:autoSpaceDN/>
        <w:adjustRightInd/>
        <w:snapToGrid/>
        <w:spacing w:after="120" w:line="240" w:lineRule="exact"/>
        <w:ind w:left="2250" w:right="1134" w:hanging="1116"/>
        <w:jc w:val="both"/>
        <w:rPr>
          <w:bCs/>
          <w:szCs w:val="24"/>
        </w:rPr>
      </w:pPr>
      <w:r>
        <w:rPr>
          <w:bCs/>
          <w:szCs w:val="24"/>
        </w:rPr>
        <w:t>«</w:t>
      </w:r>
      <w:r w:rsidR="00C94B85" w:rsidRPr="00874F24">
        <w:rPr>
          <w:bCs/>
          <w:szCs w:val="24"/>
        </w:rPr>
        <w:t>3.2.3</w:t>
      </w:r>
      <w:r w:rsidR="00C94B85" w:rsidRPr="00874F24">
        <w:rPr>
          <w:bCs/>
          <w:szCs w:val="24"/>
        </w:rPr>
        <w:tab/>
      </w:r>
      <w:r w:rsidR="00C94B85">
        <w:t>La mise en évidence de détériorations ou de défauts de fonctionnement peut aussi se faire en dehors d’un cycle de conduit</w:t>
      </w:r>
      <w:r>
        <w:t>e (par exemple après l’arrêt du </w:t>
      </w:r>
      <w:r w:rsidR="00C94B85">
        <w:t>moteur</w:t>
      </w:r>
      <w:r w:rsidR="00C94B85" w:rsidRPr="00874F24">
        <w:rPr>
          <w:bCs/>
          <w:szCs w:val="24"/>
        </w:rPr>
        <w:t>)</w:t>
      </w:r>
      <w:r>
        <w:rPr>
          <w:bCs/>
          <w:szCs w:val="24"/>
        </w:rPr>
        <w:t>»</w:t>
      </w:r>
      <w:r w:rsidR="00C94B85">
        <w:rPr>
          <w:bCs/>
          <w:szCs w:val="24"/>
        </w:rPr>
        <w:t>.</w:t>
      </w:r>
    </w:p>
    <w:p w:rsidR="00C94B85" w:rsidRPr="000B78B7" w:rsidRDefault="00A44876" w:rsidP="007A48FB">
      <w:pPr>
        <w:keepNext/>
        <w:keepLines/>
        <w:kinsoku/>
        <w:overflowPunct/>
        <w:autoSpaceDE/>
        <w:autoSpaceDN/>
        <w:adjustRightInd/>
        <w:snapToGrid/>
        <w:spacing w:after="120" w:line="240" w:lineRule="exact"/>
        <w:ind w:left="1134" w:right="1134"/>
        <w:jc w:val="both"/>
        <w:rPr>
          <w:bCs/>
          <w:szCs w:val="24"/>
        </w:rPr>
      </w:pPr>
      <w:r>
        <w:rPr>
          <w:bCs/>
          <w:i/>
          <w:szCs w:val="24"/>
        </w:rPr>
        <w:t>Annexe </w:t>
      </w:r>
      <w:r w:rsidR="00C94B85" w:rsidRPr="000B78B7">
        <w:rPr>
          <w:bCs/>
          <w:i/>
          <w:szCs w:val="24"/>
        </w:rPr>
        <w:t xml:space="preserve">11, </w:t>
      </w:r>
      <w:r w:rsidR="00C94B85" w:rsidRPr="000B78B7">
        <w:rPr>
          <w:i/>
        </w:rPr>
        <w:t>suppr</w:t>
      </w:r>
      <w:r>
        <w:rPr>
          <w:i/>
        </w:rPr>
        <w:t>imer les paragraphes 3.3.4.9 et </w:t>
      </w:r>
      <w:r w:rsidR="00C94B85" w:rsidRPr="000B78B7">
        <w:rPr>
          <w:i/>
        </w:rPr>
        <w:t>3.3.4.10.</w:t>
      </w:r>
    </w:p>
    <w:p w:rsidR="00C94B85" w:rsidRPr="000B78B7" w:rsidRDefault="00A44876" w:rsidP="007A48FB">
      <w:pPr>
        <w:keepNext/>
        <w:keepLines/>
        <w:kinsoku/>
        <w:overflowPunct/>
        <w:autoSpaceDE/>
        <w:autoSpaceDN/>
        <w:adjustRightInd/>
        <w:snapToGrid/>
        <w:spacing w:after="120" w:line="240" w:lineRule="exact"/>
        <w:ind w:left="1134" w:right="1134"/>
        <w:jc w:val="both"/>
        <w:rPr>
          <w:b/>
          <w:szCs w:val="24"/>
        </w:rPr>
      </w:pPr>
      <w:r>
        <w:rPr>
          <w:bCs/>
          <w:i/>
          <w:szCs w:val="24"/>
        </w:rPr>
        <w:t>Annexe </w:t>
      </w:r>
      <w:r w:rsidR="00C94B85" w:rsidRPr="000B78B7">
        <w:rPr>
          <w:bCs/>
          <w:i/>
          <w:szCs w:val="24"/>
        </w:rPr>
        <w:t xml:space="preserve">11, </w:t>
      </w:r>
      <w:r w:rsidR="00C94B85" w:rsidRPr="00A658AF">
        <w:rPr>
          <w:i/>
        </w:rPr>
        <w:t xml:space="preserve">ajouter </w:t>
      </w:r>
      <w:r w:rsidR="00C94B85">
        <w:rPr>
          <w:i/>
        </w:rPr>
        <w:t xml:space="preserve">de </w:t>
      </w:r>
      <w:r w:rsidR="00C94B85" w:rsidRPr="00A658AF">
        <w:rPr>
          <w:i/>
        </w:rPr>
        <w:t>nouveau</w:t>
      </w:r>
      <w:r w:rsidR="00C94B85">
        <w:rPr>
          <w:i/>
        </w:rPr>
        <w:t>x</w:t>
      </w:r>
      <w:r w:rsidR="00C94B85" w:rsidRPr="00A658AF">
        <w:rPr>
          <w:i/>
        </w:rPr>
        <w:t xml:space="preserve"> paragraphe</w:t>
      </w:r>
      <w:r w:rsidR="00C94B85">
        <w:rPr>
          <w:i/>
        </w:rPr>
        <w:t xml:space="preserve">s </w:t>
      </w:r>
      <w:r w:rsidR="00C94B85" w:rsidRPr="000B78B7">
        <w:rPr>
          <w:bCs/>
          <w:i/>
          <w:szCs w:val="24"/>
        </w:rPr>
        <w:t>3.3.5.1</w:t>
      </w:r>
      <w:r w:rsidR="00C94B85">
        <w:rPr>
          <w:bCs/>
          <w:i/>
          <w:szCs w:val="24"/>
        </w:rPr>
        <w:t xml:space="preserve"> et </w:t>
      </w:r>
      <w:r w:rsidR="00C94B85" w:rsidRPr="000B78B7">
        <w:rPr>
          <w:bCs/>
          <w:i/>
          <w:szCs w:val="24"/>
        </w:rPr>
        <w:t>3.3.5.2</w:t>
      </w:r>
      <w:r w:rsidR="00C94B85" w:rsidRPr="00A44876">
        <w:t xml:space="preserve">, </w:t>
      </w:r>
      <w:r w:rsidR="00C94B85" w:rsidRPr="00A658AF">
        <w:t>ainsi conçu</w:t>
      </w:r>
      <w:r w:rsidR="00C94B85">
        <w:t>s</w:t>
      </w:r>
      <w:r w:rsidR="00C94B85" w:rsidRPr="000B78B7">
        <w:rPr>
          <w:bCs/>
          <w:szCs w:val="24"/>
        </w:rPr>
        <w:t>:</w:t>
      </w:r>
    </w:p>
    <w:p w:rsidR="00C94B85" w:rsidRDefault="00A44876" w:rsidP="007A48FB">
      <w:pPr>
        <w:kinsoku/>
        <w:overflowPunct/>
        <w:autoSpaceDE/>
        <w:autoSpaceDN/>
        <w:adjustRightInd/>
        <w:snapToGrid/>
        <w:spacing w:after="120"/>
        <w:ind w:left="2250" w:right="1089" w:hanging="1116"/>
        <w:jc w:val="both"/>
      </w:pPr>
      <w:r>
        <w:rPr>
          <w:szCs w:val="24"/>
        </w:rPr>
        <w:t>«</w:t>
      </w:r>
      <w:r w:rsidR="00C94B85" w:rsidRPr="00874F24">
        <w:rPr>
          <w:szCs w:val="24"/>
        </w:rPr>
        <w:t xml:space="preserve">3.3.5.1 </w:t>
      </w:r>
      <w:r w:rsidR="00C94B85" w:rsidRPr="00874F24">
        <w:rPr>
          <w:szCs w:val="24"/>
        </w:rPr>
        <w:tab/>
      </w:r>
      <w:r w:rsidR="00C94B85">
        <w:t>Sur les dispositifs ci-après, la défaillance totale ou le retrait doivent cependant faire l’objet d’une surveillance (si le retrait est susceptible d’entraîner un dépassement des limites d’émission applicables):</w:t>
      </w:r>
    </w:p>
    <w:p w:rsidR="00C94B85" w:rsidRDefault="00C94B85" w:rsidP="007A48FB">
      <w:pPr>
        <w:kinsoku/>
        <w:overflowPunct/>
        <w:autoSpaceDE/>
        <w:autoSpaceDN/>
        <w:adjustRightInd/>
        <w:snapToGrid/>
        <w:spacing w:after="120"/>
        <w:ind w:left="2790" w:right="1089" w:hanging="540"/>
        <w:jc w:val="both"/>
      </w:pPr>
      <w:r w:rsidRPr="00874F24">
        <w:rPr>
          <w:szCs w:val="24"/>
        </w:rPr>
        <w:t xml:space="preserve">a) </w:t>
      </w:r>
      <w:r w:rsidRPr="00874F24">
        <w:rPr>
          <w:szCs w:val="24"/>
        </w:rPr>
        <w:tab/>
      </w:r>
      <w:r>
        <w:t>Un filtre à particules installé sur des moteurs à allumage par compression en tant qu’élément distinct ou intégré dans un dispositif de réduction des émissions combiné;</w:t>
      </w:r>
    </w:p>
    <w:p w:rsidR="00C94B85" w:rsidRDefault="00C94B85" w:rsidP="007A48FB">
      <w:pPr>
        <w:kinsoku/>
        <w:overflowPunct/>
        <w:autoSpaceDE/>
        <w:autoSpaceDN/>
        <w:adjustRightInd/>
        <w:snapToGrid/>
        <w:spacing w:after="120"/>
        <w:ind w:left="2790" w:right="1089" w:hanging="540"/>
        <w:jc w:val="both"/>
      </w:pPr>
      <w:r w:rsidRPr="00874F24">
        <w:rPr>
          <w:szCs w:val="24"/>
        </w:rPr>
        <w:t xml:space="preserve">b) </w:t>
      </w:r>
      <w:r w:rsidRPr="00874F24">
        <w:rPr>
          <w:szCs w:val="24"/>
        </w:rPr>
        <w:tab/>
      </w:r>
      <w:r>
        <w:t>Un dispositif de traitement aval des NO</w:t>
      </w:r>
      <w:r w:rsidRPr="00A44876">
        <w:rPr>
          <w:vertAlign w:val="subscript"/>
        </w:rPr>
        <w:t>x</w:t>
      </w:r>
      <w:r>
        <w:t xml:space="preserve"> installé sur des moteurs à allumage par compression en tant qu’élément distinct ou intégré dans un dispositif de réduction des émissions combiné;</w:t>
      </w:r>
    </w:p>
    <w:p w:rsidR="00C94B85" w:rsidRDefault="00C94B85" w:rsidP="007A48FB">
      <w:pPr>
        <w:kinsoku/>
        <w:overflowPunct/>
        <w:autoSpaceDE/>
        <w:autoSpaceDN/>
        <w:adjustRightInd/>
        <w:snapToGrid/>
        <w:spacing w:after="120"/>
        <w:ind w:left="2790" w:right="1089" w:hanging="540"/>
        <w:jc w:val="both"/>
      </w:pPr>
      <w:r w:rsidRPr="00874F24">
        <w:rPr>
          <w:szCs w:val="24"/>
        </w:rPr>
        <w:t xml:space="preserve">c) </w:t>
      </w:r>
      <w:r w:rsidRPr="00874F24">
        <w:rPr>
          <w:szCs w:val="24"/>
        </w:rPr>
        <w:tab/>
      </w:r>
      <w:r>
        <w:t>Un catalyseur à oxydation pour moteur diesel installé sur des moteurs à allumage par compression en tant qu’élément distinct ou intégré dans un dispositif de réduction des émissions combiné.</w:t>
      </w:r>
    </w:p>
    <w:p w:rsidR="00C94B85" w:rsidRPr="00874F24" w:rsidRDefault="00C94B85" w:rsidP="007A48FB">
      <w:pPr>
        <w:kinsoku/>
        <w:overflowPunct/>
        <w:autoSpaceDE/>
        <w:autoSpaceDN/>
        <w:adjustRightInd/>
        <w:snapToGrid/>
        <w:spacing w:after="120"/>
        <w:ind w:left="2250" w:right="1089" w:hanging="1116"/>
        <w:jc w:val="both"/>
        <w:rPr>
          <w:szCs w:val="24"/>
        </w:rPr>
      </w:pPr>
      <w:r w:rsidRPr="00874F24">
        <w:rPr>
          <w:szCs w:val="24"/>
        </w:rPr>
        <w:t xml:space="preserve">3.3.5.2 </w:t>
      </w:r>
      <w:r w:rsidRPr="00874F24">
        <w:rPr>
          <w:szCs w:val="24"/>
        </w:rPr>
        <w:tab/>
      </w:r>
      <w:r>
        <w:t xml:space="preserve">Les </w:t>
      </w:r>
      <w:r w:rsidR="00A44876">
        <w:t>dispositifs visés au paragraphe </w:t>
      </w:r>
      <w:r>
        <w:t>3.3.5.1 doivent également être soumis à une surveillance au cas où une défaillance quelconque entraînerait un dépassement des valeurs limites OBD</w:t>
      </w:r>
      <w:r w:rsidR="00A44876">
        <w:rPr>
          <w:szCs w:val="24"/>
        </w:rPr>
        <w:t>»</w:t>
      </w:r>
      <w:r w:rsidRPr="00874F24">
        <w:rPr>
          <w:szCs w:val="24"/>
        </w:rPr>
        <w:t>.</w:t>
      </w:r>
    </w:p>
    <w:p w:rsidR="00F9573C" w:rsidRPr="00A44876" w:rsidRDefault="00A44876" w:rsidP="007A48FB">
      <w:pPr>
        <w:pStyle w:val="SingleTxtG"/>
        <w:spacing w:before="240" w:after="0"/>
        <w:jc w:val="center"/>
        <w:rPr>
          <w:u w:val="single"/>
        </w:rPr>
      </w:pPr>
      <w:r>
        <w:rPr>
          <w:u w:val="single"/>
        </w:rPr>
        <w:tab/>
      </w:r>
      <w:r>
        <w:rPr>
          <w:u w:val="single"/>
        </w:rPr>
        <w:tab/>
      </w:r>
      <w:r>
        <w:rPr>
          <w:u w:val="single"/>
        </w:rPr>
        <w:tab/>
      </w:r>
    </w:p>
    <w:sectPr w:rsidR="00F9573C" w:rsidRPr="00A44876" w:rsidSect="00C94B85">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A55" w:rsidRDefault="00FB7A55" w:rsidP="00F95C08">
      <w:pPr>
        <w:spacing w:line="240" w:lineRule="auto"/>
      </w:pPr>
    </w:p>
  </w:endnote>
  <w:endnote w:type="continuationSeparator" w:id="0">
    <w:p w:rsidR="00FB7A55" w:rsidRPr="00AC3823" w:rsidRDefault="00FB7A55" w:rsidP="00AC3823">
      <w:pPr>
        <w:pStyle w:val="Footer"/>
      </w:pPr>
    </w:p>
  </w:endnote>
  <w:endnote w:type="continuationNotice" w:id="1">
    <w:p w:rsidR="00FB7A55" w:rsidRDefault="00FB7A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55" w:rsidRPr="00C94B85" w:rsidRDefault="00FB7A55" w:rsidP="00C94B85">
    <w:pPr>
      <w:pStyle w:val="Footer"/>
      <w:tabs>
        <w:tab w:val="right" w:pos="9638"/>
      </w:tabs>
    </w:pPr>
    <w:r w:rsidRPr="00C94B85">
      <w:rPr>
        <w:b/>
        <w:sz w:val="18"/>
      </w:rPr>
      <w:fldChar w:fldCharType="begin"/>
    </w:r>
    <w:r w:rsidRPr="00C94B85">
      <w:rPr>
        <w:b/>
        <w:sz w:val="18"/>
      </w:rPr>
      <w:instrText xml:space="preserve"> PAGE  \* MERGEFORMAT </w:instrText>
    </w:r>
    <w:r w:rsidRPr="00C94B85">
      <w:rPr>
        <w:b/>
        <w:sz w:val="18"/>
      </w:rPr>
      <w:fldChar w:fldCharType="separate"/>
    </w:r>
    <w:r w:rsidR="0086275C">
      <w:rPr>
        <w:b/>
        <w:noProof/>
        <w:sz w:val="18"/>
      </w:rPr>
      <w:t>8</w:t>
    </w:r>
    <w:r w:rsidRPr="00C94B85">
      <w:rPr>
        <w:b/>
        <w:sz w:val="18"/>
      </w:rPr>
      <w:fldChar w:fldCharType="end"/>
    </w:r>
    <w:r>
      <w:rPr>
        <w:b/>
        <w:sz w:val="18"/>
      </w:rPr>
      <w:tab/>
    </w:r>
    <w:r>
      <w:t>GE.15-07510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55" w:rsidRPr="00C94B85" w:rsidRDefault="00FB7A55" w:rsidP="00C94B85">
    <w:pPr>
      <w:pStyle w:val="Footer"/>
      <w:tabs>
        <w:tab w:val="right" w:pos="9638"/>
      </w:tabs>
      <w:rPr>
        <w:b/>
        <w:sz w:val="18"/>
      </w:rPr>
    </w:pPr>
    <w:r>
      <w:t>GE.15-07510</w:t>
    </w:r>
    <w:r>
      <w:tab/>
    </w:r>
    <w:r w:rsidRPr="00C94B85">
      <w:rPr>
        <w:b/>
        <w:sz w:val="18"/>
      </w:rPr>
      <w:fldChar w:fldCharType="begin"/>
    </w:r>
    <w:r w:rsidRPr="00C94B85">
      <w:rPr>
        <w:b/>
        <w:sz w:val="18"/>
      </w:rPr>
      <w:instrText xml:space="preserve"> PAGE  \* MERGEFORMAT </w:instrText>
    </w:r>
    <w:r w:rsidRPr="00C94B85">
      <w:rPr>
        <w:b/>
        <w:sz w:val="18"/>
      </w:rPr>
      <w:fldChar w:fldCharType="separate"/>
    </w:r>
    <w:r w:rsidR="0086275C">
      <w:rPr>
        <w:b/>
        <w:noProof/>
        <w:sz w:val="18"/>
      </w:rPr>
      <w:t>9</w:t>
    </w:r>
    <w:r w:rsidRPr="00C94B8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55" w:rsidRPr="00C94B85" w:rsidRDefault="00FB7A55" w:rsidP="00C94B85">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4E16B3B9" wp14:editId="57F98D02">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15-07510  (F)    080515    080515</w:t>
    </w:r>
    <w:r>
      <w:rPr>
        <w:sz w:val="20"/>
      </w:rPr>
      <w:br/>
    </w:r>
    <w:r w:rsidRPr="00C94B85">
      <w:rPr>
        <w:rFonts w:ascii="C39T30Lfz" w:hAnsi="C39T30Lfz"/>
        <w:sz w:val="56"/>
      </w:rPr>
      <w:t></w:t>
    </w:r>
    <w:r w:rsidRPr="00C94B85">
      <w:rPr>
        <w:rFonts w:ascii="C39T30Lfz" w:hAnsi="C39T30Lfz"/>
        <w:sz w:val="56"/>
      </w:rPr>
      <w:t></w:t>
    </w:r>
    <w:r w:rsidRPr="00C94B85">
      <w:rPr>
        <w:rFonts w:ascii="C39T30Lfz" w:hAnsi="C39T30Lfz"/>
        <w:sz w:val="56"/>
      </w:rPr>
      <w:t></w:t>
    </w:r>
    <w:r w:rsidRPr="00C94B85">
      <w:rPr>
        <w:rFonts w:ascii="C39T30Lfz" w:hAnsi="C39T30Lfz"/>
        <w:sz w:val="56"/>
      </w:rPr>
      <w:t></w:t>
    </w:r>
    <w:r w:rsidRPr="00C94B85">
      <w:rPr>
        <w:rFonts w:ascii="C39T30Lfz" w:hAnsi="C39T30Lfz"/>
        <w:sz w:val="56"/>
      </w:rPr>
      <w:t></w:t>
    </w:r>
    <w:r w:rsidRPr="00C94B85">
      <w:rPr>
        <w:rFonts w:ascii="C39T30Lfz" w:hAnsi="C39T30Lfz"/>
        <w:sz w:val="56"/>
      </w:rPr>
      <w:t></w:t>
    </w:r>
    <w:r w:rsidRPr="00C94B85">
      <w:rPr>
        <w:rFonts w:ascii="C39T30Lfz" w:hAnsi="C39T30Lfz"/>
        <w:sz w:val="56"/>
      </w:rPr>
      <w:t></w:t>
    </w:r>
    <w:r w:rsidRPr="00C94B85">
      <w:rPr>
        <w:rFonts w:ascii="C39T30Lfz" w:hAnsi="C39T30Lfz"/>
        <w:sz w:val="56"/>
      </w:rPr>
      <w:t></w:t>
    </w:r>
    <w:r w:rsidRPr="00C94B85">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5/5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5/5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A55" w:rsidRPr="00AC3823" w:rsidRDefault="00FB7A55" w:rsidP="00AC3823">
      <w:pPr>
        <w:pStyle w:val="Footer"/>
        <w:tabs>
          <w:tab w:val="right" w:pos="2155"/>
        </w:tabs>
        <w:spacing w:after="80" w:line="240" w:lineRule="atLeast"/>
        <w:ind w:left="680"/>
        <w:rPr>
          <w:u w:val="single"/>
        </w:rPr>
      </w:pPr>
      <w:r>
        <w:rPr>
          <w:u w:val="single"/>
        </w:rPr>
        <w:tab/>
      </w:r>
    </w:p>
  </w:footnote>
  <w:footnote w:type="continuationSeparator" w:id="0">
    <w:p w:rsidR="00FB7A55" w:rsidRPr="00AC3823" w:rsidRDefault="00FB7A55" w:rsidP="00AC3823">
      <w:pPr>
        <w:pStyle w:val="Footer"/>
        <w:tabs>
          <w:tab w:val="right" w:pos="2155"/>
        </w:tabs>
        <w:spacing w:after="80" w:line="240" w:lineRule="atLeast"/>
        <w:ind w:left="680"/>
        <w:rPr>
          <w:u w:val="single"/>
        </w:rPr>
      </w:pPr>
      <w:r>
        <w:rPr>
          <w:u w:val="single"/>
        </w:rPr>
        <w:tab/>
      </w:r>
    </w:p>
  </w:footnote>
  <w:footnote w:type="continuationNotice" w:id="1">
    <w:p w:rsidR="00FB7A55" w:rsidRPr="00AC3823" w:rsidRDefault="00FB7A55">
      <w:pPr>
        <w:spacing w:line="240" w:lineRule="auto"/>
        <w:rPr>
          <w:sz w:val="2"/>
          <w:szCs w:val="2"/>
        </w:rPr>
      </w:pPr>
    </w:p>
  </w:footnote>
  <w:footnote w:id="2">
    <w:p w:rsidR="00FB7A55" w:rsidRPr="008E3548" w:rsidRDefault="00FB7A55" w:rsidP="00C94B85">
      <w:pPr>
        <w:pStyle w:val="FootnoteText"/>
      </w:pPr>
      <w:r w:rsidRPr="00C94B85">
        <w:rPr>
          <w:sz w:val="20"/>
        </w:rPr>
        <w:tab/>
        <w:t>*</w:t>
      </w:r>
      <w:r w:rsidRPr="008E3548">
        <w:rPr>
          <w:rStyle w:val="FootnoteReference"/>
          <w:sz w:val="20"/>
        </w:rPr>
        <w:tab/>
      </w:r>
      <w:r>
        <w:t>Conformément au programme de travail du Comité des transports intérieurs pour la période 2012</w:t>
      </w:r>
      <w:r>
        <w:noBreakHyphen/>
        <w:t>2016 (ECE/TRANS/224, par. 94, et ECE/TRANS/2012/12, activité 02.4), le Forum mondial élabore, harmonise et actualise les Règlements, afin d’améliorer les caractéristiques fonctionnelles des véhicules</w:t>
      </w:r>
      <w:r w:rsidRPr="008E3548">
        <w:t xml:space="preserve">. </w:t>
      </w:r>
      <w:r>
        <w:t>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55" w:rsidRPr="00C94B85" w:rsidRDefault="00FB7A55">
    <w:pPr>
      <w:pStyle w:val="Header"/>
    </w:pPr>
    <w:r>
      <w:t>ECE/TRANS/WP.29/2015/57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55" w:rsidRPr="00C94B85" w:rsidRDefault="00FB7A55" w:rsidP="00C94B85">
    <w:pPr>
      <w:pStyle w:val="Header"/>
      <w:jc w:val="right"/>
    </w:pPr>
    <w:r>
      <w:t>ECE/TRANS/WP.29/2015/57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95"/>
    <w:rsid w:val="00017F94"/>
    <w:rsid w:val="00023842"/>
    <w:rsid w:val="000334F9"/>
    <w:rsid w:val="0007796D"/>
    <w:rsid w:val="000B7790"/>
    <w:rsid w:val="00111F2F"/>
    <w:rsid w:val="0014365E"/>
    <w:rsid w:val="00143C66"/>
    <w:rsid w:val="00176178"/>
    <w:rsid w:val="001F525A"/>
    <w:rsid w:val="00223272"/>
    <w:rsid w:val="00225810"/>
    <w:rsid w:val="00226EE7"/>
    <w:rsid w:val="0024779E"/>
    <w:rsid w:val="00257168"/>
    <w:rsid w:val="002744B8"/>
    <w:rsid w:val="002832AC"/>
    <w:rsid w:val="002D7C93"/>
    <w:rsid w:val="00305801"/>
    <w:rsid w:val="00346B5F"/>
    <w:rsid w:val="003916DE"/>
    <w:rsid w:val="00434264"/>
    <w:rsid w:val="00441C3B"/>
    <w:rsid w:val="00446FE5"/>
    <w:rsid w:val="00452396"/>
    <w:rsid w:val="004837D8"/>
    <w:rsid w:val="00485E1B"/>
    <w:rsid w:val="004A7474"/>
    <w:rsid w:val="004E468C"/>
    <w:rsid w:val="005505B7"/>
    <w:rsid w:val="00573BE5"/>
    <w:rsid w:val="00586ED3"/>
    <w:rsid w:val="00596AA9"/>
    <w:rsid w:val="005B1E95"/>
    <w:rsid w:val="005B41EF"/>
    <w:rsid w:val="006A146A"/>
    <w:rsid w:val="006F0F87"/>
    <w:rsid w:val="0071601D"/>
    <w:rsid w:val="007A48FB"/>
    <w:rsid w:val="007A62E6"/>
    <w:rsid w:val="007B64DF"/>
    <w:rsid w:val="007F20FA"/>
    <w:rsid w:val="0080684C"/>
    <w:rsid w:val="0086275C"/>
    <w:rsid w:val="00871C75"/>
    <w:rsid w:val="008776DC"/>
    <w:rsid w:val="009705C8"/>
    <w:rsid w:val="009C1CF4"/>
    <w:rsid w:val="009F6B74"/>
    <w:rsid w:val="009F7D37"/>
    <w:rsid w:val="00A20387"/>
    <w:rsid w:val="00A30353"/>
    <w:rsid w:val="00A44876"/>
    <w:rsid w:val="00A706F4"/>
    <w:rsid w:val="00AC3823"/>
    <w:rsid w:val="00AE323C"/>
    <w:rsid w:val="00AF0CB5"/>
    <w:rsid w:val="00B00181"/>
    <w:rsid w:val="00B00B0D"/>
    <w:rsid w:val="00B765F7"/>
    <w:rsid w:val="00BA0CA9"/>
    <w:rsid w:val="00C02897"/>
    <w:rsid w:val="00C81A20"/>
    <w:rsid w:val="00C94B85"/>
    <w:rsid w:val="00D3439C"/>
    <w:rsid w:val="00DB1831"/>
    <w:rsid w:val="00DD3BFD"/>
    <w:rsid w:val="00DF6678"/>
    <w:rsid w:val="00E81B67"/>
    <w:rsid w:val="00E85C74"/>
    <w:rsid w:val="00EA6547"/>
    <w:rsid w:val="00EF2E22"/>
    <w:rsid w:val="00F35BAF"/>
    <w:rsid w:val="00F660DF"/>
    <w:rsid w:val="00F94664"/>
    <w:rsid w:val="00F9573C"/>
    <w:rsid w:val="00F95C08"/>
    <w:rsid w:val="00FB7A5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3453</Words>
  <Characters>19684</Characters>
  <Application>Microsoft Office Word</Application>
  <DocSecurity>0</DocSecurity>
  <Lines>164</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ECE/TRANS/WP.29/2015/57</vt:lpstr>
      <vt:lpstr>ECE/TRANS/WP.29/2015/57</vt:lpstr>
    </vt:vector>
  </TitlesOfParts>
  <Company>DCM</Company>
  <LinksUpToDate>false</LinksUpToDate>
  <CharactersWithSpaces>23091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ECE/TRANS/WP.29/2015/57</dc:title>
  <dc:creator>Granet C.</dc:creator>
  <cp:lastModifiedBy>Luciolle</cp:lastModifiedBy>
  <cp:revision>2</cp:revision>
  <cp:lastPrinted>2015-05-08T09:30:00Z</cp:lastPrinted>
  <dcterms:created xsi:type="dcterms:W3CDTF">2015-05-21T13:08:00Z</dcterms:created>
  <dcterms:modified xsi:type="dcterms:W3CDTF">2015-05-21T13:08:00Z</dcterms:modified>
</cp:coreProperties>
</file>