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603DB" w:rsidTr="007F20FA">
        <w:trPr>
          <w:trHeight w:hRule="exact" w:val="851"/>
        </w:trPr>
        <w:tc>
          <w:tcPr>
            <w:tcW w:w="1276" w:type="dxa"/>
            <w:tcBorders>
              <w:bottom w:val="single" w:sz="4" w:space="0" w:color="auto"/>
            </w:tcBorders>
          </w:tcPr>
          <w:p w:rsidR="00F35BAF" w:rsidRPr="00D603DB" w:rsidRDefault="00F35BAF" w:rsidP="002D7BC1">
            <w:bookmarkStart w:id="0" w:name="_GoBack"/>
            <w:bookmarkEnd w:id="0"/>
          </w:p>
        </w:tc>
        <w:tc>
          <w:tcPr>
            <w:tcW w:w="2268" w:type="dxa"/>
            <w:tcBorders>
              <w:bottom w:val="single" w:sz="4" w:space="0" w:color="auto"/>
            </w:tcBorders>
            <w:vAlign w:val="bottom"/>
          </w:tcPr>
          <w:p w:rsidR="00F35BAF" w:rsidRPr="00D603DB" w:rsidRDefault="00F35BAF" w:rsidP="00892A2F">
            <w:pPr>
              <w:spacing w:after="80" w:line="300" w:lineRule="exact"/>
              <w:rPr>
                <w:sz w:val="28"/>
              </w:rPr>
            </w:pPr>
            <w:r w:rsidRPr="00D603DB">
              <w:rPr>
                <w:sz w:val="28"/>
              </w:rPr>
              <w:t>Nations Unies</w:t>
            </w:r>
          </w:p>
        </w:tc>
        <w:tc>
          <w:tcPr>
            <w:tcW w:w="6095" w:type="dxa"/>
            <w:gridSpan w:val="2"/>
            <w:tcBorders>
              <w:bottom w:val="single" w:sz="4" w:space="0" w:color="auto"/>
            </w:tcBorders>
            <w:vAlign w:val="bottom"/>
          </w:tcPr>
          <w:p w:rsidR="00F35BAF" w:rsidRPr="00D603DB" w:rsidRDefault="002D7BC1" w:rsidP="002D7BC1">
            <w:pPr>
              <w:jc w:val="right"/>
            </w:pPr>
            <w:r w:rsidRPr="00D603DB">
              <w:rPr>
                <w:sz w:val="40"/>
              </w:rPr>
              <w:t>ECE</w:t>
            </w:r>
            <w:r w:rsidRPr="00D603DB">
              <w:t>/TRANS/WP.29/2015/59</w:t>
            </w:r>
          </w:p>
        </w:tc>
      </w:tr>
      <w:tr w:rsidR="00F35BAF" w:rsidRPr="00D603DB" w:rsidTr="00892A2F">
        <w:trPr>
          <w:trHeight w:hRule="exact" w:val="2835"/>
        </w:trPr>
        <w:tc>
          <w:tcPr>
            <w:tcW w:w="1276" w:type="dxa"/>
            <w:tcBorders>
              <w:top w:val="single" w:sz="4" w:space="0" w:color="auto"/>
              <w:bottom w:val="single" w:sz="12" w:space="0" w:color="auto"/>
            </w:tcBorders>
          </w:tcPr>
          <w:p w:rsidR="00F35BAF" w:rsidRPr="00D603DB" w:rsidRDefault="00F35BAF" w:rsidP="00892A2F">
            <w:pPr>
              <w:spacing w:before="120"/>
              <w:jc w:val="center"/>
            </w:pPr>
            <w:r w:rsidRPr="00D603DB">
              <w:rPr>
                <w:noProof/>
                <w:lang w:val="en-GB" w:eastAsia="en-GB"/>
              </w:rPr>
              <w:drawing>
                <wp:inline distT="0" distB="0" distL="0" distR="0" wp14:anchorId="262B2C28" wp14:editId="6149CE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603DB" w:rsidRDefault="00F35BAF" w:rsidP="00892A2F">
            <w:pPr>
              <w:spacing w:before="120" w:line="420" w:lineRule="exact"/>
              <w:rPr>
                <w:b/>
                <w:sz w:val="40"/>
                <w:szCs w:val="40"/>
              </w:rPr>
            </w:pPr>
            <w:r w:rsidRPr="00D603DB">
              <w:rPr>
                <w:b/>
                <w:sz w:val="40"/>
                <w:szCs w:val="40"/>
              </w:rPr>
              <w:t>Conseil économique et social</w:t>
            </w:r>
          </w:p>
        </w:tc>
        <w:tc>
          <w:tcPr>
            <w:tcW w:w="2835" w:type="dxa"/>
            <w:tcBorders>
              <w:top w:val="single" w:sz="4" w:space="0" w:color="auto"/>
              <w:bottom w:val="single" w:sz="12" w:space="0" w:color="auto"/>
            </w:tcBorders>
          </w:tcPr>
          <w:p w:rsidR="00F35BAF" w:rsidRPr="00D603DB" w:rsidRDefault="002D7BC1" w:rsidP="00892A2F">
            <w:pPr>
              <w:spacing w:before="240"/>
            </w:pPr>
            <w:proofErr w:type="spellStart"/>
            <w:r w:rsidRPr="00D603DB">
              <w:t>Distr</w:t>
            </w:r>
            <w:proofErr w:type="spellEnd"/>
            <w:r w:rsidRPr="00D603DB">
              <w:t>. générale</w:t>
            </w:r>
          </w:p>
          <w:p w:rsidR="002D7BC1" w:rsidRPr="00D603DB" w:rsidRDefault="002D7BC1" w:rsidP="002D7BC1">
            <w:pPr>
              <w:spacing w:line="240" w:lineRule="exact"/>
            </w:pPr>
            <w:r w:rsidRPr="00D603DB">
              <w:t>10 avril 2015</w:t>
            </w:r>
          </w:p>
          <w:p w:rsidR="002D7BC1" w:rsidRPr="00D603DB" w:rsidRDefault="002D7BC1" w:rsidP="002D7BC1">
            <w:pPr>
              <w:spacing w:line="240" w:lineRule="exact"/>
            </w:pPr>
            <w:r w:rsidRPr="00D603DB">
              <w:t>Français</w:t>
            </w:r>
          </w:p>
          <w:p w:rsidR="002D7BC1" w:rsidRPr="00D603DB" w:rsidRDefault="002D7BC1" w:rsidP="002D7BC1">
            <w:pPr>
              <w:spacing w:line="240" w:lineRule="exact"/>
            </w:pPr>
            <w:r w:rsidRPr="00D603DB">
              <w:t>Original: anglais</w:t>
            </w:r>
          </w:p>
        </w:tc>
      </w:tr>
    </w:tbl>
    <w:p w:rsidR="007F20FA" w:rsidRPr="00D603DB" w:rsidRDefault="007F20FA" w:rsidP="007F20FA">
      <w:pPr>
        <w:spacing w:before="120"/>
        <w:rPr>
          <w:b/>
          <w:sz w:val="28"/>
          <w:szCs w:val="28"/>
        </w:rPr>
      </w:pPr>
      <w:r w:rsidRPr="00D603DB">
        <w:rPr>
          <w:b/>
          <w:sz w:val="28"/>
          <w:szCs w:val="28"/>
        </w:rPr>
        <w:t>Commission économique pour l’Europe</w:t>
      </w:r>
    </w:p>
    <w:p w:rsidR="007F20FA" w:rsidRPr="00D603DB" w:rsidRDefault="007F20FA" w:rsidP="007F20FA">
      <w:pPr>
        <w:spacing w:before="120"/>
        <w:rPr>
          <w:sz w:val="28"/>
          <w:szCs w:val="28"/>
        </w:rPr>
      </w:pPr>
      <w:r w:rsidRPr="00D603DB">
        <w:rPr>
          <w:sz w:val="28"/>
          <w:szCs w:val="28"/>
        </w:rPr>
        <w:t>Comité des transports intérieurs</w:t>
      </w:r>
    </w:p>
    <w:p w:rsidR="002D7BC1" w:rsidRPr="00D603DB" w:rsidRDefault="002D7BC1" w:rsidP="00AF0CB5">
      <w:pPr>
        <w:spacing w:before="120"/>
        <w:rPr>
          <w:b/>
          <w:sz w:val="24"/>
          <w:szCs w:val="24"/>
        </w:rPr>
      </w:pPr>
      <w:r w:rsidRPr="00D603DB">
        <w:rPr>
          <w:b/>
          <w:sz w:val="24"/>
          <w:szCs w:val="24"/>
        </w:rPr>
        <w:t>Forum mondial de l’harmonisation</w:t>
      </w:r>
      <w:r w:rsidRPr="00D603DB">
        <w:rPr>
          <w:b/>
          <w:sz w:val="24"/>
          <w:szCs w:val="24"/>
        </w:rPr>
        <w:br/>
        <w:t>des Règlements concernant les véhicules</w:t>
      </w:r>
    </w:p>
    <w:p w:rsidR="002D7BC1" w:rsidRPr="00D603DB" w:rsidRDefault="00167475" w:rsidP="00AF0CB5">
      <w:pPr>
        <w:spacing w:before="120" w:line="240" w:lineRule="exact"/>
        <w:rPr>
          <w:b/>
        </w:rPr>
      </w:pPr>
      <w:r w:rsidRPr="00D603DB">
        <w:rPr>
          <w:b/>
        </w:rPr>
        <w:t>166</w:t>
      </w:r>
      <w:r w:rsidRPr="00D603DB">
        <w:rPr>
          <w:b/>
          <w:vertAlign w:val="superscript"/>
        </w:rPr>
        <w:t>e</w:t>
      </w:r>
      <w:r w:rsidR="002D7BC1" w:rsidRPr="00D603DB">
        <w:rPr>
          <w:b/>
        </w:rPr>
        <w:t xml:space="preserve"> session</w:t>
      </w:r>
    </w:p>
    <w:p w:rsidR="002D7BC1" w:rsidRPr="00D603DB" w:rsidRDefault="002D7BC1" w:rsidP="00AF0CB5">
      <w:pPr>
        <w:spacing w:line="240" w:lineRule="exact"/>
      </w:pPr>
      <w:r w:rsidRPr="00D603DB">
        <w:t xml:space="preserve">Genève, </w:t>
      </w:r>
      <w:r w:rsidR="00167475" w:rsidRPr="00D603DB">
        <w:t>23-26 juin 2015</w:t>
      </w:r>
    </w:p>
    <w:p w:rsidR="002D7BC1" w:rsidRPr="00D603DB" w:rsidRDefault="00167475" w:rsidP="00AF0CB5">
      <w:pPr>
        <w:spacing w:line="240" w:lineRule="exact"/>
      </w:pPr>
      <w:r w:rsidRPr="00D603DB">
        <w:t>Point 4.8.1</w:t>
      </w:r>
      <w:r w:rsidR="002D7BC1" w:rsidRPr="00D603DB">
        <w:t xml:space="preserve"> de l’ordre du jour</w:t>
      </w:r>
      <w:r w:rsidRPr="00D603DB">
        <w:t xml:space="preserve"> provisoire</w:t>
      </w:r>
    </w:p>
    <w:p w:rsidR="00F9573C" w:rsidRPr="00D603DB" w:rsidRDefault="00167475" w:rsidP="00AF0CB5">
      <w:pPr>
        <w:rPr>
          <w:b/>
        </w:rPr>
      </w:pPr>
      <w:r w:rsidRPr="00D603DB">
        <w:rPr>
          <w:b/>
        </w:rPr>
        <w:t>Accord de 1958 − Examen de projets d’amendements</w:t>
      </w:r>
      <w:r w:rsidRPr="00D603DB">
        <w:rPr>
          <w:b/>
        </w:rPr>
        <w:br/>
        <w:t>à des Règlements existants</w:t>
      </w:r>
      <w:r w:rsidR="00D603DB" w:rsidRPr="00D603DB">
        <w:rPr>
          <w:b/>
        </w:rPr>
        <w:t>,</w:t>
      </w:r>
      <w:r w:rsidRPr="00D603DB">
        <w:rPr>
          <w:b/>
        </w:rPr>
        <w:t xml:space="preserve"> proposés par le GRB</w:t>
      </w:r>
    </w:p>
    <w:p w:rsidR="00D603DB" w:rsidRPr="00D603DB" w:rsidRDefault="00D603DB" w:rsidP="00D603DB">
      <w:pPr>
        <w:pStyle w:val="HChG"/>
      </w:pPr>
      <w:r w:rsidRPr="00D603DB">
        <w:tab/>
      </w:r>
      <w:r w:rsidRPr="00D603DB">
        <w:tab/>
        <w:t>Proposition de complément 1 à la série 07 d’</w:t>
      </w:r>
      <w:r>
        <w:t>amendements</w:t>
      </w:r>
      <w:r>
        <w:br/>
      </w:r>
      <w:r w:rsidR="00EC5F0E">
        <w:t xml:space="preserve">au Règlement </w:t>
      </w:r>
      <w:r w:rsidR="00EC5F0E">
        <w:rPr>
          <w:rFonts w:eastAsia="MS Mincho"/>
        </w:rPr>
        <w:t>n</w:t>
      </w:r>
      <w:r w:rsidR="00EC5F0E">
        <w:rPr>
          <w:rFonts w:eastAsia="MS Mincho"/>
          <w:vertAlign w:val="superscript"/>
        </w:rPr>
        <w:t>o</w:t>
      </w:r>
      <w:r w:rsidR="00EC5F0E">
        <w:t> </w:t>
      </w:r>
      <w:r w:rsidRPr="00D603DB">
        <w:t>9 (</w:t>
      </w:r>
      <w:r>
        <w:t>Bruit émis par les véhicules</w:t>
      </w:r>
      <w:r>
        <w:br/>
      </w:r>
      <w:r w:rsidRPr="00D603DB">
        <w:t>à trois roues)</w:t>
      </w:r>
    </w:p>
    <w:p w:rsidR="00D603DB" w:rsidRPr="00D603DB" w:rsidRDefault="00D603DB" w:rsidP="00D603DB">
      <w:pPr>
        <w:pStyle w:val="H1G"/>
      </w:pPr>
      <w:r w:rsidRPr="00D603DB">
        <w:tab/>
      </w:r>
      <w:r w:rsidRPr="00D603DB">
        <w:tab/>
        <w:t>Communication du Groupe de travail du bruit</w:t>
      </w:r>
      <w:r w:rsidRPr="00D603DB">
        <w:rPr>
          <w:rStyle w:val="FootnoteReference"/>
          <w:b w:val="0"/>
          <w:sz w:val="20"/>
          <w:vertAlign w:val="baseline"/>
        </w:rPr>
        <w:footnoteReference w:customMarkFollows="1" w:id="2"/>
        <w:t>*</w:t>
      </w:r>
    </w:p>
    <w:p w:rsidR="00D603DB" w:rsidRPr="00D603DB" w:rsidRDefault="00D603DB" w:rsidP="00120F92">
      <w:pPr>
        <w:pStyle w:val="SingleTxtG"/>
        <w:ind w:firstLine="567"/>
      </w:pPr>
      <w:r w:rsidRPr="00D603DB">
        <w:t xml:space="preserve">Le texte reproduit ci-après, adopté par le Groupe de travail du bruit (GRB) à </w:t>
      </w:r>
      <w:r w:rsidR="00DE59BE">
        <w:t>sa </w:t>
      </w:r>
      <w:r w:rsidR="00120F92">
        <w:t>soixante </w:t>
      </w:r>
      <w:r w:rsidRPr="00D603DB">
        <w:t>et</w:t>
      </w:r>
      <w:r w:rsidR="00120F92">
        <w:t> </w:t>
      </w:r>
      <w:r w:rsidRPr="00D603DB">
        <w:t>unième session (ECE/TRANS/WP.29/GRB/59</w:t>
      </w:r>
      <w:r w:rsidR="00120F92">
        <w:t>, par. </w:t>
      </w:r>
      <w:r w:rsidRPr="00D603DB">
        <w:t>17), est fondé sur l’annexe</w:t>
      </w:r>
      <w:r w:rsidR="00120F92">
        <w:t> </w:t>
      </w:r>
      <w:r w:rsidRPr="00D603DB">
        <w:t>VII du document ECE/TRANS/WP.29/GR</w:t>
      </w:r>
      <w:r w:rsidR="00EC5F0E">
        <w:t>B</w:t>
      </w:r>
      <w:r w:rsidRPr="00D603DB">
        <w:t>/</w:t>
      </w:r>
      <w:r w:rsidR="00DE59BE">
        <w:t>59.</w:t>
      </w:r>
      <w:r w:rsidRPr="00D603DB">
        <w:t xml:space="preserve"> Il est soumis au Forum mondial de l’harmonisation des Règlements concernant les véhicules (WP.29) et au Comité d’administration (AC.1) pour examen.</w:t>
      </w:r>
    </w:p>
    <w:p w:rsidR="00D603DB" w:rsidRPr="00D603DB" w:rsidRDefault="00D603DB" w:rsidP="00DE59BE">
      <w:pPr>
        <w:pStyle w:val="SingleTxtG"/>
        <w:keepNext/>
      </w:pPr>
      <w:r w:rsidRPr="00D603DB">
        <w:br w:type="page"/>
      </w:r>
      <w:r w:rsidRPr="00DE59BE">
        <w:rPr>
          <w:i/>
        </w:rPr>
        <w:lastRenderedPageBreak/>
        <w:t>Ajouter les nouveaux paragraphes 11.7 et 11.8</w:t>
      </w:r>
      <w:r w:rsidRPr="00D603DB">
        <w:t>, ainsi conçus:</w:t>
      </w:r>
    </w:p>
    <w:p w:rsidR="00D603DB" w:rsidRPr="00D603DB" w:rsidRDefault="00DE59BE" w:rsidP="00DE59BE">
      <w:pPr>
        <w:pStyle w:val="SingleTxtG"/>
        <w:ind w:left="2268" w:hanging="1134"/>
      </w:pPr>
      <w:r>
        <w:t>«11.7</w:t>
      </w:r>
      <w:r w:rsidR="00D603DB" w:rsidRPr="00D603DB">
        <w:tab/>
        <w:t>À compter de la date officielle d’entrée en vigueur du complément 1 à la série 07 d’amendements, aucune Partie contractante appliquant le présent Règlement ne pourra refuser d’accorder ou d’accepter une homologation de type au titre de ce complément.</w:t>
      </w:r>
    </w:p>
    <w:p w:rsidR="00D603DB" w:rsidRPr="00D603DB" w:rsidRDefault="00DE59BE" w:rsidP="00DE59BE">
      <w:pPr>
        <w:pStyle w:val="SingleTxtG"/>
        <w:ind w:left="2268" w:hanging="1134"/>
        <w:rPr>
          <w:b/>
          <w:szCs w:val="24"/>
        </w:rPr>
      </w:pPr>
      <w:r>
        <w:rPr>
          <w:szCs w:val="24"/>
        </w:rPr>
        <w:t>11.8</w:t>
      </w:r>
      <w:r w:rsidR="00D603DB" w:rsidRPr="00D603DB">
        <w:rPr>
          <w:szCs w:val="24"/>
        </w:rPr>
        <w:tab/>
        <w:t>Passé un délai de 60 mois à compter de la date d’entrée en vigueur du complément 1 à la série 07 d’amendements au présent Règlement, les Parties contractantes appliquant ce Règlement ne pourront accorder des homologations de type que si le type de véhicule concerné satisfait aux prescriptions du présent Règlement tel que modifié par ledit complément</w:t>
      </w:r>
      <w:r>
        <w:rPr>
          <w:szCs w:val="24"/>
        </w:rPr>
        <w:t>.»</w:t>
      </w:r>
      <w:r w:rsidR="00D603DB" w:rsidRPr="00D603DB">
        <w:rPr>
          <w:szCs w:val="24"/>
        </w:rPr>
        <w:t>.</w:t>
      </w:r>
    </w:p>
    <w:p w:rsidR="00D603DB" w:rsidRPr="00D603DB" w:rsidRDefault="00D603DB" w:rsidP="00DE59BE">
      <w:pPr>
        <w:pStyle w:val="SingleTxtG"/>
      </w:pPr>
      <w:r w:rsidRPr="00DE59BE">
        <w:rPr>
          <w:i/>
        </w:rPr>
        <w:t>Annexe 1</w:t>
      </w:r>
      <w:r w:rsidRPr="00D603DB">
        <w:t xml:space="preserve">, </w:t>
      </w:r>
    </w:p>
    <w:p w:rsidR="00D603DB" w:rsidRPr="00D603DB" w:rsidRDefault="00D603DB" w:rsidP="00DE59BE">
      <w:pPr>
        <w:pStyle w:val="SingleTxtG"/>
      </w:pPr>
      <w:r w:rsidRPr="00DE59BE">
        <w:rPr>
          <w:i/>
        </w:rPr>
        <w:t>Point 19</w:t>
      </w:r>
      <w:r w:rsidRPr="00D603DB">
        <w:t xml:space="preserve">, </w:t>
      </w:r>
      <w:proofErr w:type="gramStart"/>
      <w:r w:rsidRPr="00D603DB">
        <w:t>supprimer</w:t>
      </w:r>
      <w:proofErr w:type="gramEnd"/>
      <w:r w:rsidRPr="00D603DB">
        <w:t xml:space="preserve">. </w:t>
      </w:r>
    </w:p>
    <w:p w:rsidR="00D603DB" w:rsidRPr="00D603DB" w:rsidRDefault="00D603DB" w:rsidP="00DE59BE">
      <w:pPr>
        <w:pStyle w:val="SingleTxtG"/>
      </w:pPr>
      <w:r w:rsidRPr="00DE59BE">
        <w:rPr>
          <w:i/>
        </w:rPr>
        <w:t>Les points 20 à 29</w:t>
      </w:r>
      <w:r w:rsidRPr="00D603DB">
        <w:t xml:space="preserve"> deviennent </w:t>
      </w:r>
      <w:proofErr w:type="gramStart"/>
      <w:r w:rsidRPr="00D603DB">
        <w:t>les point</w:t>
      </w:r>
      <w:proofErr w:type="gramEnd"/>
      <w:r w:rsidRPr="00D603DB">
        <w:t xml:space="preserve"> 19 à 28.</w:t>
      </w:r>
    </w:p>
    <w:p w:rsidR="00D603DB" w:rsidRPr="00D603DB" w:rsidRDefault="00D603DB" w:rsidP="00DE59BE">
      <w:pPr>
        <w:pStyle w:val="SingleTxtG"/>
      </w:pPr>
      <w:r w:rsidRPr="00DE59BE">
        <w:rPr>
          <w:i/>
        </w:rPr>
        <w:t>Annexe 3</w:t>
      </w:r>
      <w:r w:rsidRPr="00D603DB">
        <w:t xml:space="preserve">, </w:t>
      </w:r>
    </w:p>
    <w:p w:rsidR="00D603DB" w:rsidRPr="00D603DB" w:rsidRDefault="00D603DB" w:rsidP="00DE59BE">
      <w:pPr>
        <w:pStyle w:val="SingleTxtG"/>
      </w:pPr>
      <w:r w:rsidRPr="00DE59BE">
        <w:rPr>
          <w:i/>
        </w:rPr>
        <w:t>Paragraphe 2.2</w:t>
      </w:r>
      <w:r w:rsidRPr="00D603DB">
        <w:t xml:space="preserve">, </w:t>
      </w:r>
      <w:proofErr w:type="gramStart"/>
      <w:r w:rsidRPr="00D603DB">
        <w:t>modifier</w:t>
      </w:r>
      <w:proofErr w:type="gramEnd"/>
      <w:r w:rsidRPr="00D603DB">
        <w:t xml:space="preserve"> comme suit: </w:t>
      </w:r>
    </w:p>
    <w:p w:rsidR="00D603DB" w:rsidRPr="00D603DB" w:rsidRDefault="004E1A7C" w:rsidP="00DE59BE">
      <w:pPr>
        <w:pStyle w:val="SingleTxtG"/>
        <w:ind w:left="2268" w:hanging="1134"/>
        <w:rPr>
          <w:szCs w:val="24"/>
        </w:rPr>
      </w:pPr>
      <w:r>
        <w:rPr>
          <w:szCs w:val="24"/>
        </w:rPr>
        <w:t>«</w:t>
      </w:r>
      <w:r w:rsidR="00D603DB" w:rsidRPr="00D603DB">
        <w:rPr>
          <w:szCs w:val="24"/>
        </w:rPr>
        <w:t>2.2</w:t>
      </w:r>
      <w:r w:rsidR="00D603DB" w:rsidRPr="00D603DB">
        <w:rPr>
          <w:szCs w:val="24"/>
        </w:rPr>
        <w:tab/>
        <w:t>Le terrain d’essai doit comporter une piste d’accélération placée au centre d’une aire pratiquement plane. La piste d’accélération doit être horizontale et son revêtement doit être sec et conçu de façon à être peu bruyant.</w:t>
      </w:r>
    </w:p>
    <w:p w:rsidR="00D603DB" w:rsidRPr="00D603DB" w:rsidRDefault="00D603DB" w:rsidP="004E1A7C">
      <w:pPr>
        <w:pStyle w:val="SingleTxtG"/>
        <w:ind w:left="2268"/>
      </w:pPr>
      <w:r w:rsidRPr="00D603DB">
        <w:tab/>
        <w:t xml:space="preserve">Sur le terrain d’essai, un champ acoustique libre (de niveau sonore inférieur à </w:t>
      </w:r>
      <w:r w:rsidR="004E1A7C">
        <w:sym w:font="Symbol" w:char="F0B1"/>
      </w:r>
      <w:r w:rsidR="004E1A7C">
        <w:t>1 </w:t>
      </w:r>
      <w:r w:rsidRPr="00D603DB">
        <w:t>dB) doit être maintenu entre la source sonore placée au milieu de la piste d’accélération et le microphone. Cette condition doit être considérée comme remplie lorsqu’il n’existe pas d’écrans importants réflecteurs du son, tels que haies, rochers, ponts ou</w:t>
      </w:r>
      <w:r w:rsidR="004E1A7C">
        <w:t xml:space="preserve"> bâtiments, dans un rayon de 50 </w:t>
      </w:r>
      <w:r w:rsidRPr="00D603DB">
        <w:t>m autour du centre de</w:t>
      </w:r>
      <w:r w:rsidR="004E1A7C">
        <w:t> </w:t>
      </w:r>
      <w:r w:rsidRPr="00D603DB">
        <w:t xml:space="preserve">la piste d’accélération. Le revêtement de la piste d’essai doit être conforme aux prescriptions de l’annexe 4 du </w:t>
      </w:r>
      <w:r w:rsidR="004E1A7C">
        <w:t>présent Règlement ou à la norme </w:t>
      </w:r>
      <w:r w:rsidRPr="00D603DB">
        <w:rPr>
          <w:bCs/>
        </w:rPr>
        <w:t>ISO</w:t>
      </w:r>
      <w:r w:rsidR="00AC40FC">
        <w:rPr>
          <w:bCs/>
        </w:rPr>
        <w:t> </w:t>
      </w:r>
      <w:r w:rsidRPr="00D603DB">
        <w:rPr>
          <w:bCs/>
        </w:rPr>
        <w:t>10844:2014</w:t>
      </w:r>
      <w:r w:rsidRPr="00D603DB">
        <w:t>.</w:t>
      </w:r>
    </w:p>
    <w:p w:rsidR="00D603DB" w:rsidRPr="00D603DB" w:rsidRDefault="00D603DB" w:rsidP="004E1A7C">
      <w:pPr>
        <w:pStyle w:val="SingleTxtG"/>
        <w:ind w:left="2268"/>
        <w:rPr>
          <w:szCs w:val="24"/>
        </w:rPr>
      </w:pPr>
      <w:r w:rsidRPr="00D603DB">
        <w:rPr>
          <w:szCs w:val="24"/>
        </w:rPr>
        <w:t>Aucun obstacle susceptible d’influencer le champ acoustique ne doit se trouver à proximité du microphone et nul ne doit s’interposer entre le microphone et la source sonore.</w:t>
      </w:r>
      <w:r w:rsidR="004E1A7C">
        <w:rPr>
          <w:szCs w:val="24"/>
        </w:rPr>
        <w:t>»</w:t>
      </w:r>
      <w:r w:rsidRPr="00D603DB">
        <w:rPr>
          <w:szCs w:val="24"/>
        </w:rPr>
        <w:t>.</w:t>
      </w:r>
    </w:p>
    <w:p w:rsidR="00D603DB" w:rsidRPr="00D603DB" w:rsidRDefault="00D603DB" w:rsidP="004E1A7C">
      <w:pPr>
        <w:pStyle w:val="SingleTxtG"/>
        <w:rPr>
          <w:i/>
          <w:iCs/>
          <w:szCs w:val="24"/>
        </w:rPr>
      </w:pPr>
      <w:r w:rsidRPr="00D603DB">
        <w:rPr>
          <w:i/>
          <w:iCs/>
          <w:szCs w:val="24"/>
        </w:rPr>
        <w:t>Annexe 4</w:t>
      </w:r>
      <w:r w:rsidRPr="004E1A7C">
        <w:rPr>
          <w:iCs/>
          <w:szCs w:val="24"/>
        </w:rPr>
        <w:t>,</w:t>
      </w:r>
      <w:r w:rsidRPr="00D603DB">
        <w:rPr>
          <w:i/>
          <w:iCs/>
          <w:szCs w:val="24"/>
        </w:rPr>
        <w:t xml:space="preserve"> </w:t>
      </w:r>
    </w:p>
    <w:p w:rsidR="00D603DB" w:rsidRDefault="00D603DB" w:rsidP="00E84F48">
      <w:pPr>
        <w:pStyle w:val="SingleTxtG"/>
        <w:keepNext/>
      </w:pPr>
      <w:r w:rsidRPr="00D603DB">
        <w:rPr>
          <w:i/>
          <w:iCs/>
          <w:szCs w:val="24"/>
        </w:rPr>
        <w:t xml:space="preserve">Après le titre, </w:t>
      </w:r>
      <w:r w:rsidRPr="00D603DB">
        <w:t xml:space="preserve">insérer un nouvel </w:t>
      </w:r>
      <w:r w:rsidR="00E84F48">
        <w:t>appel de note de bas de page </w:t>
      </w:r>
      <w:r w:rsidRPr="00D603DB">
        <w:t>1 ainsi que la note corre</w:t>
      </w:r>
      <w:r w:rsidR="00E84F48">
        <w:t>spondante, libellée comme suit:</w:t>
      </w:r>
    </w:p>
    <w:p w:rsidR="00E84F48" w:rsidRPr="00D603DB" w:rsidRDefault="00E84F48" w:rsidP="00E9654B">
      <w:pPr>
        <w:pStyle w:val="SingleTxtG"/>
        <w:keepNext/>
        <w:jc w:val="left"/>
        <w:rPr>
          <w:szCs w:val="24"/>
        </w:rPr>
      </w:pPr>
      <w:r>
        <w:t>«</w:t>
      </w:r>
      <w:r w:rsidRPr="00E84F48">
        <w:rPr>
          <w:rStyle w:val="FootnoteTextChar"/>
          <w:vertAlign w:val="superscript"/>
        </w:rPr>
        <w:t>1</w:t>
      </w:r>
      <w:r w:rsidRPr="00E84F48">
        <w:rPr>
          <w:rStyle w:val="FootnoteTextChar"/>
        </w:rPr>
        <w:tab/>
        <w:t>Les caractéristiques du terrain d’essai reprises dans la présente annexe sont valables jusqu’au</w:t>
      </w:r>
      <w:r w:rsidR="00E9654B">
        <w:rPr>
          <w:rStyle w:val="FootnoteTextChar"/>
        </w:rPr>
        <w:t> </w:t>
      </w:r>
      <w:r w:rsidRPr="00E84F48">
        <w:rPr>
          <w:rStyle w:val="FootnoteTextChar"/>
        </w:rPr>
        <w:t>terme de la période indiquée au paragraphe 11.8.</w:t>
      </w:r>
      <w:r>
        <w:rPr>
          <w:rStyle w:val="FootnoteTextChar"/>
        </w:rPr>
        <w:t>».</w:t>
      </w:r>
    </w:p>
    <w:p w:rsidR="00167475" w:rsidRDefault="00D603DB" w:rsidP="004E1A7C">
      <w:pPr>
        <w:pStyle w:val="SingleTxtG"/>
        <w:rPr>
          <w:iCs/>
          <w:szCs w:val="24"/>
        </w:rPr>
      </w:pPr>
      <w:r w:rsidRPr="00D603DB">
        <w:rPr>
          <w:i/>
          <w:iCs/>
          <w:szCs w:val="24"/>
        </w:rPr>
        <w:t xml:space="preserve">Dans le paragraphe 1, l’appel de note 1 </w:t>
      </w:r>
      <w:r w:rsidRPr="00D603DB">
        <w:rPr>
          <w:iCs/>
          <w:szCs w:val="24"/>
        </w:rPr>
        <w:t>devient l’appel de note 2 et le numéro de la note correspondante est modifié en conséquence.</w:t>
      </w:r>
    </w:p>
    <w:p w:rsidR="00E9654B" w:rsidRPr="00E9654B" w:rsidRDefault="00E9654B" w:rsidP="00E9654B">
      <w:pPr>
        <w:pStyle w:val="SingleTxtG"/>
        <w:spacing w:before="240" w:after="0"/>
        <w:jc w:val="center"/>
        <w:rPr>
          <w:u w:val="single"/>
        </w:rPr>
      </w:pPr>
      <w:r>
        <w:rPr>
          <w:u w:val="single"/>
        </w:rPr>
        <w:tab/>
      </w:r>
      <w:r>
        <w:rPr>
          <w:u w:val="single"/>
        </w:rPr>
        <w:tab/>
      </w:r>
      <w:r>
        <w:rPr>
          <w:u w:val="single"/>
        </w:rPr>
        <w:tab/>
      </w:r>
    </w:p>
    <w:sectPr w:rsidR="00E9654B" w:rsidRPr="00E9654B" w:rsidSect="002D7BC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45" w:rsidRDefault="00C72345" w:rsidP="00F95C08">
      <w:pPr>
        <w:spacing w:line="240" w:lineRule="auto"/>
      </w:pPr>
    </w:p>
  </w:endnote>
  <w:endnote w:type="continuationSeparator" w:id="0">
    <w:p w:rsidR="00C72345" w:rsidRPr="00AC3823" w:rsidRDefault="00C72345" w:rsidP="00AC3823">
      <w:pPr>
        <w:pStyle w:val="Footer"/>
      </w:pPr>
    </w:p>
  </w:endnote>
  <w:endnote w:type="continuationNotice" w:id="1">
    <w:p w:rsidR="00C72345" w:rsidRDefault="00C723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C1" w:rsidRPr="002D7BC1" w:rsidRDefault="002D7BC1" w:rsidP="002D7BC1">
    <w:pPr>
      <w:pStyle w:val="Footer"/>
      <w:tabs>
        <w:tab w:val="right" w:pos="9638"/>
      </w:tabs>
    </w:pPr>
    <w:r w:rsidRPr="002D7BC1">
      <w:rPr>
        <w:b/>
        <w:sz w:val="18"/>
      </w:rPr>
      <w:fldChar w:fldCharType="begin"/>
    </w:r>
    <w:r w:rsidRPr="002D7BC1">
      <w:rPr>
        <w:b/>
        <w:sz w:val="18"/>
      </w:rPr>
      <w:instrText xml:space="preserve"> PAGE  \* MERGEFORMAT </w:instrText>
    </w:r>
    <w:r w:rsidRPr="002D7BC1">
      <w:rPr>
        <w:b/>
        <w:sz w:val="18"/>
      </w:rPr>
      <w:fldChar w:fldCharType="separate"/>
    </w:r>
    <w:r w:rsidR="00246473">
      <w:rPr>
        <w:b/>
        <w:noProof/>
        <w:sz w:val="18"/>
      </w:rPr>
      <w:t>2</w:t>
    </w:r>
    <w:r w:rsidRPr="002D7BC1">
      <w:rPr>
        <w:b/>
        <w:sz w:val="18"/>
      </w:rPr>
      <w:fldChar w:fldCharType="end"/>
    </w:r>
    <w:r>
      <w:rPr>
        <w:b/>
        <w:sz w:val="18"/>
      </w:rPr>
      <w:tab/>
    </w:r>
    <w:r>
      <w:t>GE.15-07433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C1" w:rsidRPr="002D7BC1" w:rsidRDefault="002D7BC1" w:rsidP="002D7BC1">
    <w:pPr>
      <w:pStyle w:val="Footer"/>
      <w:tabs>
        <w:tab w:val="right" w:pos="9638"/>
      </w:tabs>
      <w:rPr>
        <w:b/>
        <w:sz w:val="18"/>
      </w:rPr>
    </w:pPr>
    <w:r>
      <w:t>GE.15-07433</w:t>
    </w:r>
    <w:r>
      <w:tab/>
    </w:r>
    <w:r w:rsidRPr="002D7BC1">
      <w:rPr>
        <w:b/>
        <w:sz w:val="18"/>
      </w:rPr>
      <w:fldChar w:fldCharType="begin"/>
    </w:r>
    <w:r w:rsidRPr="002D7BC1">
      <w:rPr>
        <w:b/>
        <w:sz w:val="18"/>
      </w:rPr>
      <w:instrText xml:space="preserve"> PAGE  \* MERGEFORMAT </w:instrText>
    </w:r>
    <w:r w:rsidRPr="002D7BC1">
      <w:rPr>
        <w:b/>
        <w:sz w:val="18"/>
      </w:rPr>
      <w:fldChar w:fldCharType="separate"/>
    </w:r>
    <w:r>
      <w:rPr>
        <w:b/>
        <w:noProof/>
        <w:sz w:val="18"/>
      </w:rPr>
      <w:t>3</w:t>
    </w:r>
    <w:r w:rsidRPr="002D7B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D7BC1" w:rsidRDefault="002D7BC1" w:rsidP="002D7BC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94013DB" wp14:editId="5A469D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15-07433  (F)</w:t>
    </w:r>
    <w:r w:rsidR="00120F92">
      <w:rPr>
        <w:sz w:val="20"/>
      </w:rPr>
      <w:t xml:space="preserve">    180515    180515</w:t>
    </w:r>
    <w:r>
      <w:rPr>
        <w:sz w:val="20"/>
      </w:rPr>
      <w:br/>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sidRPr="002D7BC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5/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45" w:rsidRPr="00AC3823" w:rsidRDefault="00C72345" w:rsidP="00AC3823">
      <w:pPr>
        <w:pStyle w:val="Footer"/>
        <w:tabs>
          <w:tab w:val="right" w:pos="2155"/>
        </w:tabs>
        <w:spacing w:after="80" w:line="240" w:lineRule="atLeast"/>
        <w:ind w:left="680"/>
        <w:rPr>
          <w:u w:val="single"/>
        </w:rPr>
      </w:pPr>
      <w:r>
        <w:rPr>
          <w:u w:val="single"/>
        </w:rPr>
        <w:tab/>
      </w:r>
    </w:p>
  </w:footnote>
  <w:footnote w:type="continuationSeparator" w:id="0">
    <w:p w:rsidR="00C72345" w:rsidRPr="00AC3823" w:rsidRDefault="00C72345" w:rsidP="00AC3823">
      <w:pPr>
        <w:pStyle w:val="Footer"/>
        <w:tabs>
          <w:tab w:val="right" w:pos="2155"/>
        </w:tabs>
        <w:spacing w:after="80" w:line="240" w:lineRule="atLeast"/>
        <w:ind w:left="680"/>
        <w:rPr>
          <w:u w:val="single"/>
        </w:rPr>
      </w:pPr>
      <w:r>
        <w:rPr>
          <w:u w:val="single"/>
        </w:rPr>
        <w:tab/>
      </w:r>
    </w:p>
  </w:footnote>
  <w:footnote w:type="continuationNotice" w:id="1">
    <w:p w:rsidR="00C72345" w:rsidRPr="00AC3823" w:rsidRDefault="00C72345">
      <w:pPr>
        <w:spacing w:line="240" w:lineRule="auto"/>
        <w:rPr>
          <w:sz w:val="2"/>
          <w:szCs w:val="2"/>
        </w:rPr>
      </w:pPr>
    </w:p>
  </w:footnote>
  <w:footnote w:id="2">
    <w:p w:rsidR="00D603DB" w:rsidRPr="00D603DB" w:rsidRDefault="00D603DB">
      <w:pPr>
        <w:pStyle w:val="FootnoteText"/>
      </w:pPr>
      <w:r>
        <w:rPr>
          <w:rStyle w:val="FootnoteReference"/>
        </w:rPr>
        <w:tab/>
      </w:r>
      <w:r w:rsidRPr="00D603DB">
        <w:rPr>
          <w:rStyle w:val="FootnoteReference"/>
          <w:sz w:val="20"/>
          <w:vertAlign w:val="baseline"/>
        </w:rPr>
        <w:t>*</w:t>
      </w:r>
      <w:r>
        <w:rPr>
          <w:rStyle w:val="FootnoteReference"/>
          <w:sz w:val="20"/>
          <w:vertAlign w:val="baseline"/>
        </w:rPr>
        <w:tab/>
      </w:r>
      <w:r w:rsidRPr="00EC5F0E">
        <w:t xml:space="preserve">Conformément au programme de travail du Comité des transports </w:t>
      </w:r>
      <w:r w:rsidR="00EC5F0E">
        <w:t>intérieurs pour la période 2012</w:t>
      </w:r>
      <w:r w:rsidR="00EC5F0E">
        <w:noBreakHyphen/>
      </w:r>
      <w:r w:rsidRPr="00EC5F0E">
        <w:t>2016 (ECE/TRANS/224, par. 94, et ECE/TRANS/2012/12, activité 02.4), le Forum mondial a</w:t>
      </w:r>
      <w:r w:rsidR="00EC5F0E">
        <w:t> </w:t>
      </w:r>
      <w:r w:rsidRPr="00EC5F0E">
        <w:t>pour mission d’élaborer, d’harmoniser et de mettre à jour les Règlements en vue d’améliorer les caractéristiques fonctionnelles des véhicules .Le présent document est soumis en vertu de ce mandat.</w:t>
      </w:r>
      <w:r w:rsidRPr="00037B48">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C1" w:rsidRPr="002D7BC1" w:rsidRDefault="002D7BC1">
    <w:pPr>
      <w:pStyle w:val="Header"/>
    </w:pPr>
    <w:r>
      <w:t>ECE/TRANS/WP.29/2015/59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C1" w:rsidRPr="002D7BC1" w:rsidRDefault="002D7BC1" w:rsidP="002D7BC1">
    <w:pPr>
      <w:pStyle w:val="Header"/>
      <w:jc w:val="right"/>
    </w:pPr>
    <w:r>
      <w:t>ECE/TRANS/WP.29/2015/59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45"/>
    <w:rsid w:val="00017F94"/>
    <w:rsid w:val="00023842"/>
    <w:rsid w:val="000334F9"/>
    <w:rsid w:val="0007796D"/>
    <w:rsid w:val="000B7790"/>
    <w:rsid w:val="00111F2F"/>
    <w:rsid w:val="00120F92"/>
    <w:rsid w:val="0014365E"/>
    <w:rsid w:val="00143C66"/>
    <w:rsid w:val="00167475"/>
    <w:rsid w:val="00176178"/>
    <w:rsid w:val="001F525A"/>
    <w:rsid w:val="00223272"/>
    <w:rsid w:val="00246473"/>
    <w:rsid w:val="0024779E"/>
    <w:rsid w:val="00257168"/>
    <w:rsid w:val="002744B8"/>
    <w:rsid w:val="002832AC"/>
    <w:rsid w:val="002D7BC1"/>
    <w:rsid w:val="002D7C93"/>
    <w:rsid w:val="00305801"/>
    <w:rsid w:val="003916DE"/>
    <w:rsid w:val="00441C3B"/>
    <w:rsid w:val="00446FE5"/>
    <w:rsid w:val="00452396"/>
    <w:rsid w:val="004837D8"/>
    <w:rsid w:val="004E1A7C"/>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C40FC"/>
    <w:rsid w:val="00AE323C"/>
    <w:rsid w:val="00AF0CB5"/>
    <w:rsid w:val="00B00181"/>
    <w:rsid w:val="00B00B0D"/>
    <w:rsid w:val="00B765F7"/>
    <w:rsid w:val="00BA0CA9"/>
    <w:rsid w:val="00C02897"/>
    <w:rsid w:val="00C72345"/>
    <w:rsid w:val="00D3439C"/>
    <w:rsid w:val="00D603DB"/>
    <w:rsid w:val="00DB1831"/>
    <w:rsid w:val="00DD3BFD"/>
    <w:rsid w:val="00DE59BE"/>
    <w:rsid w:val="00DF6678"/>
    <w:rsid w:val="00E84F48"/>
    <w:rsid w:val="00E85C74"/>
    <w:rsid w:val="00E9654B"/>
    <w:rsid w:val="00EA6547"/>
    <w:rsid w:val="00EC5F0E"/>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ECE/TRANS/WP.29/2015/59</vt:lpstr>
      <vt:lpstr>ECE/TRANS/WP.29/2015/59</vt:lpstr>
    </vt:vector>
  </TitlesOfParts>
  <Company>DCM</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ECE/TRANS/WP.29/2015/59</dc:title>
  <dc:subject>FINAL</dc:subject>
  <dc:creator>nATH V.</dc:creator>
  <cp:lastModifiedBy>Luciolle</cp:lastModifiedBy>
  <cp:revision>2</cp:revision>
  <cp:lastPrinted>2015-05-18T09:10:00Z</cp:lastPrinted>
  <dcterms:created xsi:type="dcterms:W3CDTF">2015-05-20T09:25:00Z</dcterms:created>
  <dcterms:modified xsi:type="dcterms:W3CDTF">2015-05-20T09:25:00Z</dcterms:modified>
</cp:coreProperties>
</file>