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61BE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61BE0" w:rsidP="00A61BE0">
            <w:pPr>
              <w:jc w:val="right"/>
            </w:pPr>
            <w:r w:rsidRPr="00A61BE0">
              <w:rPr>
                <w:sz w:val="40"/>
              </w:rPr>
              <w:t>ECE</w:t>
            </w:r>
            <w:r>
              <w:t>/TRANS/WP.29/2015/60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61BE0" w:rsidP="00892A2F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A61BE0" w:rsidRDefault="00A61BE0" w:rsidP="00A61BE0">
            <w:pPr>
              <w:spacing w:line="240" w:lineRule="exact"/>
            </w:pPr>
            <w:r>
              <w:t>10 avril 2015</w:t>
            </w:r>
          </w:p>
          <w:p w:rsidR="00A61BE0" w:rsidRDefault="00A61BE0" w:rsidP="00A61BE0">
            <w:pPr>
              <w:spacing w:line="240" w:lineRule="exact"/>
            </w:pPr>
            <w:r>
              <w:t>Français</w:t>
            </w:r>
          </w:p>
          <w:p w:rsidR="00A61BE0" w:rsidRPr="00DB58B5" w:rsidRDefault="00A61BE0" w:rsidP="00A61BE0">
            <w:pPr>
              <w:spacing w:line="240" w:lineRule="exact"/>
            </w:pPr>
            <w:r>
              <w:t>Original: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E0763" w:rsidRDefault="00CE076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E0763" w:rsidRDefault="00A61BE0" w:rsidP="00AF0CB5">
      <w:pPr>
        <w:spacing w:before="120" w:line="240" w:lineRule="exact"/>
        <w:rPr>
          <w:b/>
        </w:rPr>
      </w:pPr>
      <w:r>
        <w:rPr>
          <w:b/>
        </w:rPr>
        <w:t>166</w:t>
      </w:r>
      <w:r w:rsidRPr="00A61BE0">
        <w:rPr>
          <w:b/>
          <w:vertAlign w:val="superscript"/>
        </w:rPr>
        <w:t>e</w:t>
      </w:r>
      <w:r>
        <w:rPr>
          <w:b/>
        </w:rPr>
        <w:t> </w:t>
      </w:r>
      <w:r w:rsidR="00CE0763">
        <w:rPr>
          <w:b/>
        </w:rPr>
        <w:t>session</w:t>
      </w:r>
    </w:p>
    <w:p w:rsidR="00CE0763" w:rsidRDefault="00CE0763" w:rsidP="00AF0CB5">
      <w:pPr>
        <w:spacing w:line="240" w:lineRule="exact"/>
      </w:pPr>
      <w:r>
        <w:t xml:space="preserve">Genève, </w:t>
      </w:r>
      <w:r w:rsidR="00A61BE0" w:rsidRPr="00872052">
        <w:rPr>
          <w:szCs w:val="24"/>
        </w:rPr>
        <w:t>23-26 juin 2015</w:t>
      </w:r>
    </w:p>
    <w:p w:rsidR="00CE0763" w:rsidRDefault="00CE0763" w:rsidP="00AF0CB5">
      <w:pPr>
        <w:spacing w:line="240" w:lineRule="exact"/>
      </w:pPr>
      <w:r>
        <w:t xml:space="preserve">Point </w:t>
      </w:r>
      <w:r w:rsidR="00A61BE0">
        <w:t>4.8.2</w:t>
      </w:r>
      <w:r>
        <w:t xml:space="preserve"> de l’ordre du jour</w:t>
      </w:r>
    </w:p>
    <w:p w:rsidR="00F9573C" w:rsidRDefault="00A61BE0" w:rsidP="00AF0CB5">
      <w:pPr>
        <w:rPr>
          <w:b/>
          <w:szCs w:val="24"/>
        </w:rPr>
      </w:pPr>
      <w:r w:rsidRPr="00872052">
        <w:rPr>
          <w:b/>
          <w:szCs w:val="24"/>
        </w:rPr>
        <w:t>Accord de 1958 - Examen de projets d’amendements</w:t>
      </w:r>
      <w:r>
        <w:rPr>
          <w:b/>
          <w:szCs w:val="24"/>
        </w:rPr>
        <w:br/>
      </w:r>
      <w:r w:rsidRPr="00872052">
        <w:rPr>
          <w:b/>
          <w:szCs w:val="24"/>
        </w:rPr>
        <w:t>à des Règlements</w:t>
      </w:r>
      <w:r>
        <w:rPr>
          <w:b/>
          <w:szCs w:val="24"/>
        </w:rPr>
        <w:t xml:space="preserve"> </w:t>
      </w:r>
      <w:r w:rsidRPr="00872052">
        <w:rPr>
          <w:b/>
          <w:szCs w:val="24"/>
        </w:rPr>
        <w:t>existants, proposés par le GRB</w:t>
      </w:r>
    </w:p>
    <w:p w:rsidR="00A61BE0" w:rsidRPr="00872052" w:rsidRDefault="00A61BE0" w:rsidP="00A61BE0">
      <w:pPr>
        <w:pStyle w:val="HChG"/>
      </w:pPr>
      <w:r w:rsidRPr="00872052">
        <w:tab/>
      </w:r>
      <w:r w:rsidRPr="00872052">
        <w:tab/>
        <w:t xml:space="preserve">Proposition de complément </w:t>
      </w:r>
      <w:r>
        <w:t>4</w:t>
      </w:r>
      <w:r w:rsidRPr="00872052">
        <w:t xml:space="preserve"> à la série </w:t>
      </w:r>
      <w:r w:rsidRPr="0049352C">
        <w:t xml:space="preserve">originale d’amendements au </w:t>
      </w:r>
      <w:r w:rsidRPr="00872052">
        <w:t>Règlement n</w:t>
      </w:r>
      <w:r w:rsidRPr="00A61BE0">
        <w:rPr>
          <w:vertAlign w:val="superscript"/>
        </w:rPr>
        <w:t>o</w:t>
      </w:r>
      <w:r>
        <w:t> 28</w:t>
      </w:r>
      <w:r w:rsidRPr="00872052">
        <w:t xml:space="preserve"> (</w:t>
      </w:r>
      <w:r>
        <w:t>avertisseurs sonores</w:t>
      </w:r>
      <w:r w:rsidRPr="00872052">
        <w:t>)</w:t>
      </w:r>
    </w:p>
    <w:p w:rsidR="00A61BE0" w:rsidRPr="00872052" w:rsidRDefault="00A61BE0" w:rsidP="00A61BE0">
      <w:pPr>
        <w:pStyle w:val="H1G"/>
      </w:pPr>
      <w:r w:rsidRPr="00872052">
        <w:tab/>
      </w:r>
      <w:r w:rsidRPr="00872052">
        <w:tab/>
        <w:t>Communication du Groupe de travail du bruit</w:t>
      </w:r>
      <w:r w:rsidRPr="00A61BE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61BE0" w:rsidRDefault="00A61BE0" w:rsidP="00A61BE0">
      <w:pPr>
        <w:pStyle w:val="SingleTxtG"/>
        <w:ind w:firstLine="567"/>
      </w:pPr>
      <w:r w:rsidRPr="00872052">
        <w:t>Le texte reproduit ci-après</w:t>
      </w:r>
      <w:r>
        <w:t xml:space="preserve">, </w:t>
      </w:r>
      <w:r w:rsidRPr="00872052">
        <w:t>adopté par le Groupe de travail du bruit (GRB) à</w:t>
      </w:r>
      <w:r>
        <w:t> </w:t>
      </w:r>
      <w:r w:rsidRPr="00872052">
        <w:t>sa</w:t>
      </w:r>
      <w:r>
        <w:t> </w:t>
      </w:r>
      <w:r w:rsidRPr="00872052">
        <w:t>soixante et unième session (ECE/TRANS/WP.29/GRB/59, par.</w:t>
      </w:r>
      <w:r>
        <w:t> 4</w:t>
      </w:r>
      <w:r w:rsidRPr="00872052">
        <w:t>)</w:t>
      </w:r>
      <w:r>
        <w:t xml:space="preserve"> </w:t>
      </w:r>
      <w:r w:rsidRPr="00872052">
        <w:t>est fondé sur l</w:t>
      </w:r>
      <w:r>
        <w:t xml:space="preserve">e </w:t>
      </w:r>
      <w:r w:rsidRPr="00872052">
        <w:t>document ECE/TRANS/WP.29/GRB/</w:t>
      </w:r>
      <w:r>
        <w:t>2014/4, tel que modifié par l</w:t>
      </w:r>
      <w:r w:rsidRPr="00E44412">
        <w:t>’</w:t>
      </w:r>
      <w:r>
        <w:t>annexe</w:t>
      </w:r>
      <w:r w:rsidR="00A8474A">
        <w:t> </w:t>
      </w:r>
      <w:r>
        <w:t xml:space="preserve">II du document </w:t>
      </w:r>
      <w:r w:rsidRPr="00E44412">
        <w:t>ECE/TRANS/WP.29/GRB/59</w:t>
      </w:r>
      <w:r>
        <w:t xml:space="preserve">. </w:t>
      </w:r>
      <w:r w:rsidRPr="00872052">
        <w:t>Il est soumis au Forum mondial de l’harmonisation des</w:t>
      </w:r>
      <w:r>
        <w:t> </w:t>
      </w:r>
      <w:r w:rsidRPr="00872052">
        <w:t>Règlements concernant les véhicules (WP.29) et au Comité d’administration (AC.1) pour</w:t>
      </w:r>
      <w:r>
        <w:t> </w:t>
      </w:r>
      <w:r w:rsidRPr="00872052">
        <w:t>examen.</w:t>
      </w:r>
    </w:p>
    <w:p w:rsidR="00A61BE0" w:rsidRPr="0049352C" w:rsidRDefault="00A61BE0" w:rsidP="00A61BE0">
      <w:pPr>
        <w:pStyle w:val="SingleTxtG"/>
      </w:pPr>
      <w:r>
        <w:br w:type="page"/>
      </w:r>
      <w:r w:rsidRPr="0049352C">
        <w:rPr>
          <w:i/>
        </w:rPr>
        <w:lastRenderedPageBreak/>
        <w:t>Paragraphe</w:t>
      </w:r>
      <w:r>
        <w:rPr>
          <w:i/>
        </w:rPr>
        <w:t> </w:t>
      </w:r>
      <w:r w:rsidRPr="0049352C">
        <w:rPr>
          <w:i/>
        </w:rPr>
        <w:t>14.4</w:t>
      </w:r>
      <w:r w:rsidRPr="00A8474A">
        <w:t>,</w:t>
      </w:r>
      <w:r w:rsidRPr="0049352C">
        <w:rPr>
          <w:i/>
        </w:rPr>
        <w:t xml:space="preserve"> </w:t>
      </w:r>
      <w:proofErr w:type="gramStart"/>
      <w:r w:rsidRPr="0049352C">
        <w:t>modifier</w:t>
      </w:r>
      <w:proofErr w:type="gramEnd"/>
      <w:r w:rsidRPr="0049352C">
        <w:t xml:space="preserve"> comme suit:</w:t>
      </w:r>
    </w:p>
    <w:p w:rsidR="00A61BE0" w:rsidRPr="0049352C" w:rsidRDefault="00A61BE0" w:rsidP="00A61BE0">
      <w:pPr>
        <w:pStyle w:val="SingleTxtG"/>
        <w:ind w:left="2268" w:hanging="1134"/>
      </w:pPr>
      <w:r>
        <w:t>«</w:t>
      </w:r>
      <w:r w:rsidRPr="0049352C">
        <w:t>14.4</w:t>
      </w:r>
      <w:r w:rsidRPr="0049352C">
        <w:tab/>
      </w:r>
      <w:r w:rsidRPr="0049352C">
        <w:tab/>
        <w:t>La valeur du niveau de pression acoustique courbe</w:t>
      </w:r>
      <w:r>
        <w:t> </w:t>
      </w:r>
      <w:r w:rsidRPr="0049352C">
        <w:t xml:space="preserve">A émis par le ou les appareils montés sur le véhicule </w:t>
      </w:r>
      <w:r>
        <w:t xml:space="preserve">est </w:t>
      </w:r>
      <w:r w:rsidRPr="0049352C">
        <w:t>mesurée à une distance de 7</w:t>
      </w:r>
      <w:r>
        <w:t> </w:t>
      </w:r>
      <w:r w:rsidRPr="0049352C">
        <w:t xml:space="preserve">m en avant du véhicule, </w:t>
      </w:r>
      <w:r>
        <w:t xml:space="preserve">ce dernier étant </w:t>
      </w:r>
      <w:r w:rsidRPr="0049352C">
        <w:t xml:space="preserve">placé en terrain dégagé, sur un sol aussi lisse que possible et, s’il s’agit d’avertisseurs alimentés en courant continu, </w:t>
      </w:r>
      <w:r>
        <w:t xml:space="preserve">son </w:t>
      </w:r>
      <w:r w:rsidRPr="0049352C">
        <w:t xml:space="preserve">moteur </w:t>
      </w:r>
      <w:r>
        <w:t xml:space="preserve">étant </w:t>
      </w:r>
      <w:r w:rsidRPr="0049352C">
        <w:t>arrêté.</w:t>
      </w:r>
      <w:r>
        <w:t xml:space="preserve"> La </w:t>
      </w:r>
      <w:r w:rsidRPr="00B63299">
        <w:t>tension d’essai spécifiée au paragraphe</w:t>
      </w:r>
      <w:r>
        <w:t> </w:t>
      </w:r>
      <w:r w:rsidRPr="00B63299">
        <w:t>6.2.3</w:t>
      </w:r>
      <w:r>
        <w:t xml:space="preserve"> doit être assurée par</w:t>
      </w:r>
      <w:r w:rsidRPr="0049352C">
        <w:t xml:space="preserve">: </w:t>
      </w:r>
    </w:p>
    <w:p w:rsidR="00A61BE0" w:rsidRPr="0049352C" w:rsidRDefault="00A61BE0" w:rsidP="00A61BE0">
      <w:pPr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 w:rsidRPr="0049352C">
        <w:rPr>
          <w:szCs w:val="24"/>
        </w:rPr>
        <w:t>a)</w:t>
      </w:r>
      <w:r w:rsidRPr="0049352C">
        <w:rPr>
          <w:szCs w:val="24"/>
        </w:rPr>
        <w:tab/>
      </w:r>
      <w:r w:rsidRPr="00561F8B">
        <w:rPr>
          <w:szCs w:val="24"/>
        </w:rPr>
        <w:t>La batterie du véhicule seulement</w:t>
      </w:r>
      <w:r w:rsidRPr="0049352C">
        <w:rPr>
          <w:szCs w:val="24"/>
        </w:rPr>
        <w:t>; o</w:t>
      </w:r>
      <w:r w:rsidRPr="00561F8B">
        <w:rPr>
          <w:szCs w:val="24"/>
        </w:rPr>
        <w:t>u</w:t>
      </w:r>
    </w:p>
    <w:p w:rsidR="00A61BE0" w:rsidRPr="0049352C" w:rsidRDefault="00A61BE0" w:rsidP="00A61BE0">
      <w:pPr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 w:rsidRPr="0049352C">
        <w:rPr>
          <w:szCs w:val="24"/>
        </w:rPr>
        <w:t>b)</w:t>
      </w:r>
      <w:r w:rsidRPr="0049352C">
        <w:rPr>
          <w:szCs w:val="24"/>
        </w:rPr>
        <w:tab/>
      </w:r>
      <w:r w:rsidRPr="00254048">
        <w:rPr>
          <w:szCs w:val="24"/>
        </w:rPr>
        <w:t xml:space="preserve">La batterie du véhicule avec le moteur à chaud et </w:t>
      </w:r>
      <w:r>
        <w:rPr>
          <w:szCs w:val="24"/>
        </w:rPr>
        <w:t xml:space="preserve">tournant </w:t>
      </w:r>
      <w:r w:rsidRPr="00254048">
        <w:rPr>
          <w:szCs w:val="24"/>
        </w:rPr>
        <w:t>au ralenti</w:t>
      </w:r>
      <w:r w:rsidRPr="0049352C">
        <w:rPr>
          <w:szCs w:val="24"/>
        </w:rPr>
        <w:t>; o</w:t>
      </w:r>
      <w:r w:rsidRPr="00254048">
        <w:rPr>
          <w:szCs w:val="24"/>
        </w:rPr>
        <w:t>u</w:t>
      </w:r>
      <w:r w:rsidRPr="0049352C">
        <w:rPr>
          <w:szCs w:val="24"/>
        </w:rPr>
        <w:t xml:space="preserve"> </w:t>
      </w:r>
    </w:p>
    <w:p w:rsidR="00A61BE0" w:rsidRPr="0049352C" w:rsidRDefault="00A61BE0" w:rsidP="00A61BE0">
      <w:pPr>
        <w:kinsoku/>
        <w:overflowPunct/>
        <w:autoSpaceDE/>
        <w:autoSpaceDN/>
        <w:adjustRightInd/>
        <w:snapToGrid/>
        <w:spacing w:after="120"/>
        <w:ind w:left="2835" w:right="1134" w:hanging="567"/>
        <w:jc w:val="both"/>
        <w:rPr>
          <w:szCs w:val="24"/>
        </w:rPr>
      </w:pPr>
      <w:r w:rsidRPr="0049352C">
        <w:rPr>
          <w:szCs w:val="24"/>
        </w:rPr>
        <w:t>c)</w:t>
      </w:r>
      <w:r w:rsidRPr="0049352C">
        <w:rPr>
          <w:szCs w:val="24"/>
        </w:rPr>
        <w:tab/>
      </w:r>
      <w:r w:rsidRPr="00A61BE0">
        <w:rPr>
          <w:spacing w:val="-2"/>
          <w:szCs w:val="24"/>
        </w:rPr>
        <w:t>Une source d’alimentation électrique externe reliée à la</w:t>
      </w:r>
      <w:r>
        <w:rPr>
          <w:szCs w:val="24"/>
        </w:rPr>
        <w:t xml:space="preserve"> ou aux borne(s) du ou des avertisseurs(s) sonore(s).».</w:t>
      </w:r>
    </w:p>
    <w:p w:rsidR="00A61BE0" w:rsidRPr="0049352C" w:rsidRDefault="00A61BE0" w:rsidP="00A61BE0">
      <w:pPr>
        <w:pStyle w:val="SingleTxtG"/>
        <w:rPr>
          <w:b/>
        </w:rPr>
      </w:pPr>
      <w:r w:rsidRPr="0049352C">
        <w:rPr>
          <w:i/>
        </w:rPr>
        <w:t>Paragraph</w:t>
      </w:r>
      <w:r w:rsidRPr="00E6586B">
        <w:rPr>
          <w:i/>
        </w:rPr>
        <w:t>e</w:t>
      </w:r>
      <w:r>
        <w:rPr>
          <w:i/>
        </w:rPr>
        <w:t> </w:t>
      </w:r>
      <w:r w:rsidRPr="0049352C">
        <w:rPr>
          <w:i/>
        </w:rPr>
        <w:t xml:space="preserve">14.8, </w:t>
      </w:r>
      <w:r>
        <w:rPr>
          <w:i/>
        </w:rPr>
        <w:t>alinéa </w:t>
      </w:r>
      <w:r w:rsidRPr="00A61BE0">
        <w:t>b</w:t>
      </w:r>
      <w:r w:rsidRPr="0049352C">
        <w:rPr>
          <w:i/>
        </w:rPr>
        <w:t>)</w:t>
      </w:r>
      <w:r w:rsidRPr="005A0B62">
        <w:t>,</w:t>
      </w:r>
      <w:r w:rsidRPr="0049352C">
        <w:t xml:space="preserve"> re</w:t>
      </w:r>
      <w:r w:rsidRPr="00E6586B">
        <w:t>m</w:t>
      </w:r>
      <w:r w:rsidRPr="0049352C">
        <w:t>place</w:t>
      </w:r>
      <w:r w:rsidRPr="00E6586B">
        <w:t>r</w:t>
      </w:r>
      <w:r>
        <w:t xml:space="preserve"> «</w:t>
      </w:r>
      <w:r w:rsidRPr="0049352C">
        <w:t>93</w:t>
      </w:r>
      <w:r>
        <w:t> </w:t>
      </w:r>
      <w:r w:rsidRPr="0049352C">
        <w:t>dB(A)</w:t>
      </w:r>
      <w:r>
        <w:t>»</w:t>
      </w:r>
      <w:r w:rsidRPr="0049352C">
        <w:t xml:space="preserve"> </w:t>
      </w:r>
      <w:r w:rsidRPr="00E6586B">
        <w:t xml:space="preserve">par </w:t>
      </w:r>
      <w:r>
        <w:t>«</w:t>
      </w:r>
      <w:r w:rsidRPr="0049352C">
        <w:t>87 dB(A)</w:t>
      </w:r>
      <w:r>
        <w:t>»</w:t>
      </w:r>
      <w:r w:rsidRPr="0049352C">
        <w:t>.</w:t>
      </w:r>
    </w:p>
    <w:p w:rsidR="00A61BE0" w:rsidRPr="00A61BE0" w:rsidRDefault="00A61BE0" w:rsidP="00A61BE0">
      <w:pPr>
        <w:pStyle w:val="SingleTxtG"/>
        <w:rPr>
          <w:i/>
        </w:rPr>
      </w:pPr>
      <w:r w:rsidRPr="00A61BE0">
        <w:rPr>
          <w:i/>
        </w:rPr>
        <w:t>Annexe 2,</w:t>
      </w:r>
    </w:p>
    <w:p w:rsidR="00A61BE0" w:rsidRPr="0049352C" w:rsidRDefault="00A61BE0" w:rsidP="00A61BE0">
      <w:pPr>
        <w:pStyle w:val="SingleTxtG"/>
      </w:pPr>
      <w:r w:rsidRPr="0049352C">
        <w:rPr>
          <w:i/>
        </w:rPr>
        <w:t>A</w:t>
      </w:r>
      <w:r>
        <w:rPr>
          <w:i/>
        </w:rPr>
        <w:t>près le point 5</w:t>
      </w:r>
      <w:r w:rsidRPr="00E6586B">
        <w:t>, ajouter un nouveau point</w:t>
      </w:r>
      <w:r>
        <w:t> </w:t>
      </w:r>
      <w:r w:rsidRPr="0049352C">
        <w:t>6</w:t>
      </w:r>
      <w:r w:rsidRPr="00E6586B">
        <w:t xml:space="preserve"> ainsi conçu</w:t>
      </w:r>
      <w:r w:rsidRPr="0049352C">
        <w:t>:</w:t>
      </w:r>
    </w:p>
    <w:p w:rsidR="00A61BE0" w:rsidRPr="0049352C" w:rsidRDefault="00A61BE0" w:rsidP="00A61BE0">
      <w:pPr>
        <w:tabs>
          <w:tab w:val="left" w:leader="dot" w:pos="8505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szCs w:val="24"/>
        </w:rPr>
      </w:pPr>
      <w:r w:rsidRPr="00291E3B">
        <w:rPr>
          <w:szCs w:val="24"/>
        </w:rPr>
        <w:t>«</w:t>
      </w:r>
      <w:r w:rsidR="001524CE" w:rsidRPr="00291E3B">
        <w:rPr>
          <w:szCs w:val="24"/>
        </w:rPr>
        <w:t>6.</w:t>
      </w:r>
      <w:r w:rsidRPr="00291E3B">
        <w:rPr>
          <w:szCs w:val="24"/>
        </w:rPr>
        <w:tab/>
      </w:r>
      <w:r w:rsidRPr="001427C5">
        <w:rPr>
          <w:szCs w:val="24"/>
        </w:rPr>
        <w:t>Alimentation utilisée</w:t>
      </w:r>
      <w:r w:rsidRPr="0049352C">
        <w:rPr>
          <w:szCs w:val="24"/>
        </w:rPr>
        <w:t xml:space="preserve">: </w:t>
      </w:r>
      <w:r w:rsidRPr="001427C5">
        <w:rPr>
          <w:szCs w:val="24"/>
        </w:rPr>
        <w:t>batterie du véhicule seulement</w:t>
      </w:r>
      <w:r w:rsidRPr="0049352C">
        <w:rPr>
          <w:szCs w:val="24"/>
        </w:rPr>
        <w:t>/</w:t>
      </w:r>
      <w:r w:rsidRPr="001427C5">
        <w:rPr>
          <w:szCs w:val="24"/>
        </w:rPr>
        <w:t>batterie du véhicule avec moteur au ralenti</w:t>
      </w:r>
      <w:r w:rsidRPr="0049352C">
        <w:rPr>
          <w:szCs w:val="24"/>
        </w:rPr>
        <w:t>/</w:t>
      </w:r>
      <w:r w:rsidRPr="001427C5">
        <w:rPr>
          <w:szCs w:val="24"/>
        </w:rPr>
        <w:t>source d’alimentation électrique externe</w:t>
      </w:r>
      <w:r w:rsidRPr="0049352C">
        <w:rPr>
          <w:szCs w:val="24"/>
          <w:vertAlign w:val="superscript"/>
        </w:rPr>
        <w:t>2</w:t>
      </w:r>
      <w:r w:rsidRPr="0049352C">
        <w:rPr>
          <w:szCs w:val="24"/>
        </w:rPr>
        <w:t xml:space="preserve"> </w:t>
      </w:r>
      <w:r w:rsidRPr="0049352C">
        <w:rPr>
          <w:szCs w:val="24"/>
        </w:rPr>
        <w:tab/>
      </w:r>
      <w:r w:rsidR="001524CE">
        <w:rPr>
          <w:szCs w:val="24"/>
        </w:rPr>
        <w:t>»</w:t>
      </w:r>
      <w:r>
        <w:rPr>
          <w:szCs w:val="24"/>
        </w:rPr>
        <w:t>.</w:t>
      </w:r>
    </w:p>
    <w:p w:rsidR="00A61BE0" w:rsidRDefault="00A61BE0" w:rsidP="001524CE">
      <w:pPr>
        <w:pStyle w:val="SingleTxtG"/>
      </w:pPr>
      <w:r w:rsidRPr="00E6586B">
        <w:rPr>
          <w:i/>
        </w:rPr>
        <w:t>Les (anciens) points</w:t>
      </w:r>
      <w:r w:rsidR="001524CE">
        <w:rPr>
          <w:i/>
        </w:rPr>
        <w:t> </w:t>
      </w:r>
      <w:r w:rsidRPr="0049352C">
        <w:rPr>
          <w:i/>
        </w:rPr>
        <w:t>6</w:t>
      </w:r>
      <w:r w:rsidRPr="00E6586B">
        <w:rPr>
          <w:i/>
        </w:rPr>
        <w:t xml:space="preserve"> à </w:t>
      </w:r>
      <w:r w:rsidRPr="0049352C">
        <w:rPr>
          <w:i/>
        </w:rPr>
        <w:t>15</w:t>
      </w:r>
      <w:r w:rsidRPr="0049352C">
        <w:t xml:space="preserve"> </w:t>
      </w:r>
      <w:r w:rsidRPr="00E6586B">
        <w:t>deviennent les points</w:t>
      </w:r>
      <w:r w:rsidR="001524CE">
        <w:t> </w:t>
      </w:r>
      <w:r w:rsidRPr="0049352C">
        <w:t>7</w:t>
      </w:r>
      <w:r w:rsidRPr="00E6586B">
        <w:t xml:space="preserve"> à </w:t>
      </w:r>
      <w:r w:rsidR="001524CE">
        <w:t>16.</w:t>
      </w:r>
    </w:p>
    <w:p w:rsidR="001524CE" w:rsidRPr="001524CE" w:rsidRDefault="001524CE" w:rsidP="001524C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24CE" w:rsidRPr="001524CE" w:rsidSect="00A61BE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63" w:rsidRDefault="00CE0763" w:rsidP="00F95C08">
      <w:pPr>
        <w:spacing w:line="240" w:lineRule="auto"/>
      </w:pPr>
    </w:p>
  </w:endnote>
  <w:endnote w:type="continuationSeparator" w:id="0">
    <w:p w:rsidR="00CE0763" w:rsidRPr="00AC3823" w:rsidRDefault="00CE0763" w:rsidP="00AC3823">
      <w:pPr>
        <w:pStyle w:val="Footer"/>
      </w:pPr>
    </w:p>
  </w:endnote>
  <w:endnote w:type="continuationNotice" w:id="1">
    <w:p w:rsidR="00CE0763" w:rsidRDefault="00CE07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E0" w:rsidRPr="00A61BE0" w:rsidRDefault="00A61BE0" w:rsidP="00A61BE0">
    <w:pPr>
      <w:pStyle w:val="Footer"/>
      <w:tabs>
        <w:tab w:val="right" w:pos="9638"/>
      </w:tabs>
    </w:pPr>
    <w:r w:rsidRPr="00A61BE0">
      <w:rPr>
        <w:b/>
        <w:sz w:val="18"/>
      </w:rPr>
      <w:fldChar w:fldCharType="begin"/>
    </w:r>
    <w:r w:rsidRPr="00A61BE0">
      <w:rPr>
        <w:b/>
        <w:sz w:val="18"/>
      </w:rPr>
      <w:instrText xml:space="preserve"> PAGE  \* MERGEFORMAT </w:instrText>
    </w:r>
    <w:r w:rsidRPr="00A61BE0">
      <w:rPr>
        <w:b/>
        <w:sz w:val="18"/>
      </w:rPr>
      <w:fldChar w:fldCharType="separate"/>
    </w:r>
    <w:r w:rsidR="00291E3B">
      <w:rPr>
        <w:b/>
        <w:noProof/>
        <w:sz w:val="18"/>
      </w:rPr>
      <w:t>2</w:t>
    </w:r>
    <w:r w:rsidRPr="00A61BE0">
      <w:rPr>
        <w:b/>
        <w:sz w:val="18"/>
      </w:rPr>
      <w:fldChar w:fldCharType="end"/>
    </w:r>
    <w:r>
      <w:rPr>
        <w:b/>
        <w:sz w:val="18"/>
      </w:rPr>
      <w:tab/>
    </w:r>
    <w:r>
      <w:t>GE.15-07436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E0" w:rsidRPr="00A61BE0" w:rsidRDefault="00A61BE0" w:rsidP="00A61BE0">
    <w:pPr>
      <w:pStyle w:val="Footer"/>
      <w:tabs>
        <w:tab w:val="right" w:pos="9638"/>
      </w:tabs>
      <w:rPr>
        <w:b/>
        <w:sz w:val="18"/>
      </w:rPr>
    </w:pPr>
    <w:r>
      <w:t>GE.15-07436</w:t>
    </w:r>
    <w:r>
      <w:tab/>
    </w:r>
    <w:r w:rsidRPr="00A61BE0">
      <w:rPr>
        <w:b/>
        <w:sz w:val="18"/>
      </w:rPr>
      <w:fldChar w:fldCharType="begin"/>
    </w:r>
    <w:r w:rsidRPr="00A61BE0">
      <w:rPr>
        <w:b/>
        <w:sz w:val="18"/>
      </w:rPr>
      <w:instrText xml:space="preserve"> PAGE  \* MERGEFORMAT </w:instrText>
    </w:r>
    <w:r w:rsidRPr="00A61BE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61B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61BE0" w:rsidRDefault="00A61BE0" w:rsidP="00A61BE0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AB973F5" wp14:editId="67A27FDA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15-07436  (F)    180515    190515</w:t>
    </w:r>
    <w:r>
      <w:rPr>
        <w:sz w:val="20"/>
      </w:rPr>
      <w:br/>
    </w:r>
    <w:r w:rsidRPr="00A61BE0">
      <w:rPr>
        <w:rFonts w:ascii="C39T30Lfz" w:hAnsi="C39T30Lfz"/>
        <w:sz w:val="56"/>
      </w:rPr>
      <w:t></w:t>
    </w:r>
    <w:r w:rsidRPr="00A61BE0">
      <w:rPr>
        <w:rFonts w:ascii="C39T30Lfz" w:hAnsi="C39T30Lfz"/>
        <w:sz w:val="56"/>
      </w:rPr>
      <w:t></w:t>
    </w:r>
    <w:r w:rsidRPr="00A61BE0">
      <w:rPr>
        <w:rFonts w:ascii="C39T30Lfz" w:hAnsi="C39T30Lfz"/>
        <w:sz w:val="56"/>
      </w:rPr>
      <w:t></w:t>
    </w:r>
    <w:r w:rsidRPr="00A61BE0">
      <w:rPr>
        <w:rFonts w:ascii="C39T30Lfz" w:hAnsi="C39T30Lfz"/>
        <w:sz w:val="56"/>
      </w:rPr>
      <w:t></w:t>
    </w:r>
    <w:r w:rsidRPr="00A61BE0">
      <w:rPr>
        <w:rFonts w:ascii="C39T30Lfz" w:hAnsi="C39T30Lfz"/>
        <w:sz w:val="56"/>
      </w:rPr>
      <w:t></w:t>
    </w:r>
    <w:r w:rsidRPr="00A61BE0">
      <w:rPr>
        <w:rFonts w:ascii="C39T30Lfz" w:hAnsi="C39T30Lfz"/>
        <w:sz w:val="56"/>
      </w:rPr>
      <w:t></w:t>
    </w:r>
    <w:r w:rsidRPr="00A61BE0">
      <w:rPr>
        <w:rFonts w:ascii="C39T30Lfz" w:hAnsi="C39T30Lfz"/>
        <w:sz w:val="56"/>
      </w:rPr>
      <w:t></w:t>
    </w:r>
    <w:r w:rsidRPr="00A61BE0">
      <w:rPr>
        <w:rFonts w:ascii="C39T30Lfz" w:hAnsi="C39T30Lfz"/>
        <w:sz w:val="56"/>
      </w:rPr>
      <w:t></w:t>
    </w:r>
    <w:r w:rsidRPr="00A61BE0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5/6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5/6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63" w:rsidRPr="00AC3823" w:rsidRDefault="00CE076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0763" w:rsidRPr="00AC3823" w:rsidRDefault="00CE076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E0763" w:rsidRPr="00AC3823" w:rsidRDefault="00CE0763">
      <w:pPr>
        <w:spacing w:line="240" w:lineRule="auto"/>
        <w:rPr>
          <w:sz w:val="2"/>
          <w:szCs w:val="2"/>
        </w:rPr>
      </w:pPr>
    </w:p>
  </w:footnote>
  <w:footnote w:id="2">
    <w:p w:rsidR="00A61BE0" w:rsidRPr="00A8474A" w:rsidRDefault="00A61BE0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A61BE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8474A">
        <w:rPr>
          <w:szCs w:val="18"/>
        </w:rPr>
        <w:t>Conforméme</w:t>
      </w:r>
      <w:r w:rsidRPr="00A8474A">
        <w:rPr>
          <w:spacing w:val="-2"/>
          <w:szCs w:val="18"/>
        </w:rPr>
        <w:t>nt au programme de travail du Comité des transports intérieu</w:t>
      </w:r>
      <w:r w:rsidRPr="00A8474A">
        <w:rPr>
          <w:szCs w:val="18"/>
        </w:rPr>
        <w:t>rs pour la période 2012-2016 (ECE/TRANS/224, par.</w:t>
      </w:r>
      <w:r w:rsidR="00A8474A">
        <w:rPr>
          <w:szCs w:val="18"/>
        </w:rPr>
        <w:t> </w:t>
      </w:r>
      <w:r w:rsidRPr="00A8474A">
        <w:rPr>
          <w:szCs w:val="18"/>
        </w:rPr>
        <w:t>94, et ECE/TRANS/2012/12, activité 02.4), le Forum mondial a pour mission d’élaborer, d’harmoniser et de mettre à jour les Règlements en vue d’améliorer les caractéristiques fonctionnelles des véhicules.</w:t>
      </w:r>
      <w:r w:rsidR="00A8474A">
        <w:rPr>
          <w:szCs w:val="18"/>
        </w:rPr>
        <w:t xml:space="preserve"> </w:t>
      </w:r>
      <w:r w:rsidRPr="00A8474A">
        <w:rPr>
          <w:szCs w:val="18"/>
        </w:rPr>
        <w:t>Le présent document es</w:t>
      </w:r>
      <w:r w:rsidR="00A8474A">
        <w:rPr>
          <w:szCs w:val="18"/>
        </w:rPr>
        <w:t>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E0" w:rsidRPr="00A61BE0" w:rsidRDefault="00A61BE0">
    <w:pPr>
      <w:pStyle w:val="Header"/>
    </w:pPr>
    <w:r>
      <w:t>ECE/TRANS/WP.29/2015/60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E0" w:rsidRPr="00A61BE0" w:rsidRDefault="00A61BE0" w:rsidP="00A61BE0">
    <w:pPr>
      <w:pStyle w:val="Header"/>
      <w:jc w:val="right"/>
    </w:pPr>
    <w:r>
      <w:t>ECE/TRANS/WP.29/2015/60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63"/>
    <w:rsid w:val="00017F94"/>
    <w:rsid w:val="00023842"/>
    <w:rsid w:val="000334F9"/>
    <w:rsid w:val="0007796D"/>
    <w:rsid w:val="000B7790"/>
    <w:rsid w:val="00111F2F"/>
    <w:rsid w:val="0014365E"/>
    <w:rsid w:val="00143C66"/>
    <w:rsid w:val="001524CE"/>
    <w:rsid w:val="00176178"/>
    <w:rsid w:val="001F525A"/>
    <w:rsid w:val="00223272"/>
    <w:rsid w:val="0024779E"/>
    <w:rsid w:val="00257168"/>
    <w:rsid w:val="002744B8"/>
    <w:rsid w:val="002832AC"/>
    <w:rsid w:val="00291E3B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A0B62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61BE0"/>
    <w:rsid w:val="00A8474A"/>
    <w:rsid w:val="00AC3823"/>
    <w:rsid w:val="00AE323C"/>
    <w:rsid w:val="00AF0CB5"/>
    <w:rsid w:val="00B00181"/>
    <w:rsid w:val="00B00B0D"/>
    <w:rsid w:val="00B765F7"/>
    <w:rsid w:val="00BA0CA9"/>
    <w:rsid w:val="00C02897"/>
    <w:rsid w:val="00CE0763"/>
    <w:rsid w:val="00D3439C"/>
    <w:rsid w:val="00DB1831"/>
    <w:rsid w:val="00DD3BFD"/>
    <w:rsid w:val="00DF6678"/>
    <w:rsid w:val="00E85C74"/>
    <w:rsid w:val="00EA6547"/>
    <w:rsid w:val="00ED6DBC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ECE/TRANS/WP.29/2015/60</vt:lpstr>
      <vt:lpstr>ECE/TRANS/WP.29/2015/60</vt:lpstr>
    </vt:vector>
  </TitlesOfParts>
  <Company>DCM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ECE/TRANS/WP.29/2015/60</dc:title>
  <dc:subject>Final</dc:subject>
  <dc:creator>Crelier</dc:creator>
  <cp:lastModifiedBy>Luciolle</cp:lastModifiedBy>
  <cp:revision>2</cp:revision>
  <cp:lastPrinted>2015-05-19T07:53:00Z</cp:lastPrinted>
  <dcterms:created xsi:type="dcterms:W3CDTF">2015-05-20T09:34:00Z</dcterms:created>
  <dcterms:modified xsi:type="dcterms:W3CDTF">2015-05-20T09:34:00Z</dcterms:modified>
</cp:coreProperties>
</file>