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174907">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74907" w:rsidP="00174907">
            <w:pPr>
              <w:jc w:val="right"/>
            </w:pPr>
            <w:r w:rsidRPr="00174907">
              <w:rPr>
                <w:sz w:val="40"/>
              </w:rPr>
              <w:t>ECE</w:t>
            </w:r>
            <w:r>
              <w:t>/TRANS/WP.29/2015/61</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74907" w:rsidP="00892A2F">
            <w:pPr>
              <w:spacing w:before="240"/>
            </w:pPr>
            <w:r>
              <w:t>Distr. générale</w:t>
            </w:r>
          </w:p>
          <w:p w:rsidR="00174907" w:rsidRDefault="00174907" w:rsidP="00174907">
            <w:pPr>
              <w:spacing w:line="240" w:lineRule="exact"/>
            </w:pPr>
            <w:r>
              <w:t>10 avril 2015</w:t>
            </w:r>
          </w:p>
          <w:p w:rsidR="00174907" w:rsidRDefault="00174907" w:rsidP="00174907">
            <w:pPr>
              <w:spacing w:line="240" w:lineRule="exact"/>
            </w:pPr>
            <w:r>
              <w:t>Français</w:t>
            </w:r>
          </w:p>
          <w:p w:rsidR="00174907" w:rsidRPr="00DB58B5" w:rsidRDefault="00174907" w:rsidP="00174907">
            <w:pPr>
              <w:spacing w:line="240" w:lineRule="exact"/>
            </w:pPr>
            <w:r>
              <w:t>Original: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7137A5" w:rsidRPr="004E0351" w:rsidRDefault="007137A5" w:rsidP="007137A5">
      <w:pPr>
        <w:kinsoku/>
        <w:overflowPunct/>
        <w:autoSpaceDE/>
        <w:autoSpaceDN/>
        <w:adjustRightInd/>
        <w:snapToGrid/>
        <w:spacing w:before="120"/>
        <w:rPr>
          <w:b/>
          <w:sz w:val="24"/>
          <w:szCs w:val="24"/>
        </w:rPr>
      </w:pPr>
      <w:r w:rsidRPr="004E0351">
        <w:rPr>
          <w:b/>
          <w:sz w:val="24"/>
          <w:szCs w:val="24"/>
        </w:rPr>
        <w:t>Forum mondial de l’harmonisation des Règlements</w:t>
      </w:r>
      <w:r w:rsidRPr="004E0351">
        <w:rPr>
          <w:b/>
          <w:sz w:val="24"/>
          <w:szCs w:val="24"/>
        </w:rPr>
        <w:br/>
        <w:t>concernant les véhicules</w:t>
      </w:r>
    </w:p>
    <w:p w:rsidR="007137A5" w:rsidRPr="00C70577" w:rsidRDefault="007137A5" w:rsidP="007137A5">
      <w:pPr>
        <w:tabs>
          <w:tab w:val="center" w:pos="4819"/>
        </w:tabs>
        <w:kinsoku/>
        <w:overflowPunct/>
        <w:autoSpaceDE/>
        <w:autoSpaceDN/>
        <w:adjustRightInd/>
        <w:snapToGrid/>
        <w:spacing w:before="120"/>
        <w:rPr>
          <w:b/>
          <w:szCs w:val="24"/>
        </w:rPr>
      </w:pPr>
      <w:r w:rsidRPr="00C70577">
        <w:rPr>
          <w:b/>
          <w:szCs w:val="24"/>
        </w:rPr>
        <w:t>166</w:t>
      </w:r>
      <w:r w:rsidRPr="00C70577">
        <w:rPr>
          <w:b/>
          <w:szCs w:val="24"/>
          <w:vertAlign w:val="superscript"/>
        </w:rPr>
        <w:t>e</w:t>
      </w:r>
      <w:r>
        <w:rPr>
          <w:b/>
          <w:szCs w:val="24"/>
        </w:rPr>
        <w:t> </w:t>
      </w:r>
      <w:r w:rsidRPr="00C70577">
        <w:rPr>
          <w:b/>
          <w:szCs w:val="24"/>
        </w:rPr>
        <w:t>session</w:t>
      </w:r>
    </w:p>
    <w:p w:rsidR="007137A5" w:rsidRPr="004D12A9" w:rsidRDefault="007137A5" w:rsidP="007137A5">
      <w:pPr>
        <w:kinsoku/>
        <w:overflowPunct/>
        <w:autoSpaceDE/>
        <w:autoSpaceDN/>
        <w:adjustRightInd/>
        <w:snapToGrid/>
        <w:rPr>
          <w:szCs w:val="24"/>
        </w:rPr>
      </w:pPr>
      <w:r w:rsidRPr="004D12A9">
        <w:rPr>
          <w:szCs w:val="24"/>
        </w:rPr>
        <w:t>Gen</w:t>
      </w:r>
      <w:r w:rsidRPr="0048541E">
        <w:rPr>
          <w:szCs w:val="24"/>
        </w:rPr>
        <w:t>ève</w:t>
      </w:r>
      <w:r>
        <w:rPr>
          <w:szCs w:val="24"/>
        </w:rPr>
        <w:t>, 23-26 </w:t>
      </w:r>
      <w:r w:rsidRPr="0048541E">
        <w:rPr>
          <w:szCs w:val="24"/>
        </w:rPr>
        <w:t xml:space="preserve">juin </w:t>
      </w:r>
      <w:r w:rsidRPr="004D12A9">
        <w:rPr>
          <w:szCs w:val="24"/>
        </w:rPr>
        <w:t>2015</w:t>
      </w:r>
    </w:p>
    <w:p w:rsidR="007137A5" w:rsidRPr="004D12A9" w:rsidRDefault="00B237B5" w:rsidP="007137A5">
      <w:pPr>
        <w:kinsoku/>
        <w:overflowPunct/>
        <w:autoSpaceDE/>
        <w:autoSpaceDN/>
        <w:adjustRightInd/>
        <w:snapToGrid/>
        <w:rPr>
          <w:szCs w:val="24"/>
        </w:rPr>
      </w:pPr>
      <w:r>
        <w:rPr>
          <w:szCs w:val="24"/>
        </w:rPr>
        <w:t>Point </w:t>
      </w:r>
      <w:r w:rsidR="007137A5" w:rsidRPr="004D12A9">
        <w:rPr>
          <w:szCs w:val="24"/>
        </w:rPr>
        <w:t>4.</w:t>
      </w:r>
      <w:r w:rsidR="007137A5">
        <w:rPr>
          <w:szCs w:val="24"/>
        </w:rPr>
        <w:t>8</w:t>
      </w:r>
      <w:r w:rsidR="007137A5" w:rsidRPr="004D12A9">
        <w:rPr>
          <w:szCs w:val="24"/>
        </w:rPr>
        <w:t xml:space="preserve">.3 </w:t>
      </w:r>
      <w:r w:rsidR="007137A5" w:rsidRPr="0048541E">
        <w:rPr>
          <w:szCs w:val="24"/>
        </w:rPr>
        <w:t>de l’ordre du jour provisoire</w:t>
      </w:r>
    </w:p>
    <w:p w:rsidR="007137A5" w:rsidRDefault="00B237B5" w:rsidP="007137A5">
      <w:pPr>
        <w:kinsoku/>
        <w:overflowPunct/>
        <w:autoSpaceDE/>
        <w:autoSpaceDN/>
        <w:adjustRightInd/>
        <w:snapToGrid/>
        <w:rPr>
          <w:b/>
          <w:szCs w:val="24"/>
        </w:rPr>
      </w:pPr>
      <w:r>
        <w:rPr>
          <w:b/>
          <w:szCs w:val="24"/>
        </w:rPr>
        <w:t>Accord de </w:t>
      </w:r>
      <w:r w:rsidR="007137A5" w:rsidRPr="005A261F">
        <w:rPr>
          <w:b/>
          <w:szCs w:val="24"/>
        </w:rPr>
        <w:t>1958: examen de projets d’amendements</w:t>
      </w:r>
    </w:p>
    <w:p w:rsidR="007137A5" w:rsidRPr="004D12A9" w:rsidRDefault="007137A5" w:rsidP="007137A5">
      <w:pPr>
        <w:kinsoku/>
        <w:overflowPunct/>
        <w:autoSpaceDE/>
        <w:autoSpaceDN/>
        <w:adjustRightInd/>
        <w:snapToGrid/>
        <w:rPr>
          <w:b/>
          <w:szCs w:val="24"/>
        </w:rPr>
      </w:pPr>
      <w:r w:rsidRPr="005A261F">
        <w:rPr>
          <w:b/>
          <w:szCs w:val="24"/>
        </w:rPr>
        <w:t>à des Règlements</w:t>
      </w:r>
      <w:r>
        <w:rPr>
          <w:b/>
          <w:szCs w:val="24"/>
        </w:rPr>
        <w:t xml:space="preserve"> </w:t>
      </w:r>
      <w:r w:rsidRPr="005A261F">
        <w:rPr>
          <w:b/>
          <w:szCs w:val="24"/>
        </w:rPr>
        <w:t>existants,</w:t>
      </w:r>
      <w:r>
        <w:rPr>
          <w:b/>
          <w:szCs w:val="24"/>
        </w:rPr>
        <w:t xml:space="preserve"> </w:t>
      </w:r>
      <w:r w:rsidRPr="005A261F">
        <w:rPr>
          <w:b/>
          <w:szCs w:val="24"/>
        </w:rPr>
        <w:t>proposés par le GR</w:t>
      </w:r>
      <w:r>
        <w:rPr>
          <w:b/>
          <w:szCs w:val="24"/>
        </w:rPr>
        <w:t>B</w:t>
      </w:r>
      <w:r w:rsidRPr="005A261F">
        <w:rPr>
          <w:b/>
          <w:szCs w:val="24"/>
        </w:rPr>
        <w:t xml:space="preserve"> </w:t>
      </w:r>
    </w:p>
    <w:p w:rsidR="007137A5" w:rsidRPr="004D12A9" w:rsidRDefault="007137A5" w:rsidP="007137A5">
      <w:pPr>
        <w:pStyle w:val="HChG"/>
      </w:pPr>
      <w:r w:rsidRPr="004D12A9">
        <w:tab/>
      </w:r>
      <w:r w:rsidRPr="004D12A9">
        <w:tab/>
        <w:t>Propos</w:t>
      </w:r>
      <w:r>
        <w:t>ition de complément 3</w:t>
      </w:r>
      <w:r w:rsidRPr="004D12A9">
        <w:t xml:space="preserve"> </w:t>
      </w:r>
      <w:r>
        <w:t>à la série </w:t>
      </w:r>
      <w:r w:rsidRPr="004D12A9">
        <w:t>0</w:t>
      </w:r>
      <w:r>
        <w:t xml:space="preserve">4 </w:t>
      </w:r>
      <w:r w:rsidRPr="005A261F">
        <w:t>d’</w:t>
      </w:r>
      <w:r w:rsidRPr="004D12A9">
        <w:t>amend</w:t>
      </w:r>
      <w:r w:rsidRPr="005A261F">
        <w:t>e</w:t>
      </w:r>
      <w:r w:rsidRPr="004D12A9">
        <w:t>ments</w:t>
      </w:r>
      <w:r>
        <w:t xml:space="preserve"> au </w:t>
      </w:r>
      <w:r w:rsidRPr="004D12A9">
        <w:t>R</w:t>
      </w:r>
      <w:r>
        <w:t>èglement </w:t>
      </w:r>
      <w:r>
        <w:rPr>
          <w:rFonts w:eastAsia="MS Mincho"/>
        </w:rPr>
        <w:t>n</w:t>
      </w:r>
      <w:r>
        <w:rPr>
          <w:rFonts w:eastAsia="MS Mincho"/>
          <w:vertAlign w:val="superscript"/>
        </w:rPr>
        <w:t>o</w:t>
      </w:r>
      <w:r>
        <w:t> 41</w:t>
      </w:r>
      <w:r w:rsidRPr="004D12A9">
        <w:t xml:space="preserve"> (</w:t>
      </w:r>
      <w:r w:rsidRPr="00A74C29">
        <w:t>Bruit émis par les motocycles</w:t>
      </w:r>
      <w:r w:rsidRPr="004D12A9">
        <w:t>)</w:t>
      </w:r>
    </w:p>
    <w:p w:rsidR="007137A5" w:rsidRPr="00E56D45" w:rsidRDefault="007137A5" w:rsidP="007137A5">
      <w:pPr>
        <w:pStyle w:val="H1G"/>
      </w:pPr>
      <w:r w:rsidRPr="004D12A9">
        <w:tab/>
      </w:r>
      <w:r w:rsidRPr="004D12A9">
        <w:tab/>
      </w:r>
      <w:r w:rsidRPr="00A74C29">
        <w:t>Communication du Groupe de travail du bruit</w:t>
      </w:r>
      <w:r w:rsidRPr="00085841">
        <w:rPr>
          <w:b w:val="0"/>
          <w:sz w:val="20"/>
        </w:rPr>
        <w:footnoteReference w:customMarkFollows="1" w:id="2"/>
        <w:t>*</w:t>
      </w:r>
    </w:p>
    <w:p w:rsidR="007137A5" w:rsidRPr="00E56D45" w:rsidRDefault="007137A5" w:rsidP="007137A5">
      <w:pPr>
        <w:pStyle w:val="SingleTxtG"/>
        <w:ind w:firstLine="567"/>
      </w:pPr>
      <w:r>
        <w:t>Le texte ci-après, adopté par le Groupe de travail du bruit (GRB) à sa soixantième et</w:t>
      </w:r>
      <w:r w:rsidR="00B237B5">
        <w:t> </w:t>
      </w:r>
      <w:r>
        <w:t>unième session (ECE/TRANS/WP.29/GRB/59, par. </w:t>
      </w:r>
      <w:r w:rsidRPr="00E56D45">
        <w:rPr>
          <w:szCs w:val="24"/>
        </w:rPr>
        <w:t xml:space="preserve">6 </w:t>
      </w:r>
      <w:r>
        <w:rPr>
          <w:szCs w:val="24"/>
        </w:rPr>
        <w:t>et </w:t>
      </w:r>
      <w:r w:rsidRPr="00E56D45">
        <w:rPr>
          <w:szCs w:val="24"/>
        </w:rPr>
        <w:t>17)</w:t>
      </w:r>
      <w:r>
        <w:rPr>
          <w:szCs w:val="24"/>
        </w:rPr>
        <w:t>,</w:t>
      </w:r>
      <w:r w:rsidRPr="00E56D45">
        <w:rPr>
          <w:szCs w:val="24"/>
        </w:rPr>
        <w:t xml:space="preserve"> </w:t>
      </w:r>
      <w:r>
        <w:t xml:space="preserve">est fondé sur le document </w:t>
      </w:r>
      <w:r w:rsidRPr="00E56D45">
        <w:rPr>
          <w:szCs w:val="24"/>
        </w:rPr>
        <w:t xml:space="preserve">ECE/TRANS/WP.29/GRB/2015/2 </w:t>
      </w:r>
      <w:r w:rsidR="00180366">
        <w:rPr>
          <w:szCs w:val="24"/>
        </w:rPr>
        <w:t>et </w:t>
      </w:r>
      <w:r w:rsidRPr="00E56D45">
        <w:rPr>
          <w:szCs w:val="24"/>
        </w:rPr>
        <w:t xml:space="preserve">Corr.1 </w:t>
      </w:r>
      <w:r>
        <w:rPr>
          <w:szCs w:val="24"/>
        </w:rPr>
        <w:t>et sur l</w:t>
      </w:r>
      <w:r w:rsidRPr="00C84053">
        <w:rPr>
          <w:szCs w:val="24"/>
        </w:rPr>
        <w:t>’</w:t>
      </w:r>
      <w:r>
        <w:rPr>
          <w:szCs w:val="24"/>
        </w:rPr>
        <w:t>a</w:t>
      </w:r>
      <w:r w:rsidRPr="00E56D45">
        <w:rPr>
          <w:szCs w:val="24"/>
        </w:rPr>
        <w:t>nnex</w:t>
      </w:r>
      <w:r>
        <w:rPr>
          <w:szCs w:val="24"/>
        </w:rPr>
        <w:t>e</w:t>
      </w:r>
      <w:r w:rsidR="00180366">
        <w:rPr>
          <w:szCs w:val="24"/>
        </w:rPr>
        <w:t> </w:t>
      </w:r>
      <w:r w:rsidRPr="00E56D45">
        <w:rPr>
          <w:szCs w:val="24"/>
        </w:rPr>
        <w:t xml:space="preserve">VIII </w:t>
      </w:r>
      <w:r>
        <w:rPr>
          <w:szCs w:val="24"/>
        </w:rPr>
        <w:t xml:space="preserve">du document </w:t>
      </w:r>
      <w:r w:rsidRPr="00E56D45">
        <w:rPr>
          <w:szCs w:val="24"/>
        </w:rPr>
        <w:t xml:space="preserve">ECE/TRANS/WP.29/GRB/59. </w:t>
      </w:r>
      <w:r>
        <w:t>Il est soumis au Forum mondial de l’harmonisation des Règlements concernant les véhicules (WP.29) et au Comité d’administration (AC.1) pour examen.</w:t>
      </w:r>
    </w:p>
    <w:p w:rsidR="007137A5" w:rsidRPr="007137A5" w:rsidRDefault="007137A5" w:rsidP="00A30E21">
      <w:pPr>
        <w:keepNext/>
        <w:suppressAutoHyphens w:val="0"/>
        <w:kinsoku/>
        <w:overflowPunct/>
        <w:autoSpaceDE/>
        <w:autoSpaceDN/>
        <w:adjustRightInd/>
        <w:spacing w:after="120"/>
        <w:ind w:left="1134" w:right="1134"/>
        <w:rPr>
          <w:rFonts w:eastAsia="MS PGothic"/>
          <w:kern w:val="2"/>
          <w:szCs w:val="24"/>
          <w:lang w:eastAsia="ja-JP"/>
        </w:rPr>
      </w:pPr>
      <w:r w:rsidRPr="00E56D45">
        <w:br w:type="page"/>
      </w:r>
      <w:r w:rsidRPr="007137A5">
        <w:rPr>
          <w:rFonts w:eastAsia="MS PGothic"/>
          <w:i/>
          <w:iCs/>
          <w:kern w:val="2"/>
          <w:szCs w:val="24"/>
          <w:lang w:eastAsia="ja-JP"/>
        </w:rPr>
        <w:lastRenderedPageBreak/>
        <w:t>Paragraphe 2.13</w:t>
      </w:r>
      <w:r w:rsidRPr="007137A5">
        <w:rPr>
          <w:rFonts w:eastAsia="MS PGothic"/>
        </w:rPr>
        <w:t xml:space="preserve">, </w:t>
      </w:r>
      <w:r w:rsidRPr="007137A5">
        <w:rPr>
          <w:rFonts w:eastAsia="MS PGothic"/>
          <w:iCs/>
          <w:kern w:val="2"/>
          <w:szCs w:val="24"/>
          <w:lang w:eastAsia="ja-JP"/>
        </w:rPr>
        <w:t>modifier comme suit</w:t>
      </w:r>
      <w:r w:rsidRPr="007137A5">
        <w:rPr>
          <w:rFonts w:eastAsia="MS PGothic"/>
          <w:kern w:val="2"/>
          <w:szCs w:val="24"/>
          <w:lang w:eastAsia="ja-JP"/>
        </w:rPr>
        <w:t>:</w:t>
      </w:r>
    </w:p>
    <w:p w:rsidR="007137A5" w:rsidRPr="007137A5" w:rsidRDefault="007137A5" w:rsidP="00A30E21">
      <w:pPr>
        <w:pStyle w:val="SingleTxtG"/>
        <w:ind w:left="2268" w:hanging="1134"/>
        <w:rPr>
          <w:rFonts w:eastAsia="MS PGothic"/>
          <w:kern w:val="2"/>
          <w:szCs w:val="24"/>
          <w:lang w:eastAsia="ja-JP"/>
        </w:rPr>
      </w:pPr>
      <w:r>
        <w:rPr>
          <w:rFonts w:eastAsia="MS PGothic"/>
          <w:kern w:val="2"/>
          <w:szCs w:val="24"/>
          <w:lang w:eastAsia="ja-JP"/>
        </w:rPr>
        <w:t>«</w:t>
      </w:r>
      <w:r w:rsidRPr="007137A5">
        <w:rPr>
          <w:rFonts w:eastAsia="MS PGothic"/>
          <w:kern w:val="2"/>
          <w:szCs w:val="24"/>
          <w:lang w:eastAsia="ja-JP"/>
        </w:rPr>
        <w:t>2.13</w:t>
      </w:r>
      <w:r w:rsidRPr="007137A5">
        <w:rPr>
          <w:rFonts w:eastAsia="MS PGothic"/>
          <w:kern w:val="2"/>
          <w:szCs w:val="24"/>
          <w:lang w:eastAsia="ja-JP"/>
        </w:rPr>
        <w:tab/>
      </w:r>
      <w:r w:rsidRPr="007137A5">
        <w:rPr>
          <w:rFonts w:eastAsia="MS PGothic"/>
          <w:kern w:val="2"/>
          <w:szCs w:val="24"/>
          <w:lang w:eastAsia="ja-JP"/>
        </w:rPr>
        <w:tab/>
        <w:t>…</w:t>
      </w:r>
    </w:p>
    <w:tbl>
      <w:tblPr>
        <w:tblW w:w="7370" w:type="dxa"/>
        <w:tblInd w:w="1134" w:type="dxa"/>
        <w:tblLayout w:type="fixed"/>
        <w:tblCellMar>
          <w:left w:w="0" w:type="dxa"/>
          <w:right w:w="0" w:type="dxa"/>
        </w:tblCellMar>
        <w:tblLook w:val="01E0" w:firstRow="1" w:lastRow="1" w:firstColumn="1" w:lastColumn="1" w:noHBand="0" w:noVBand="0"/>
      </w:tblPr>
      <w:tblGrid>
        <w:gridCol w:w="1222"/>
        <w:gridCol w:w="945"/>
        <w:gridCol w:w="2936"/>
        <w:gridCol w:w="2267"/>
      </w:tblGrid>
      <w:tr w:rsidR="00EE1CEF" w:rsidRPr="00EE1CEF" w:rsidTr="00EE1CEF">
        <w:trPr>
          <w:tblHeader/>
        </w:trPr>
        <w:tc>
          <w:tcPr>
            <w:tcW w:w="1222" w:type="dxa"/>
            <w:tcBorders>
              <w:top w:val="single" w:sz="4" w:space="0" w:color="auto"/>
              <w:bottom w:val="single" w:sz="12" w:space="0" w:color="auto"/>
            </w:tcBorders>
            <w:shd w:val="clear" w:color="auto" w:fill="auto"/>
            <w:tcMar>
              <w:top w:w="0" w:type="dxa"/>
              <w:left w:w="0" w:type="dxa"/>
              <w:bottom w:w="0" w:type="dxa"/>
              <w:right w:w="108" w:type="dxa"/>
            </w:tcMar>
            <w:vAlign w:val="bottom"/>
            <w:hideMark/>
          </w:tcPr>
          <w:p w:rsidR="007137A5" w:rsidRPr="00EE1CEF" w:rsidRDefault="007137A5" w:rsidP="00EE1CEF">
            <w:pPr>
              <w:spacing w:before="80" w:after="80" w:line="200" w:lineRule="exact"/>
              <w:ind w:right="113"/>
              <w:rPr>
                <w:i/>
                <w:sz w:val="16"/>
              </w:rPr>
            </w:pPr>
            <w:r w:rsidRPr="00EE1CEF">
              <w:rPr>
                <w:i/>
                <w:sz w:val="16"/>
              </w:rPr>
              <w:t>Symbole</w:t>
            </w:r>
          </w:p>
        </w:tc>
        <w:tc>
          <w:tcPr>
            <w:tcW w:w="945" w:type="dxa"/>
            <w:tcBorders>
              <w:top w:val="single" w:sz="4" w:space="0" w:color="auto"/>
              <w:bottom w:val="single" w:sz="12" w:space="0" w:color="auto"/>
            </w:tcBorders>
            <w:shd w:val="clear" w:color="auto" w:fill="auto"/>
            <w:tcMar>
              <w:top w:w="0" w:type="dxa"/>
              <w:left w:w="0" w:type="dxa"/>
              <w:bottom w:w="0" w:type="dxa"/>
              <w:right w:w="108" w:type="dxa"/>
            </w:tcMar>
            <w:vAlign w:val="bottom"/>
            <w:hideMark/>
          </w:tcPr>
          <w:p w:rsidR="007137A5" w:rsidRPr="00EE1CEF" w:rsidRDefault="007137A5" w:rsidP="00EE1CEF">
            <w:pPr>
              <w:spacing w:before="80" w:after="80" w:line="200" w:lineRule="exact"/>
              <w:ind w:right="113"/>
              <w:rPr>
                <w:i/>
                <w:sz w:val="16"/>
              </w:rPr>
            </w:pPr>
            <w:r w:rsidRPr="00EE1CEF">
              <w:rPr>
                <w:i/>
                <w:sz w:val="16"/>
              </w:rPr>
              <w:t>Unités</w:t>
            </w:r>
          </w:p>
        </w:tc>
        <w:tc>
          <w:tcPr>
            <w:tcW w:w="2936" w:type="dxa"/>
            <w:tcBorders>
              <w:top w:val="single" w:sz="4" w:space="0" w:color="auto"/>
              <w:bottom w:val="single" w:sz="12" w:space="0" w:color="auto"/>
            </w:tcBorders>
            <w:shd w:val="clear" w:color="auto" w:fill="auto"/>
            <w:tcMar>
              <w:top w:w="0" w:type="dxa"/>
              <w:left w:w="0" w:type="dxa"/>
              <w:bottom w:w="0" w:type="dxa"/>
              <w:right w:w="108" w:type="dxa"/>
            </w:tcMar>
            <w:vAlign w:val="bottom"/>
            <w:hideMark/>
          </w:tcPr>
          <w:p w:rsidR="007137A5" w:rsidRPr="00EE1CEF" w:rsidRDefault="007137A5" w:rsidP="00EE1CEF">
            <w:pPr>
              <w:spacing w:before="80" w:after="80" w:line="200" w:lineRule="exact"/>
              <w:ind w:right="113"/>
              <w:rPr>
                <w:i/>
                <w:sz w:val="16"/>
              </w:rPr>
            </w:pPr>
            <w:r w:rsidRPr="00EE1CEF">
              <w:rPr>
                <w:i/>
                <w:sz w:val="16"/>
              </w:rPr>
              <w:t>Explication</w:t>
            </w:r>
          </w:p>
        </w:tc>
        <w:tc>
          <w:tcPr>
            <w:tcW w:w="2267" w:type="dxa"/>
            <w:tcBorders>
              <w:top w:val="single" w:sz="4" w:space="0" w:color="auto"/>
              <w:bottom w:val="single" w:sz="12" w:space="0" w:color="auto"/>
            </w:tcBorders>
            <w:shd w:val="clear" w:color="auto" w:fill="auto"/>
            <w:tcMar>
              <w:top w:w="0" w:type="dxa"/>
              <w:left w:w="0" w:type="dxa"/>
              <w:bottom w:w="0" w:type="dxa"/>
              <w:right w:w="108" w:type="dxa"/>
            </w:tcMar>
            <w:vAlign w:val="bottom"/>
            <w:hideMark/>
          </w:tcPr>
          <w:p w:rsidR="007137A5" w:rsidRPr="00EE1CEF" w:rsidRDefault="007137A5" w:rsidP="00EE1CEF">
            <w:pPr>
              <w:spacing w:before="80" w:after="80" w:line="200" w:lineRule="exact"/>
              <w:ind w:right="113"/>
              <w:rPr>
                <w:i/>
                <w:sz w:val="16"/>
              </w:rPr>
            </w:pPr>
            <w:r w:rsidRPr="00EE1CEF">
              <w:rPr>
                <w:i/>
                <w:sz w:val="16"/>
              </w:rPr>
              <w:t>Référence</w:t>
            </w:r>
          </w:p>
        </w:tc>
      </w:tr>
      <w:tr w:rsidR="00EE1CEF" w:rsidRPr="00EE1CEF" w:rsidTr="00EE1CEF">
        <w:trPr>
          <w:trHeight w:hRule="exact" w:val="113"/>
          <w:tblHeader/>
        </w:trPr>
        <w:tc>
          <w:tcPr>
            <w:tcW w:w="1222" w:type="dxa"/>
            <w:tcBorders>
              <w:top w:val="single" w:sz="12" w:space="0" w:color="auto"/>
            </w:tcBorders>
            <w:shd w:val="clear" w:color="auto" w:fill="auto"/>
            <w:tcMar>
              <w:top w:w="0" w:type="dxa"/>
              <w:left w:w="0" w:type="dxa"/>
              <w:bottom w:w="0" w:type="dxa"/>
              <w:right w:w="108" w:type="dxa"/>
            </w:tcMar>
          </w:tcPr>
          <w:p w:rsidR="00EE1CEF" w:rsidRPr="00EE1CEF" w:rsidRDefault="00EE1CEF" w:rsidP="00EE1CEF">
            <w:pPr>
              <w:spacing w:before="40" w:after="120"/>
              <w:ind w:right="113"/>
            </w:pPr>
          </w:p>
        </w:tc>
        <w:tc>
          <w:tcPr>
            <w:tcW w:w="945" w:type="dxa"/>
            <w:tcBorders>
              <w:top w:val="single" w:sz="12" w:space="0" w:color="auto"/>
            </w:tcBorders>
            <w:shd w:val="clear" w:color="auto" w:fill="auto"/>
            <w:tcMar>
              <w:top w:w="0" w:type="dxa"/>
              <w:left w:w="0" w:type="dxa"/>
              <w:bottom w:w="0" w:type="dxa"/>
              <w:right w:w="108" w:type="dxa"/>
            </w:tcMar>
          </w:tcPr>
          <w:p w:rsidR="00EE1CEF" w:rsidRPr="00EE1CEF" w:rsidRDefault="00EE1CEF" w:rsidP="00EE1CEF">
            <w:pPr>
              <w:spacing w:before="40" w:after="120"/>
              <w:ind w:right="113"/>
            </w:pPr>
          </w:p>
        </w:tc>
        <w:tc>
          <w:tcPr>
            <w:tcW w:w="2936" w:type="dxa"/>
            <w:tcBorders>
              <w:top w:val="single" w:sz="12" w:space="0" w:color="auto"/>
            </w:tcBorders>
            <w:shd w:val="clear" w:color="auto" w:fill="auto"/>
            <w:tcMar>
              <w:top w:w="0" w:type="dxa"/>
              <w:left w:w="0" w:type="dxa"/>
              <w:bottom w:w="0" w:type="dxa"/>
              <w:right w:w="108" w:type="dxa"/>
            </w:tcMar>
          </w:tcPr>
          <w:p w:rsidR="00EE1CEF" w:rsidRPr="00EE1CEF" w:rsidRDefault="00EE1CEF" w:rsidP="00EE1CEF">
            <w:pPr>
              <w:spacing w:before="40" w:after="120"/>
              <w:ind w:right="113"/>
            </w:pPr>
          </w:p>
        </w:tc>
        <w:tc>
          <w:tcPr>
            <w:tcW w:w="2267" w:type="dxa"/>
            <w:tcBorders>
              <w:top w:val="single" w:sz="12" w:space="0" w:color="auto"/>
            </w:tcBorders>
            <w:shd w:val="clear" w:color="auto" w:fill="auto"/>
            <w:tcMar>
              <w:top w:w="0" w:type="dxa"/>
              <w:left w:w="0" w:type="dxa"/>
              <w:bottom w:w="0" w:type="dxa"/>
              <w:right w:w="108" w:type="dxa"/>
            </w:tcMar>
          </w:tcPr>
          <w:p w:rsidR="00EE1CEF" w:rsidRPr="00EE1CEF" w:rsidRDefault="00EE1CEF" w:rsidP="00EE1CEF">
            <w:pPr>
              <w:spacing w:before="40" w:after="120"/>
              <w:ind w:right="113"/>
            </w:pPr>
          </w:p>
        </w:tc>
      </w:tr>
      <w:tr w:rsidR="00EE1CEF" w:rsidRPr="00EE1CEF" w:rsidTr="00EE1CEF">
        <w:tc>
          <w:tcPr>
            <w:tcW w:w="1222" w:type="dxa"/>
            <w:shd w:val="clear" w:color="auto" w:fill="auto"/>
            <w:tcMar>
              <w:top w:w="0" w:type="dxa"/>
              <w:left w:w="0" w:type="dxa"/>
              <w:bottom w:w="0" w:type="dxa"/>
              <w:right w:w="108" w:type="dxa"/>
            </w:tcMar>
          </w:tcPr>
          <w:p w:rsidR="007137A5" w:rsidRPr="00EE1CEF" w:rsidRDefault="007137A5" w:rsidP="00EE1CEF">
            <w:pPr>
              <w:spacing w:before="40" w:after="120"/>
              <w:ind w:right="113"/>
            </w:pPr>
            <w:r w:rsidRPr="00EE1CEF">
              <w:t>…</w:t>
            </w:r>
          </w:p>
        </w:tc>
        <w:tc>
          <w:tcPr>
            <w:tcW w:w="945" w:type="dxa"/>
            <w:shd w:val="clear" w:color="auto" w:fill="auto"/>
            <w:tcMar>
              <w:top w:w="0" w:type="dxa"/>
              <w:left w:w="0" w:type="dxa"/>
              <w:bottom w:w="0" w:type="dxa"/>
              <w:right w:w="108" w:type="dxa"/>
            </w:tcMar>
          </w:tcPr>
          <w:p w:rsidR="007137A5" w:rsidRPr="00EE1CEF" w:rsidRDefault="007137A5" w:rsidP="00EE1CEF">
            <w:pPr>
              <w:spacing w:before="40" w:after="120"/>
              <w:ind w:right="113"/>
            </w:pPr>
            <w:r w:rsidRPr="00EE1CEF">
              <w:t>…</w:t>
            </w:r>
          </w:p>
        </w:tc>
        <w:tc>
          <w:tcPr>
            <w:tcW w:w="2936" w:type="dxa"/>
            <w:shd w:val="clear" w:color="auto" w:fill="auto"/>
            <w:tcMar>
              <w:top w:w="0" w:type="dxa"/>
              <w:left w:w="0" w:type="dxa"/>
              <w:bottom w:w="0" w:type="dxa"/>
              <w:right w:w="108" w:type="dxa"/>
            </w:tcMar>
          </w:tcPr>
          <w:p w:rsidR="007137A5" w:rsidRPr="00EE1CEF" w:rsidRDefault="007137A5" w:rsidP="00EE1CEF">
            <w:pPr>
              <w:spacing w:before="40" w:after="120"/>
              <w:ind w:right="113"/>
            </w:pPr>
            <w:r w:rsidRPr="00EE1CEF">
              <w:t>…</w:t>
            </w:r>
          </w:p>
        </w:tc>
        <w:tc>
          <w:tcPr>
            <w:tcW w:w="2267" w:type="dxa"/>
            <w:shd w:val="clear" w:color="auto" w:fill="auto"/>
            <w:tcMar>
              <w:top w:w="0" w:type="dxa"/>
              <w:left w:w="0" w:type="dxa"/>
              <w:bottom w:w="0" w:type="dxa"/>
              <w:right w:w="108" w:type="dxa"/>
            </w:tcMar>
          </w:tcPr>
          <w:p w:rsidR="007137A5" w:rsidRPr="00EE1CEF" w:rsidRDefault="007137A5" w:rsidP="00EE1CEF">
            <w:pPr>
              <w:spacing w:before="40" w:after="120"/>
              <w:ind w:right="113"/>
            </w:pPr>
            <w:r w:rsidRPr="00EE1CEF">
              <w:t>…</w:t>
            </w:r>
          </w:p>
        </w:tc>
      </w:tr>
      <w:tr w:rsidR="00EE1CEF" w:rsidRPr="00EE1CEF" w:rsidTr="00EE1CEF">
        <w:tc>
          <w:tcPr>
            <w:tcW w:w="1222" w:type="dxa"/>
            <w:shd w:val="clear" w:color="auto" w:fill="auto"/>
            <w:tcMar>
              <w:top w:w="0" w:type="dxa"/>
              <w:left w:w="0" w:type="dxa"/>
              <w:bottom w:w="0" w:type="dxa"/>
              <w:right w:w="108" w:type="dxa"/>
            </w:tcMar>
            <w:hideMark/>
          </w:tcPr>
          <w:p w:rsidR="007137A5" w:rsidRPr="00EE1CEF" w:rsidRDefault="007137A5" w:rsidP="00EE1CEF">
            <w:pPr>
              <w:spacing w:before="40" w:after="120"/>
              <w:ind w:right="113"/>
            </w:pPr>
            <w:r w:rsidRPr="00EE1CEF">
              <w:t xml:space="preserve">n  </w:t>
            </w:r>
          </w:p>
        </w:tc>
        <w:tc>
          <w:tcPr>
            <w:tcW w:w="945" w:type="dxa"/>
            <w:shd w:val="clear" w:color="auto" w:fill="auto"/>
            <w:tcMar>
              <w:top w:w="0" w:type="dxa"/>
              <w:left w:w="0" w:type="dxa"/>
              <w:bottom w:w="0" w:type="dxa"/>
              <w:right w:w="108" w:type="dxa"/>
            </w:tcMar>
            <w:hideMark/>
          </w:tcPr>
          <w:p w:rsidR="007137A5" w:rsidRPr="00EE1CEF" w:rsidRDefault="007137A5" w:rsidP="00EE1CEF">
            <w:pPr>
              <w:spacing w:before="40" w:after="120"/>
              <w:ind w:right="113"/>
            </w:pPr>
            <w:r w:rsidRPr="00EE1CEF">
              <w:t>min</w:t>
            </w:r>
            <w:r w:rsidRPr="00EE1CEF">
              <w:rPr>
                <w:vertAlign w:val="superscript"/>
              </w:rPr>
              <w:t>-1</w:t>
            </w:r>
          </w:p>
        </w:tc>
        <w:tc>
          <w:tcPr>
            <w:tcW w:w="2936" w:type="dxa"/>
            <w:shd w:val="clear" w:color="auto" w:fill="auto"/>
            <w:tcMar>
              <w:top w:w="0" w:type="dxa"/>
              <w:left w:w="0" w:type="dxa"/>
              <w:bottom w:w="0" w:type="dxa"/>
              <w:right w:w="108" w:type="dxa"/>
            </w:tcMar>
            <w:hideMark/>
          </w:tcPr>
          <w:p w:rsidR="007137A5" w:rsidRPr="00EE1CEF" w:rsidRDefault="007137A5" w:rsidP="00EE1CEF">
            <w:pPr>
              <w:spacing w:before="40" w:after="120"/>
              <w:ind w:right="113"/>
            </w:pPr>
            <w:r w:rsidRPr="00EE1CEF">
              <w:t xml:space="preserve">régime du moteur </w:t>
            </w:r>
          </w:p>
        </w:tc>
        <w:tc>
          <w:tcPr>
            <w:tcW w:w="2267" w:type="dxa"/>
            <w:shd w:val="clear" w:color="auto" w:fill="auto"/>
            <w:tcMar>
              <w:top w:w="0" w:type="dxa"/>
              <w:left w:w="0" w:type="dxa"/>
              <w:bottom w:w="0" w:type="dxa"/>
              <w:right w:w="108" w:type="dxa"/>
            </w:tcMar>
            <w:hideMark/>
          </w:tcPr>
          <w:p w:rsidR="007137A5" w:rsidRPr="00EE1CEF" w:rsidRDefault="007137A5" w:rsidP="00EE1CEF">
            <w:pPr>
              <w:spacing w:before="40" w:after="120"/>
              <w:ind w:right="113"/>
            </w:pPr>
          </w:p>
        </w:tc>
      </w:tr>
      <w:tr w:rsidR="00EE1CEF" w:rsidRPr="00EE1CEF" w:rsidTr="00EE1CEF">
        <w:tc>
          <w:tcPr>
            <w:tcW w:w="1222" w:type="dxa"/>
            <w:tcBorders>
              <w:bottom w:val="single" w:sz="12" w:space="0" w:color="auto"/>
            </w:tcBorders>
            <w:shd w:val="clear" w:color="auto" w:fill="auto"/>
            <w:tcMar>
              <w:top w:w="0" w:type="dxa"/>
              <w:left w:w="0" w:type="dxa"/>
              <w:bottom w:w="0" w:type="dxa"/>
              <w:right w:w="108" w:type="dxa"/>
            </w:tcMar>
          </w:tcPr>
          <w:p w:rsidR="007137A5" w:rsidRPr="00EE1CEF" w:rsidRDefault="007137A5" w:rsidP="00EE1CEF">
            <w:pPr>
              <w:spacing w:before="40" w:after="120"/>
              <w:ind w:right="113"/>
            </w:pPr>
            <w:r w:rsidRPr="00EE1CEF">
              <w:t>…</w:t>
            </w:r>
          </w:p>
        </w:tc>
        <w:tc>
          <w:tcPr>
            <w:tcW w:w="945" w:type="dxa"/>
            <w:tcBorders>
              <w:bottom w:val="single" w:sz="12" w:space="0" w:color="auto"/>
            </w:tcBorders>
            <w:shd w:val="clear" w:color="auto" w:fill="auto"/>
            <w:tcMar>
              <w:top w:w="0" w:type="dxa"/>
              <w:left w:w="0" w:type="dxa"/>
              <w:bottom w:w="0" w:type="dxa"/>
              <w:right w:w="108" w:type="dxa"/>
            </w:tcMar>
          </w:tcPr>
          <w:p w:rsidR="007137A5" w:rsidRPr="00EE1CEF" w:rsidRDefault="007137A5" w:rsidP="00EE1CEF">
            <w:pPr>
              <w:spacing w:before="40" w:after="120"/>
              <w:ind w:right="113"/>
            </w:pPr>
            <w:r w:rsidRPr="00EE1CEF">
              <w:t>…</w:t>
            </w:r>
          </w:p>
        </w:tc>
        <w:tc>
          <w:tcPr>
            <w:tcW w:w="2936" w:type="dxa"/>
            <w:tcBorders>
              <w:bottom w:val="single" w:sz="12" w:space="0" w:color="auto"/>
            </w:tcBorders>
            <w:shd w:val="clear" w:color="auto" w:fill="auto"/>
            <w:tcMar>
              <w:top w:w="0" w:type="dxa"/>
              <w:left w:w="0" w:type="dxa"/>
              <w:bottom w:w="0" w:type="dxa"/>
              <w:right w:w="108" w:type="dxa"/>
            </w:tcMar>
          </w:tcPr>
          <w:p w:rsidR="007137A5" w:rsidRPr="00EE1CEF" w:rsidRDefault="007137A5" w:rsidP="00EE1CEF">
            <w:pPr>
              <w:spacing w:before="40" w:after="120"/>
              <w:ind w:right="113"/>
            </w:pPr>
            <w:r w:rsidRPr="00EE1CEF">
              <w:t>…</w:t>
            </w:r>
          </w:p>
        </w:tc>
        <w:tc>
          <w:tcPr>
            <w:tcW w:w="2267" w:type="dxa"/>
            <w:tcBorders>
              <w:bottom w:val="single" w:sz="12" w:space="0" w:color="auto"/>
            </w:tcBorders>
            <w:shd w:val="clear" w:color="auto" w:fill="auto"/>
            <w:tcMar>
              <w:top w:w="0" w:type="dxa"/>
              <w:left w:w="0" w:type="dxa"/>
              <w:bottom w:w="0" w:type="dxa"/>
              <w:right w:w="108" w:type="dxa"/>
            </w:tcMar>
          </w:tcPr>
          <w:p w:rsidR="007137A5" w:rsidRPr="00EE1CEF" w:rsidRDefault="007137A5" w:rsidP="00EE1CEF">
            <w:pPr>
              <w:spacing w:before="40" w:after="120"/>
              <w:ind w:right="113"/>
            </w:pPr>
            <w:r w:rsidRPr="00EE1CEF">
              <w:t>…</w:t>
            </w:r>
          </w:p>
        </w:tc>
      </w:tr>
    </w:tbl>
    <w:p w:rsidR="007137A5" w:rsidRPr="007137A5" w:rsidRDefault="007137A5" w:rsidP="00EE1CEF">
      <w:pPr>
        <w:pStyle w:val="SingleTxtG"/>
        <w:spacing w:before="240"/>
        <w:rPr>
          <w:rFonts w:eastAsia="MS PGothic"/>
          <w:kern w:val="2"/>
          <w:szCs w:val="24"/>
          <w:lang w:eastAsia="ja-JP"/>
        </w:rPr>
      </w:pPr>
      <w:r w:rsidRPr="007137A5">
        <w:t>Les indices ci-après servent à préciser le lieu ou plut</w:t>
      </w:r>
      <w:r w:rsidR="00896062">
        <w:t>ôt le moment où sont mesurés le </w:t>
      </w:r>
      <w:r w:rsidRPr="007137A5">
        <w:t>régime du moteur n et la vitesse v du véhicule:</w:t>
      </w:r>
      <w:r w:rsidRPr="007137A5">
        <w:rPr>
          <w:rFonts w:eastAsia="MS PGothic"/>
          <w:kern w:val="2"/>
          <w:szCs w:val="24"/>
          <w:lang w:eastAsia="ja-JP"/>
        </w:rPr>
        <w:t xml:space="preserve"> </w:t>
      </w:r>
    </w:p>
    <w:p w:rsidR="007137A5" w:rsidRPr="007137A5" w:rsidRDefault="007137A5" w:rsidP="00424C74">
      <w:pPr>
        <w:pStyle w:val="SingleTxtG"/>
        <w:rPr>
          <w:rFonts w:eastAsia="MS PGothic"/>
          <w:lang w:eastAsia="ja-JP"/>
        </w:rPr>
      </w:pPr>
      <w:r w:rsidRPr="007137A5">
        <w:rPr>
          <w:rFonts w:eastAsia="MS PGothic"/>
          <w:lang w:eastAsia="ja-JP"/>
        </w:rPr>
        <w:t>…</w:t>
      </w:r>
      <w:r w:rsidR="00EE1CEF">
        <w:rPr>
          <w:rFonts w:eastAsia="MS PGothic"/>
          <w:lang w:eastAsia="ja-JP"/>
        </w:rPr>
        <w:t>»</w:t>
      </w:r>
      <w:r w:rsidRPr="007137A5">
        <w:rPr>
          <w:rFonts w:eastAsia="MS PGothic"/>
          <w:lang w:eastAsia="ja-JP"/>
        </w:rPr>
        <w:t>.</w:t>
      </w:r>
    </w:p>
    <w:p w:rsidR="007137A5" w:rsidRPr="007137A5" w:rsidRDefault="007137A5" w:rsidP="007137A5">
      <w:pPr>
        <w:kinsoku/>
        <w:overflowPunct/>
        <w:autoSpaceDE/>
        <w:autoSpaceDN/>
        <w:adjustRightInd/>
        <w:spacing w:after="120"/>
        <w:ind w:leftChars="567" w:left="1134" w:right="1134"/>
        <w:jc w:val="both"/>
        <w:rPr>
          <w:szCs w:val="24"/>
        </w:rPr>
      </w:pPr>
      <w:r w:rsidRPr="007137A5">
        <w:rPr>
          <w:i/>
          <w:iCs/>
          <w:szCs w:val="24"/>
        </w:rPr>
        <w:t>Paragraphe</w:t>
      </w:r>
      <w:r w:rsidR="00DA1E82">
        <w:rPr>
          <w:i/>
          <w:iCs/>
          <w:szCs w:val="24"/>
        </w:rPr>
        <w:t> 12.3</w:t>
      </w:r>
      <w:r w:rsidRPr="00DA1E82">
        <w:t xml:space="preserve">, </w:t>
      </w:r>
      <w:r w:rsidRPr="007137A5">
        <w:rPr>
          <w:szCs w:val="24"/>
        </w:rPr>
        <w:t>modifier comme suit:</w:t>
      </w:r>
    </w:p>
    <w:p w:rsidR="007137A5" w:rsidRPr="00E56D45" w:rsidRDefault="00424C74" w:rsidP="00424C74">
      <w:pPr>
        <w:pStyle w:val="SingleTxtG"/>
        <w:ind w:left="2268" w:hanging="1134"/>
        <w:rPr>
          <w:szCs w:val="24"/>
        </w:rPr>
      </w:pPr>
      <w:r>
        <w:rPr>
          <w:szCs w:val="24"/>
        </w:rPr>
        <w:t>«</w:t>
      </w:r>
      <w:r w:rsidR="00DA1E82">
        <w:rPr>
          <w:szCs w:val="24"/>
        </w:rPr>
        <w:t>12.3</w:t>
      </w:r>
      <w:r w:rsidR="007137A5" w:rsidRPr="007137A5">
        <w:rPr>
          <w:szCs w:val="24"/>
        </w:rPr>
        <w:tab/>
      </w:r>
      <w:r w:rsidR="007137A5" w:rsidRPr="007137A5">
        <w:t>Les Parties contractantes appliquant</w:t>
      </w:r>
      <w:r w:rsidR="007137A5">
        <w:t xml:space="preserve"> le présent Règlement ne doivent pas refuser de délivrer des extensions d</w:t>
      </w:r>
      <w:r w:rsidR="007137A5" w:rsidRPr="006710F7">
        <w:t>’</w:t>
      </w:r>
      <w:r w:rsidR="007137A5">
        <w:t xml:space="preserve">homologations accordées au titre des précédentes séries d’amendements au présent Règlement, les essais devant être réalisés sur des terrains conformes aux prescriptions de l’annexe 4 au présent Règlement ou </w:t>
      </w:r>
      <w:r w:rsidR="00DA1E82">
        <w:t>à la norme </w:t>
      </w:r>
      <w:r w:rsidR="005B445D">
        <w:t>ISO </w:t>
      </w:r>
      <w:r w:rsidR="007137A5">
        <w:t>10844:2014</w:t>
      </w:r>
      <w:r>
        <w:rPr>
          <w:bCs/>
          <w:szCs w:val="24"/>
        </w:rPr>
        <w:t>»</w:t>
      </w:r>
      <w:r w:rsidR="007137A5" w:rsidRPr="007C23C6">
        <w:rPr>
          <w:bCs/>
          <w:szCs w:val="24"/>
        </w:rPr>
        <w:t>.</w:t>
      </w:r>
    </w:p>
    <w:p w:rsidR="007137A5" w:rsidRPr="00E56D45" w:rsidRDefault="007137A5" w:rsidP="00DA1E82">
      <w:pPr>
        <w:pStyle w:val="SingleTxtG"/>
        <w:keepNext/>
        <w:ind w:left="2268" w:hanging="1134"/>
        <w:rPr>
          <w:szCs w:val="24"/>
        </w:rPr>
      </w:pPr>
      <w:r w:rsidRPr="007C23C6">
        <w:rPr>
          <w:i/>
          <w:iCs/>
          <w:szCs w:val="24"/>
        </w:rPr>
        <w:t>Ajouter de nouveaux paragraphe</w:t>
      </w:r>
      <w:r w:rsidR="005B445D">
        <w:rPr>
          <w:i/>
          <w:iCs/>
          <w:szCs w:val="24"/>
        </w:rPr>
        <w:t>s </w:t>
      </w:r>
      <w:r w:rsidRPr="00E56D45">
        <w:rPr>
          <w:i/>
          <w:iCs/>
          <w:szCs w:val="24"/>
        </w:rPr>
        <w:t>12.8</w:t>
      </w:r>
      <w:r w:rsidR="005B445D">
        <w:rPr>
          <w:i/>
          <w:iCs/>
          <w:szCs w:val="24"/>
        </w:rPr>
        <w:t xml:space="preserve"> et </w:t>
      </w:r>
      <w:r w:rsidRPr="00E56D45">
        <w:rPr>
          <w:i/>
          <w:iCs/>
          <w:szCs w:val="24"/>
        </w:rPr>
        <w:t>12.9</w:t>
      </w:r>
      <w:r w:rsidRPr="005B445D">
        <w:t xml:space="preserve">, </w:t>
      </w:r>
      <w:r>
        <w:rPr>
          <w:szCs w:val="24"/>
        </w:rPr>
        <w:t>ainsi conçus</w:t>
      </w:r>
      <w:r w:rsidRPr="00E56D45">
        <w:rPr>
          <w:szCs w:val="24"/>
        </w:rPr>
        <w:t>:</w:t>
      </w:r>
    </w:p>
    <w:p w:rsidR="007137A5" w:rsidRDefault="005B445D" w:rsidP="005B445D">
      <w:pPr>
        <w:pStyle w:val="SingleTxtG"/>
        <w:ind w:left="2268" w:hanging="1134"/>
      </w:pPr>
      <w:r>
        <w:rPr>
          <w:bCs/>
          <w:szCs w:val="24"/>
        </w:rPr>
        <w:t>«</w:t>
      </w:r>
      <w:r w:rsidR="007137A5" w:rsidRPr="00E56D45">
        <w:rPr>
          <w:bCs/>
          <w:szCs w:val="24"/>
        </w:rPr>
        <w:t xml:space="preserve">12.8 </w:t>
      </w:r>
      <w:r w:rsidR="007137A5" w:rsidRPr="00E56D45">
        <w:rPr>
          <w:bCs/>
          <w:szCs w:val="24"/>
        </w:rPr>
        <w:tab/>
      </w:r>
      <w:r w:rsidR="007137A5">
        <w:t>À compter de la date officielle d’entrée en vig</w:t>
      </w:r>
      <w:r w:rsidR="00DA1E82">
        <w:t>ueur du complément 3 à la série </w:t>
      </w:r>
      <w:r w:rsidR="007137A5">
        <w:t>04 d’amendements, aucune Partie contractante appliquant le présent Règlement ne peut refuser d’accorder ou d’accepter une homologation de type au titre dudit complément.</w:t>
      </w:r>
    </w:p>
    <w:p w:rsidR="007137A5" w:rsidRPr="00E56D45" w:rsidRDefault="00DA1E82" w:rsidP="005B445D">
      <w:pPr>
        <w:pStyle w:val="SingleTxtG"/>
        <w:ind w:left="2268" w:hanging="1134"/>
        <w:rPr>
          <w:szCs w:val="24"/>
        </w:rPr>
      </w:pPr>
      <w:r>
        <w:rPr>
          <w:bCs/>
          <w:szCs w:val="24"/>
        </w:rPr>
        <w:t>12.9</w:t>
      </w:r>
      <w:r w:rsidR="007137A5" w:rsidRPr="00E56D45">
        <w:rPr>
          <w:bCs/>
          <w:szCs w:val="24"/>
        </w:rPr>
        <w:tab/>
      </w:r>
      <w:r w:rsidR="005B445D">
        <w:t>Passé un délai de 60 </w:t>
      </w:r>
      <w:r w:rsidR="007137A5">
        <w:t>mois à compter de la date d’entrée en vigueur du complément 3</w:t>
      </w:r>
      <w:r w:rsidR="005B445D">
        <w:t xml:space="preserve"> à la série </w:t>
      </w:r>
      <w:r w:rsidR="007137A5">
        <w:t>04 d’amendements au présent Règlement, les Parties contractantes appliquant ce Règlement ne devront accorder des homologations de type que si les types des véhicules concernés satisfont aux prescriptions du présent Règlement tel que modifié par ledit complément</w:t>
      </w:r>
      <w:r w:rsidR="005B445D">
        <w:t>»</w:t>
      </w:r>
      <w:r w:rsidR="007137A5">
        <w:rPr>
          <w:bCs/>
          <w:szCs w:val="24"/>
        </w:rPr>
        <w:t>.</w:t>
      </w:r>
    </w:p>
    <w:p w:rsidR="007137A5" w:rsidRPr="00E56D45" w:rsidRDefault="007137A5" w:rsidP="006578C9">
      <w:pPr>
        <w:pStyle w:val="SingleTxtG"/>
        <w:keepNext/>
        <w:ind w:left="2268" w:hanging="1134"/>
        <w:rPr>
          <w:i/>
          <w:szCs w:val="24"/>
        </w:rPr>
      </w:pPr>
      <w:r w:rsidRPr="00E56D45">
        <w:rPr>
          <w:i/>
          <w:iCs/>
          <w:szCs w:val="24"/>
        </w:rPr>
        <w:t>Annex</w:t>
      </w:r>
      <w:r w:rsidRPr="000C000F">
        <w:rPr>
          <w:i/>
          <w:iCs/>
          <w:szCs w:val="24"/>
        </w:rPr>
        <w:t>e</w:t>
      </w:r>
      <w:r w:rsidR="005B445D">
        <w:rPr>
          <w:i/>
          <w:iCs/>
          <w:szCs w:val="24"/>
        </w:rPr>
        <w:t> </w:t>
      </w:r>
      <w:r w:rsidRPr="00E56D45">
        <w:rPr>
          <w:i/>
          <w:iCs/>
          <w:szCs w:val="24"/>
        </w:rPr>
        <w:t>1</w:t>
      </w:r>
      <w:r w:rsidRPr="005B445D">
        <w:t xml:space="preserve">, </w:t>
      </w:r>
    </w:p>
    <w:p w:rsidR="007137A5" w:rsidRPr="00E56D45" w:rsidRDefault="005B445D" w:rsidP="005B445D">
      <w:pPr>
        <w:pStyle w:val="SingleTxtG"/>
        <w:ind w:left="2268" w:hanging="1134"/>
        <w:rPr>
          <w:szCs w:val="24"/>
          <w:lang w:val="en-GB"/>
        </w:rPr>
      </w:pPr>
      <w:r>
        <w:rPr>
          <w:i/>
          <w:szCs w:val="24"/>
          <w:lang w:val="en-GB"/>
        </w:rPr>
        <w:t>Point </w:t>
      </w:r>
      <w:r w:rsidR="007137A5" w:rsidRPr="00E56D45">
        <w:rPr>
          <w:i/>
          <w:iCs/>
          <w:szCs w:val="24"/>
          <w:lang w:val="en-GB"/>
        </w:rPr>
        <w:t>20</w:t>
      </w:r>
      <w:r w:rsidR="007137A5" w:rsidRPr="00134A0B">
        <w:t xml:space="preserve">, </w:t>
      </w:r>
      <w:r w:rsidR="007137A5">
        <w:rPr>
          <w:szCs w:val="24"/>
          <w:lang w:val="en-GB"/>
        </w:rPr>
        <w:t>supprimer</w:t>
      </w:r>
      <w:r w:rsidR="007137A5" w:rsidRPr="00E56D45">
        <w:rPr>
          <w:szCs w:val="24"/>
          <w:lang w:val="en-GB"/>
        </w:rPr>
        <w:t>.</w:t>
      </w:r>
    </w:p>
    <w:p w:rsidR="007137A5" w:rsidRPr="00E56D45" w:rsidRDefault="005B445D" w:rsidP="007137A5">
      <w:pPr>
        <w:kinsoku/>
        <w:overflowPunct/>
        <w:autoSpaceDE/>
        <w:autoSpaceDN/>
        <w:adjustRightInd/>
        <w:spacing w:after="120"/>
        <w:ind w:leftChars="567" w:left="1134" w:right="1134"/>
        <w:jc w:val="both"/>
        <w:rPr>
          <w:szCs w:val="24"/>
        </w:rPr>
      </w:pPr>
      <w:r>
        <w:rPr>
          <w:i/>
          <w:szCs w:val="24"/>
        </w:rPr>
        <w:t>Les points </w:t>
      </w:r>
      <w:r w:rsidR="007137A5" w:rsidRPr="00E56D45">
        <w:rPr>
          <w:i/>
          <w:szCs w:val="24"/>
        </w:rPr>
        <w:t>21</w:t>
      </w:r>
      <w:r>
        <w:rPr>
          <w:i/>
          <w:szCs w:val="24"/>
        </w:rPr>
        <w:t xml:space="preserve"> à </w:t>
      </w:r>
      <w:r w:rsidR="007137A5" w:rsidRPr="00E56D45">
        <w:rPr>
          <w:i/>
          <w:szCs w:val="24"/>
        </w:rPr>
        <w:t>29</w:t>
      </w:r>
      <w:r w:rsidR="007137A5" w:rsidRPr="000C000F">
        <w:rPr>
          <w:i/>
          <w:szCs w:val="24"/>
        </w:rPr>
        <w:t xml:space="preserve"> </w:t>
      </w:r>
      <w:r>
        <w:rPr>
          <w:szCs w:val="24"/>
        </w:rPr>
        <w:t>deviennent les points </w:t>
      </w:r>
      <w:r w:rsidR="007137A5" w:rsidRPr="00E56D45">
        <w:rPr>
          <w:szCs w:val="24"/>
        </w:rPr>
        <w:t>20</w:t>
      </w:r>
      <w:r>
        <w:rPr>
          <w:szCs w:val="24"/>
        </w:rPr>
        <w:t xml:space="preserve"> à </w:t>
      </w:r>
      <w:r w:rsidR="007137A5">
        <w:rPr>
          <w:szCs w:val="24"/>
        </w:rPr>
        <w:t>28</w:t>
      </w:r>
      <w:r w:rsidR="007137A5" w:rsidRPr="00E56D45">
        <w:rPr>
          <w:szCs w:val="24"/>
        </w:rPr>
        <w:t>.</w:t>
      </w:r>
    </w:p>
    <w:p w:rsidR="007137A5" w:rsidRPr="00E56D45" w:rsidRDefault="007137A5" w:rsidP="006578C9">
      <w:pPr>
        <w:pStyle w:val="SingleTxtG"/>
        <w:keepNext/>
        <w:rPr>
          <w:rFonts w:eastAsia="MS PGothic"/>
          <w:lang w:val="en-GB" w:eastAsia="ja-JP"/>
        </w:rPr>
      </w:pPr>
      <w:r w:rsidRPr="005B445D">
        <w:rPr>
          <w:rFonts w:eastAsia="MS PGothic"/>
          <w:i/>
          <w:lang w:val="en-GB" w:eastAsia="ja-JP"/>
        </w:rPr>
        <w:t>Annexe</w:t>
      </w:r>
      <w:r w:rsidR="005B445D">
        <w:rPr>
          <w:rFonts w:eastAsia="MS PGothic"/>
          <w:i/>
          <w:lang w:val="en-GB" w:eastAsia="ja-JP"/>
        </w:rPr>
        <w:t> </w:t>
      </w:r>
      <w:r w:rsidRPr="005B445D">
        <w:rPr>
          <w:rFonts w:eastAsia="MS PGothic"/>
          <w:i/>
          <w:lang w:val="en-GB" w:eastAsia="ja-JP"/>
        </w:rPr>
        <w:t>3</w:t>
      </w:r>
      <w:r w:rsidRPr="00E56D45">
        <w:rPr>
          <w:rFonts w:eastAsia="MS PGothic"/>
          <w:lang w:val="en-GB" w:eastAsia="ja-JP"/>
        </w:rPr>
        <w:t xml:space="preserve">, </w:t>
      </w:r>
    </w:p>
    <w:p w:rsidR="007137A5" w:rsidRPr="00E56D45" w:rsidRDefault="007137A5" w:rsidP="005B445D">
      <w:pPr>
        <w:pStyle w:val="SingleTxtG"/>
        <w:keepNext/>
        <w:rPr>
          <w:rFonts w:eastAsia="MS PGothic"/>
          <w:kern w:val="2"/>
          <w:szCs w:val="24"/>
          <w:lang w:val="en-GB" w:eastAsia="ja-JP"/>
        </w:rPr>
      </w:pPr>
      <w:r>
        <w:rPr>
          <w:rFonts w:eastAsia="MS PGothic"/>
          <w:i/>
          <w:iCs/>
          <w:kern w:val="2"/>
          <w:szCs w:val="24"/>
          <w:lang w:val="en-GB" w:eastAsia="ja-JP"/>
        </w:rPr>
        <w:t>Paragraphe</w:t>
      </w:r>
      <w:r w:rsidR="005B445D">
        <w:rPr>
          <w:rFonts w:eastAsia="MS PGothic"/>
          <w:i/>
          <w:iCs/>
          <w:kern w:val="2"/>
          <w:szCs w:val="24"/>
          <w:lang w:val="en-GB" w:eastAsia="ja-JP"/>
        </w:rPr>
        <w:t> </w:t>
      </w:r>
      <w:r w:rsidRPr="00E56D45">
        <w:rPr>
          <w:rFonts w:eastAsia="MS PGothic"/>
          <w:i/>
          <w:iCs/>
          <w:kern w:val="2"/>
          <w:szCs w:val="24"/>
          <w:lang w:val="en-GB" w:eastAsia="ja-JP"/>
        </w:rPr>
        <w:t>1.1.2</w:t>
      </w:r>
      <w:r w:rsidRPr="00C862F5">
        <w:rPr>
          <w:rFonts w:eastAsia="MS PGothic"/>
        </w:rPr>
        <w:t xml:space="preserve">, </w:t>
      </w:r>
      <w:r>
        <w:rPr>
          <w:rFonts w:eastAsia="MS PGothic"/>
          <w:kern w:val="2"/>
          <w:szCs w:val="24"/>
          <w:lang w:val="en-GB" w:eastAsia="ja-JP"/>
        </w:rPr>
        <w:t>modifier comme suit</w:t>
      </w:r>
      <w:r w:rsidRPr="00E56D45">
        <w:rPr>
          <w:rFonts w:eastAsia="MS PGothic"/>
          <w:kern w:val="2"/>
          <w:szCs w:val="24"/>
          <w:lang w:val="en-GB" w:eastAsia="ja-JP"/>
        </w:rPr>
        <w:t>:</w:t>
      </w:r>
    </w:p>
    <w:p w:rsidR="007137A5" w:rsidRPr="00E56D45" w:rsidRDefault="005B445D" w:rsidP="006578C9">
      <w:pPr>
        <w:pStyle w:val="SingleTxtG"/>
        <w:keepNext/>
        <w:ind w:left="2268" w:hanging="1134"/>
        <w:rPr>
          <w:rFonts w:eastAsia="MS PGothic"/>
          <w:kern w:val="2"/>
          <w:szCs w:val="24"/>
          <w:lang w:eastAsia="ja-JP"/>
        </w:rPr>
      </w:pPr>
      <w:r>
        <w:rPr>
          <w:rFonts w:eastAsia="MS PGothic"/>
          <w:kern w:val="2"/>
          <w:szCs w:val="24"/>
          <w:lang w:val="en-GB" w:eastAsia="ja-JP"/>
        </w:rPr>
        <w:t>«</w:t>
      </w:r>
      <w:r w:rsidR="00DA1E82">
        <w:rPr>
          <w:rFonts w:eastAsia="MS PGothic"/>
          <w:kern w:val="2"/>
          <w:szCs w:val="24"/>
          <w:lang w:val="en-GB" w:eastAsia="ja-JP"/>
        </w:rPr>
        <w:t>1.1.2</w:t>
      </w:r>
      <w:r w:rsidR="007137A5" w:rsidRPr="00E56D45">
        <w:rPr>
          <w:rFonts w:eastAsia="MS PGothic"/>
          <w:kern w:val="2"/>
          <w:szCs w:val="24"/>
          <w:lang w:val="en-GB" w:eastAsia="ja-JP"/>
        </w:rPr>
        <w:tab/>
      </w:r>
      <w:r w:rsidR="007137A5">
        <w:t xml:space="preserve">Instruments de mesure du régime moteur et de la vitesse </w:t>
      </w:r>
    </w:p>
    <w:p w:rsidR="007137A5" w:rsidRPr="000C000F" w:rsidRDefault="005B445D" w:rsidP="00F32F8E">
      <w:pPr>
        <w:pStyle w:val="SingleTxtG"/>
        <w:ind w:left="2268"/>
      </w:pPr>
      <w:r>
        <w:tab/>
      </w:r>
      <w:r w:rsidR="007137A5" w:rsidRPr="000C000F">
        <w:t xml:space="preserve">Le régime </w:t>
      </w:r>
      <w:r w:rsidR="007137A5">
        <w:t xml:space="preserve">du </w:t>
      </w:r>
      <w:r w:rsidR="007137A5" w:rsidRPr="000C000F">
        <w:t>moteur doit être mesuré au moyen d’un instrument</w:t>
      </w:r>
      <w:r>
        <w:t xml:space="preserve"> d’une exactitude d’au moins ±2 </w:t>
      </w:r>
      <w:r w:rsidR="007137A5" w:rsidRPr="000C000F">
        <w:t xml:space="preserve">% aux régimes </w:t>
      </w:r>
      <w:r w:rsidR="007137A5">
        <w:t xml:space="preserve">du </w:t>
      </w:r>
      <w:r w:rsidR="007137A5" w:rsidRPr="000C000F">
        <w:t>moteur prescrits pour les mesures.</w:t>
      </w:r>
      <w:r w:rsidR="007137A5">
        <w:t xml:space="preserve"> Lorsque sont réalisées d’autres mesures liées aux régimes du moteur, on dispose aussi d’une valeur calculée (obtenue, par exemple, à partir de la mesure de la vitesse du véhicule).</w:t>
      </w:r>
    </w:p>
    <w:p w:rsidR="007137A5" w:rsidRPr="00E56D45" w:rsidRDefault="007137A5" w:rsidP="005B445D">
      <w:pPr>
        <w:pStyle w:val="SingleTxtG"/>
        <w:ind w:left="2268"/>
        <w:rPr>
          <w:rFonts w:eastAsia="MS PGothic"/>
          <w:kern w:val="2"/>
          <w:szCs w:val="24"/>
          <w:lang w:val="en-GB" w:eastAsia="ja-JP"/>
        </w:rPr>
      </w:pPr>
      <w:r w:rsidRPr="00E56D45">
        <w:rPr>
          <w:rFonts w:eastAsia="MS PGothic"/>
          <w:bCs/>
          <w:kern w:val="2"/>
          <w:szCs w:val="24"/>
          <w:lang w:val="en-GB" w:eastAsia="ja-JP"/>
        </w:rPr>
        <w:t>…</w:t>
      </w:r>
      <w:r w:rsidR="005B445D">
        <w:rPr>
          <w:rFonts w:eastAsia="MS PGothic"/>
          <w:bCs/>
          <w:kern w:val="2"/>
          <w:szCs w:val="24"/>
          <w:lang w:val="en-GB" w:eastAsia="ja-JP"/>
        </w:rPr>
        <w:t>»</w:t>
      </w:r>
      <w:r>
        <w:rPr>
          <w:rFonts w:eastAsia="MS PGothic"/>
          <w:bCs/>
          <w:kern w:val="2"/>
          <w:szCs w:val="24"/>
          <w:lang w:val="en-GB" w:eastAsia="ja-JP"/>
        </w:rPr>
        <w:t>.</w:t>
      </w:r>
    </w:p>
    <w:p w:rsidR="007137A5" w:rsidRPr="00E56D45" w:rsidRDefault="007137A5" w:rsidP="006578C9">
      <w:pPr>
        <w:pStyle w:val="SingleTxtG"/>
        <w:keepNext/>
        <w:rPr>
          <w:lang w:val="en-GB"/>
        </w:rPr>
      </w:pPr>
      <w:r>
        <w:rPr>
          <w:i/>
          <w:iCs/>
          <w:lang w:val="en-GB"/>
        </w:rPr>
        <w:lastRenderedPageBreak/>
        <w:t>Paragraphe</w:t>
      </w:r>
      <w:r w:rsidR="006578C9">
        <w:rPr>
          <w:i/>
          <w:iCs/>
          <w:lang w:val="en-GB"/>
        </w:rPr>
        <w:t> </w:t>
      </w:r>
      <w:r w:rsidRPr="00E56D45">
        <w:rPr>
          <w:i/>
          <w:iCs/>
          <w:lang w:val="en-GB"/>
        </w:rPr>
        <w:t>1.2.1</w:t>
      </w:r>
      <w:r w:rsidRPr="006578C9">
        <w:t xml:space="preserve">, </w:t>
      </w:r>
      <w:r>
        <w:rPr>
          <w:lang w:val="en-GB"/>
        </w:rPr>
        <w:t>modifier comme suit</w:t>
      </w:r>
      <w:r w:rsidRPr="00E56D45">
        <w:rPr>
          <w:lang w:val="en-GB"/>
        </w:rPr>
        <w:t xml:space="preserve">: </w:t>
      </w:r>
    </w:p>
    <w:p w:rsidR="007137A5" w:rsidRPr="00E56D45" w:rsidRDefault="006578C9" w:rsidP="006578C9">
      <w:pPr>
        <w:pStyle w:val="SingleTxtG"/>
        <w:keepNext/>
        <w:ind w:left="2268" w:hanging="1134"/>
        <w:rPr>
          <w:b/>
          <w:szCs w:val="24"/>
        </w:rPr>
      </w:pPr>
      <w:r>
        <w:rPr>
          <w:szCs w:val="24"/>
          <w:lang w:val="en-GB"/>
        </w:rPr>
        <w:t>«</w:t>
      </w:r>
      <w:r w:rsidR="007137A5" w:rsidRPr="00E56D45">
        <w:rPr>
          <w:szCs w:val="24"/>
          <w:lang w:val="en-GB"/>
        </w:rPr>
        <w:t>1.2.1.</w:t>
      </w:r>
      <w:r w:rsidR="007137A5" w:rsidRPr="00E56D45">
        <w:rPr>
          <w:szCs w:val="24"/>
          <w:lang w:val="en-GB"/>
        </w:rPr>
        <w:tab/>
      </w:r>
      <w:r w:rsidR="007137A5" w:rsidRPr="00E56D45">
        <w:rPr>
          <w:szCs w:val="24"/>
        </w:rPr>
        <w:t>T</w:t>
      </w:r>
      <w:r w:rsidR="007137A5">
        <w:t>errain d’essai</w:t>
      </w:r>
    </w:p>
    <w:p w:rsidR="007137A5" w:rsidRDefault="007137A5" w:rsidP="006578C9">
      <w:pPr>
        <w:pStyle w:val="SingleTxtG"/>
        <w:ind w:left="2268"/>
      </w:pPr>
      <w:r>
        <w:t>Le terrain d’essai doit être composé d’une piste d’accélération centrale entourée d’une zone d’essai pratiquement plane. La piste d’accélération doit être horizontale; son revêtement doit être sec et conçu de façon que le bruit de roulement reste faible.</w:t>
      </w:r>
    </w:p>
    <w:p w:rsidR="007137A5" w:rsidRPr="00E56D45" w:rsidRDefault="007137A5" w:rsidP="006578C9">
      <w:pPr>
        <w:pStyle w:val="SingleTxtG"/>
        <w:ind w:left="2268"/>
        <w:rPr>
          <w:b/>
          <w:szCs w:val="24"/>
        </w:rPr>
      </w:pPr>
      <w:r>
        <w:t>Sur le terrain d’essai, les variations d’un champ acoustique libre entre la source sonore au centre de la piste d’accélération et le microphone doivent être mainten</w:t>
      </w:r>
      <w:r w:rsidR="006578C9">
        <w:t>ues dans un écart de moins de 1 </w:t>
      </w:r>
      <w:r>
        <w:t>dB(A). Cette condition est considérée comme remplie s’il n’y a pas d’objets volumineux réfléchissant le son, tels que clôtures, rochers, ponts ou bâtiments</w:t>
      </w:r>
      <w:r w:rsidR="006578C9">
        <w:t>, à moins de 50 </w:t>
      </w:r>
      <w:r>
        <w:t xml:space="preserve">m du centre de la piste d’accélération. </w:t>
      </w:r>
      <w:r w:rsidRPr="00D535B4">
        <w:t>Le revêtement du terrain d’essai doit être conform</w:t>
      </w:r>
      <w:r w:rsidR="006B17A2">
        <w:t>e aux prescriptions de l’annexe </w:t>
      </w:r>
      <w:r w:rsidRPr="00D535B4">
        <w:t xml:space="preserve">4 ou </w:t>
      </w:r>
      <w:r>
        <w:t>à</w:t>
      </w:r>
      <w:r w:rsidRPr="00D535B4">
        <w:t xml:space="preserve"> la norme</w:t>
      </w:r>
      <w:r>
        <w:t xml:space="preserve"> </w:t>
      </w:r>
      <w:r w:rsidRPr="00E56D45">
        <w:rPr>
          <w:bCs/>
          <w:szCs w:val="24"/>
        </w:rPr>
        <w:t>ISO10844:2014</w:t>
      </w:r>
      <w:r w:rsidRPr="00E56D45">
        <w:rPr>
          <w:szCs w:val="24"/>
        </w:rPr>
        <w:t>.</w:t>
      </w:r>
    </w:p>
    <w:p w:rsidR="007137A5" w:rsidRPr="00E56D45" w:rsidRDefault="007137A5" w:rsidP="006578C9">
      <w:pPr>
        <w:pStyle w:val="SingleTxtG"/>
        <w:ind w:left="2268"/>
        <w:rPr>
          <w:szCs w:val="24"/>
        </w:rPr>
      </w:pPr>
      <w:r>
        <w:t>Aucun obstacle ne doit pouvoir perturber le champ acoustique au voisinage du microphone et personne ne doit se trouver entre le microphone et la source sonore. L’observateur chargé de faire les mesures doit se placer de façon à ne pas influencer les valeurs indiquées par l’appareil de mesure</w:t>
      </w:r>
      <w:r w:rsidR="006578C9">
        <w:t>»</w:t>
      </w:r>
      <w:r>
        <w:rPr>
          <w:szCs w:val="24"/>
        </w:rPr>
        <w:t>.</w:t>
      </w:r>
    </w:p>
    <w:p w:rsidR="007137A5" w:rsidRPr="00E56D45" w:rsidRDefault="007137A5" w:rsidP="00D44D23">
      <w:pPr>
        <w:pStyle w:val="SingleTxtG"/>
        <w:keepNext/>
        <w:ind w:left="2268" w:hanging="1134"/>
        <w:rPr>
          <w:i/>
          <w:iCs/>
          <w:szCs w:val="24"/>
          <w:lang w:val="en-GB"/>
        </w:rPr>
      </w:pPr>
      <w:r>
        <w:rPr>
          <w:i/>
          <w:iCs/>
          <w:szCs w:val="24"/>
          <w:lang w:val="en-GB"/>
        </w:rPr>
        <w:t>Annexe</w:t>
      </w:r>
      <w:r w:rsidR="00D44D23">
        <w:rPr>
          <w:i/>
          <w:iCs/>
          <w:szCs w:val="24"/>
          <w:lang w:val="en-GB"/>
        </w:rPr>
        <w:t> </w:t>
      </w:r>
      <w:r w:rsidRPr="00E56D45">
        <w:rPr>
          <w:i/>
          <w:iCs/>
          <w:szCs w:val="24"/>
          <w:lang w:val="en-GB"/>
        </w:rPr>
        <w:t>4</w:t>
      </w:r>
      <w:r w:rsidRPr="00D44D23">
        <w:t>,</w:t>
      </w:r>
    </w:p>
    <w:p w:rsidR="007137A5" w:rsidRPr="00E56D45" w:rsidRDefault="007137A5" w:rsidP="00EE6AC3">
      <w:pPr>
        <w:keepNext/>
        <w:kinsoku/>
        <w:overflowPunct/>
        <w:autoSpaceDE/>
        <w:autoSpaceDN/>
        <w:adjustRightInd/>
        <w:spacing w:after="120"/>
        <w:ind w:leftChars="567" w:left="1134" w:right="1134"/>
        <w:jc w:val="both"/>
        <w:rPr>
          <w:szCs w:val="24"/>
        </w:rPr>
      </w:pPr>
      <w:r w:rsidRPr="00E56D45">
        <w:rPr>
          <w:i/>
          <w:iCs/>
          <w:szCs w:val="24"/>
        </w:rPr>
        <w:t>A</w:t>
      </w:r>
      <w:r w:rsidRPr="00D535B4">
        <w:rPr>
          <w:i/>
          <w:iCs/>
          <w:szCs w:val="24"/>
        </w:rPr>
        <w:t>près le titre</w:t>
      </w:r>
      <w:r w:rsidRPr="00E56D45">
        <w:rPr>
          <w:i/>
          <w:iCs/>
          <w:szCs w:val="24"/>
        </w:rPr>
        <w:t xml:space="preserve">, </w:t>
      </w:r>
      <w:r>
        <w:t xml:space="preserve">insérer </w:t>
      </w:r>
      <w:r w:rsidR="00D44D23">
        <w:t>un appel de note de bas de page </w:t>
      </w:r>
      <w:r>
        <w:t>1 ainsi que la note correspondante, libellée comme suit:</w:t>
      </w:r>
    </w:p>
    <w:p w:rsidR="007137A5" w:rsidRPr="00E56D45" w:rsidRDefault="00EE6AC3" w:rsidP="00EE6AC3">
      <w:pPr>
        <w:pStyle w:val="SingleTxtG"/>
        <w:rPr>
          <w:szCs w:val="24"/>
        </w:rPr>
      </w:pPr>
      <w:r>
        <w:rPr>
          <w:szCs w:val="24"/>
        </w:rPr>
        <w:t>«</w:t>
      </w:r>
      <w:r w:rsidR="007137A5" w:rsidRPr="00F82A15">
        <w:rPr>
          <w:sz w:val="18"/>
          <w:szCs w:val="18"/>
          <w:vertAlign w:val="superscript"/>
        </w:rPr>
        <w:t xml:space="preserve">1 </w:t>
      </w:r>
      <w:r w:rsidRPr="00F82A15">
        <w:rPr>
          <w:sz w:val="18"/>
          <w:szCs w:val="18"/>
          <w:vertAlign w:val="superscript"/>
        </w:rPr>
        <w:t xml:space="preserve"> </w:t>
      </w:r>
      <w:r w:rsidR="007137A5" w:rsidRPr="00F82A15">
        <w:rPr>
          <w:sz w:val="18"/>
          <w:szCs w:val="18"/>
        </w:rPr>
        <w:t>Les caractéristiques du terrain d’essai reprises dans la présente annexe sont valables jusqu’au terme de la pé</w:t>
      </w:r>
      <w:r w:rsidRPr="00F82A15">
        <w:rPr>
          <w:sz w:val="18"/>
          <w:szCs w:val="18"/>
        </w:rPr>
        <w:t>riode indiquée au paragraphe </w:t>
      </w:r>
      <w:r w:rsidR="007137A5" w:rsidRPr="00F82A15">
        <w:rPr>
          <w:sz w:val="18"/>
          <w:szCs w:val="18"/>
        </w:rPr>
        <w:t>12.9</w:t>
      </w:r>
      <w:r>
        <w:rPr>
          <w:szCs w:val="24"/>
        </w:rPr>
        <w:t>»</w:t>
      </w:r>
      <w:r w:rsidR="007137A5">
        <w:rPr>
          <w:szCs w:val="24"/>
        </w:rPr>
        <w:t>.</w:t>
      </w:r>
    </w:p>
    <w:p w:rsidR="007137A5" w:rsidRPr="00E56D45" w:rsidRDefault="007137A5" w:rsidP="00EE6AC3">
      <w:pPr>
        <w:pStyle w:val="SingleTxtG"/>
        <w:rPr>
          <w:i/>
          <w:iCs/>
          <w:szCs w:val="24"/>
        </w:rPr>
      </w:pPr>
      <w:r w:rsidRPr="00CA51B7">
        <w:rPr>
          <w:i/>
          <w:iCs/>
          <w:szCs w:val="24"/>
        </w:rPr>
        <w:t>Paragraphe</w:t>
      </w:r>
      <w:r w:rsidR="00EE6AC3">
        <w:rPr>
          <w:i/>
          <w:iCs/>
          <w:szCs w:val="24"/>
        </w:rPr>
        <w:t> </w:t>
      </w:r>
      <w:r w:rsidRPr="00E56D45">
        <w:rPr>
          <w:i/>
          <w:iCs/>
          <w:szCs w:val="24"/>
        </w:rPr>
        <w:t xml:space="preserve">1, </w:t>
      </w:r>
      <w:r w:rsidR="00EE6AC3">
        <w:rPr>
          <w:i/>
        </w:rPr>
        <w:t>l’appel de note 1 devient l’appel de note </w:t>
      </w:r>
      <w:r w:rsidRPr="00CA51B7">
        <w:rPr>
          <w:i/>
        </w:rPr>
        <w:t>2 et le numéro de la note correspondante est modifié en conséquence.</w:t>
      </w:r>
    </w:p>
    <w:p w:rsidR="007137A5" w:rsidRPr="00E56D45" w:rsidRDefault="007137A5" w:rsidP="00EE6AC3">
      <w:pPr>
        <w:pStyle w:val="SingleTxtG"/>
        <w:rPr>
          <w:i/>
          <w:iCs/>
          <w:szCs w:val="24"/>
        </w:rPr>
      </w:pPr>
      <w:r w:rsidRPr="00CA51B7">
        <w:rPr>
          <w:i/>
          <w:iCs/>
          <w:szCs w:val="24"/>
        </w:rPr>
        <w:t>Paragraphe</w:t>
      </w:r>
      <w:r w:rsidR="00EE6AC3">
        <w:rPr>
          <w:i/>
          <w:iCs/>
          <w:szCs w:val="24"/>
        </w:rPr>
        <w:t> </w:t>
      </w:r>
      <w:r w:rsidRPr="00E56D45">
        <w:rPr>
          <w:i/>
          <w:iCs/>
          <w:szCs w:val="24"/>
        </w:rPr>
        <w:t xml:space="preserve">2.2, </w:t>
      </w:r>
      <w:r w:rsidR="00EE6AC3">
        <w:rPr>
          <w:i/>
        </w:rPr>
        <w:t>l’appel de note </w:t>
      </w:r>
      <w:r>
        <w:rPr>
          <w:i/>
        </w:rPr>
        <w:t>2</w:t>
      </w:r>
      <w:r w:rsidR="00EE6AC3">
        <w:rPr>
          <w:i/>
        </w:rPr>
        <w:t xml:space="preserve"> devient l’appel de note </w:t>
      </w:r>
      <w:r>
        <w:rPr>
          <w:i/>
        </w:rPr>
        <w:t>3</w:t>
      </w:r>
      <w:r w:rsidRPr="00CA51B7">
        <w:rPr>
          <w:i/>
        </w:rPr>
        <w:t xml:space="preserve"> et le numéro de la note correspondante est modifié en conséquence</w:t>
      </w:r>
      <w:r w:rsidRPr="00E56D45">
        <w:rPr>
          <w:i/>
          <w:iCs/>
          <w:szCs w:val="24"/>
        </w:rPr>
        <w:t>.</w:t>
      </w:r>
    </w:p>
    <w:p w:rsidR="007137A5" w:rsidRDefault="007137A5" w:rsidP="006927D6">
      <w:pPr>
        <w:pStyle w:val="SingleTxtG"/>
        <w:keepNext/>
        <w:rPr>
          <w:rFonts w:eastAsia="MS PGothic"/>
          <w:lang w:eastAsia="ja-JP"/>
        </w:rPr>
      </w:pPr>
      <w:r w:rsidRPr="006927D6">
        <w:rPr>
          <w:rFonts w:eastAsia="MS PGothic"/>
          <w:i/>
          <w:lang w:eastAsia="ja-JP"/>
        </w:rPr>
        <w:t>Annexe</w:t>
      </w:r>
      <w:r w:rsidR="006927D6" w:rsidRPr="006927D6">
        <w:rPr>
          <w:rFonts w:eastAsia="MS PGothic"/>
          <w:i/>
          <w:lang w:eastAsia="ja-JP"/>
        </w:rPr>
        <w:t> </w:t>
      </w:r>
      <w:r w:rsidRPr="006927D6">
        <w:rPr>
          <w:rFonts w:eastAsia="MS PGothic"/>
          <w:i/>
          <w:lang w:eastAsia="ja-JP"/>
        </w:rPr>
        <w:t>7, paragraphe</w:t>
      </w:r>
      <w:r w:rsidR="006927D6">
        <w:rPr>
          <w:rFonts w:eastAsia="MS PGothic"/>
          <w:i/>
          <w:lang w:eastAsia="ja-JP"/>
        </w:rPr>
        <w:t> </w:t>
      </w:r>
      <w:r w:rsidRPr="006927D6">
        <w:rPr>
          <w:rFonts w:eastAsia="MS PGothic"/>
          <w:i/>
          <w:lang w:eastAsia="ja-JP"/>
        </w:rPr>
        <w:t>3.2.3</w:t>
      </w:r>
      <w:r w:rsidRPr="00E56D45">
        <w:rPr>
          <w:rFonts w:eastAsia="MS PGothic"/>
          <w:lang w:eastAsia="ja-JP"/>
        </w:rPr>
        <w:t xml:space="preserve">, </w:t>
      </w:r>
      <w:r w:rsidRPr="005F22B7">
        <w:rPr>
          <w:rFonts w:eastAsia="MS PGothic"/>
          <w:lang w:eastAsia="ja-JP"/>
        </w:rPr>
        <w:t>modifier comme suit</w:t>
      </w:r>
      <w:r w:rsidRPr="00E56D45">
        <w:rPr>
          <w:rFonts w:eastAsia="MS PGothic"/>
          <w:lang w:eastAsia="ja-JP"/>
        </w:rPr>
        <w:t>:</w:t>
      </w:r>
    </w:p>
    <w:p w:rsidR="007137A5" w:rsidRPr="00E56D45" w:rsidRDefault="00EE6AC3" w:rsidP="00EE6AC3">
      <w:pPr>
        <w:pStyle w:val="SingleTxtG"/>
        <w:keepNext/>
        <w:ind w:left="2268" w:hanging="1134"/>
        <w:rPr>
          <w:rFonts w:eastAsia="MS PGothic"/>
          <w:kern w:val="2"/>
          <w:szCs w:val="24"/>
          <w:lang w:eastAsia="ja-JP"/>
        </w:rPr>
      </w:pPr>
      <w:r>
        <w:rPr>
          <w:rFonts w:eastAsia="MS PGothic"/>
          <w:kern w:val="2"/>
          <w:szCs w:val="24"/>
          <w:lang w:eastAsia="ja-JP"/>
        </w:rPr>
        <w:t>«</w:t>
      </w:r>
      <w:r w:rsidR="007137A5" w:rsidRPr="00E56D45">
        <w:rPr>
          <w:rFonts w:eastAsia="MS PGothic"/>
          <w:kern w:val="2"/>
          <w:szCs w:val="24"/>
          <w:lang w:eastAsia="ja-JP"/>
        </w:rPr>
        <w:t xml:space="preserve">3.2.3 </w:t>
      </w:r>
      <w:r w:rsidR="007137A5" w:rsidRPr="00E56D45">
        <w:rPr>
          <w:rFonts w:eastAsia="MS PGothic"/>
          <w:kern w:val="2"/>
          <w:szCs w:val="24"/>
          <w:lang w:eastAsia="ja-JP"/>
        </w:rPr>
        <w:tab/>
      </w:r>
      <w:r w:rsidR="007137A5">
        <w:t>Traitement et communication des données</w:t>
      </w:r>
    </w:p>
    <w:p w:rsidR="007137A5" w:rsidRPr="00E56D45" w:rsidRDefault="00EE6AC3" w:rsidP="00EE6AC3">
      <w:pPr>
        <w:pStyle w:val="SingleTxtG"/>
        <w:ind w:left="2268"/>
        <w:rPr>
          <w:rFonts w:eastAsia="MS PGothic"/>
          <w:kern w:val="2"/>
          <w:szCs w:val="24"/>
          <w:lang w:eastAsia="ja-JP"/>
        </w:rPr>
      </w:pPr>
      <w:r>
        <w:t>Les prescriptions du paragraphe 1.4 de l’annexe </w:t>
      </w:r>
      <w:r w:rsidR="007137A5">
        <w:t xml:space="preserve">3 doivent être </w:t>
      </w:r>
      <w:r w:rsidR="007137A5">
        <w:tab/>
        <w:t>respectées.</w:t>
      </w:r>
    </w:p>
    <w:p w:rsidR="007137A5" w:rsidRDefault="007137A5" w:rsidP="00EE6AC3">
      <w:pPr>
        <w:pStyle w:val="SingleTxtG"/>
        <w:ind w:left="2268"/>
      </w:pPr>
      <w:r>
        <w:t>En outre, les valeurs du régime du moteur relevées au franchissement des lignes AA’, BB’ et PP’, exprimées en min-1 doivent être arrondies au chiffre entier le plus proche en vue de calculs ultérieurs. Pour chaque type d’essai, il</w:t>
      </w:r>
      <w:r w:rsidR="00EE6AC3">
        <w:t> </w:t>
      </w:r>
      <w:r>
        <w:t>faut calculer la moyenne arithmétique des trois valeurs de régime du moteur relevées.</w:t>
      </w:r>
    </w:p>
    <w:p w:rsidR="007137A5" w:rsidRPr="00E56D45" w:rsidRDefault="007137A5" w:rsidP="00EE6AC3">
      <w:pPr>
        <w:pStyle w:val="SingleTxtG"/>
        <w:ind w:left="2268"/>
        <w:rPr>
          <w:rFonts w:eastAsia="MS PGothic"/>
          <w:kern w:val="2"/>
          <w:szCs w:val="24"/>
          <w:lang w:eastAsia="ja-JP"/>
        </w:rPr>
      </w:pPr>
      <w:r>
        <w:t>Les niveaux finals de pression acoustique pour l’accélération à pleins gaz ne doivent pas dépasser les</w:t>
      </w:r>
      <w:r w:rsidR="00EE6AC3">
        <w:t xml:space="preserve"> limites définies au paragraphe </w:t>
      </w:r>
      <w:r>
        <w:t>2.6 ci-dessus</w:t>
      </w:r>
      <w:r w:rsidR="00EE6AC3">
        <w:t>»</w:t>
      </w:r>
      <w:r>
        <w:rPr>
          <w:rFonts w:eastAsia="MS PGothic"/>
          <w:kern w:val="2"/>
          <w:szCs w:val="24"/>
          <w:lang w:eastAsia="ja-JP"/>
        </w:rPr>
        <w:t>.</w:t>
      </w:r>
    </w:p>
    <w:p w:rsidR="00F9573C" w:rsidRPr="00EE6AC3" w:rsidRDefault="00EE6AC3" w:rsidP="00EE6AC3">
      <w:pPr>
        <w:pStyle w:val="SingleTxtG"/>
        <w:spacing w:before="240" w:after="0"/>
        <w:jc w:val="center"/>
        <w:rPr>
          <w:u w:val="single"/>
        </w:rPr>
      </w:pPr>
      <w:r>
        <w:rPr>
          <w:u w:val="single"/>
        </w:rPr>
        <w:tab/>
      </w:r>
      <w:r>
        <w:rPr>
          <w:u w:val="single"/>
        </w:rPr>
        <w:tab/>
      </w:r>
      <w:r>
        <w:rPr>
          <w:u w:val="single"/>
        </w:rPr>
        <w:tab/>
      </w:r>
    </w:p>
    <w:sectPr w:rsidR="00F9573C" w:rsidRPr="00EE6AC3" w:rsidSect="00174907">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A0E" w:rsidRDefault="00F82A0E" w:rsidP="00F95C08">
      <w:pPr>
        <w:spacing w:line="240" w:lineRule="auto"/>
      </w:pPr>
    </w:p>
  </w:endnote>
  <w:endnote w:type="continuationSeparator" w:id="0">
    <w:p w:rsidR="00F82A0E" w:rsidRPr="00AC3823" w:rsidRDefault="00F82A0E" w:rsidP="00AC3823">
      <w:pPr>
        <w:pStyle w:val="Footer"/>
      </w:pPr>
    </w:p>
  </w:endnote>
  <w:endnote w:type="continuationNotice" w:id="1">
    <w:p w:rsidR="00F82A0E" w:rsidRDefault="00F82A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907" w:rsidRPr="00174907" w:rsidRDefault="00174907" w:rsidP="00174907">
    <w:pPr>
      <w:pStyle w:val="Footer"/>
      <w:tabs>
        <w:tab w:val="right" w:pos="9638"/>
      </w:tabs>
    </w:pPr>
    <w:r w:rsidRPr="00174907">
      <w:rPr>
        <w:b/>
        <w:sz w:val="18"/>
      </w:rPr>
      <w:fldChar w:fldCharType="begin"/>
    </w:r>
    <w:r w:rsidRPr="00174907">
      <w:rPr>
        <w:b/>
        <w:sz w:val="18"/>
      </w:rPr>
      <w:instrText xml:space="preserve"> PAGE  \* MERGEFORMAT </w:instrText>
    </w:r>
    <w:r w:rsidRPr="00174907">
      <w:rPr>
        <w:b/>
        <w:sz w:val="18"/>
      </w:rPr>
      <w:fldChar w:fldCharType="separate"/>
    </w:r>
    <w:r w:rsidR="001533F9">
      <w:rPr>
        <w:b/>
        <w:noProof/>
        <w:sz w:val="18"/>
      </w:rPr>
      <w:t>2</w:t>
    </w:r>
    <w:r w:rsidRPr="00174907">
      <w:rPr>
        <w:b/>
        <w:sz w:val="18"/>
      </w:rPr>
      <w:fldChar w:fldCharType="end"/>
    </w:r>
    <w:r>
      <w:rPr>
        <w:b/>
        <w:sz w:val="18"/>
      </w:rPr>
      <w:tab/>
    </w:r>
    <w:r>
      <w:t>GE.15-07452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907" w:rsidRPr="00174907" w:rsidRDefault="00174907" w:rsidP="00174907">
    <w:pPr>
      <w:pStyle w:val="Footer"/>
      <w:tabs>
        <w:tab w:val="right" w:pos="9638"/>
      </w:tabs>
      <w:rPr>
        <w:b/>
        <w:sz w:val="18"/>
      </w:rPr>
    </w:pPr>
    <w:r>
      <w:t>GE.15-07452</w:t>
    </w:r>
    <w:r>
      <w:tab/>
    </w:r>
    <w:r w:rsidRPr="00174907">
      <w:rPr>
        <w:b/>
        <w:sz w:val="18"/>
      </w:rPr>
      <w:fldChar w:fldCharType="begin"/>
    </w:r>
    <w:r w:rsidRPr="00174907">
      <w:rPr>
        <w:b/>
        <w:sz w:val="18"/>
      </w:rPr>
      <w:instrText xml:space="preserve"> PAGE  \* MERGEFORMAT </w:instrText>
    </w:r>
    <w:r w:rsidRPr="00174907">
      <w:rPr>
        <w:b/>
        <w:sz w:val="18"/>
      </w:rPr>
      <w:fldChar w:fldCharType="separate"/>
    </w:r>
    <w:r w:rsidR="001533F9">
      <w:rPr>
        <w:b/>
        <w:noProof/>
        <w:sz w:val="18"/>
      </w:rPr>
      <w:t>3</w:t>
    </w:r>
    <w:r w:rsidRPr="0017490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174907" w:rsidRDefault="00174907" w:rsidP="00174907">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4ACE66E3" wp14:editId="6B4DE901">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15-07452  (F)    080515    080515</w:t>
    </w:r>
    <w:r>
      <w:rPr>
        <w:sz w:val="20"/>
      </w:rPr>
      <w:br/>
    </w:r>
    <w:r w:rsidRPr="00174907">
      <w:rPr>
        <w:rFonts w:ascii="C39T30Lfz" w:hAnsi="C39T30Lfz"/>
        <w:sz w:val="56"/>
      </w:rPr>
      <w:t></w:t>
    </w:r>
    <w:r w:rsidRPr="00174907">
      <w:rPr>
        <w:rFonts w:ascii="C39T30Lfz" w:hAnsi="C39T30Lfz"/>
        <w:sz w:val="56"/>
      </w:rPr>
      <w:t></w:t>
    </w:r>
    <w:r w:rsidRPr="00174907">
      <w:rPr>
        <w:rFonts w:ascii="C39T30Lfz" w:hAnsi="C39T30Lfz"/>
        <w:sz w:val="56"/>
      </w:rPr>
      <w:t></w:t>
    </w:r>
    <w:r w:rsidRPr="00174907">
      <w:rPr>
        <w:rFonts w:ascii="C39T30Lfz" w:hAnsi="C39T30Lfz"/>
        <w:sz w:val="56"/>
      </w:rPr>
      <w:t></w:t>
    </w:r>
    <w:r w:rsidRPr="00174907">
      <w:rPr>
        <w:rFonts w:ascii="C39T30Lfz" w:hAnsi="C39T30Lfz"/>
        <w:sz w:val="56"/>
      </w:rPr>
      <w:t></w:t>
    </w:r>
    <w:r w:rsidRPr="00174907">
      <w:rPr>
        <w:rFonts w:ascii="C39T30Lfz" w:hAnsi="C39T30Lfz"/>
        <w:sz w:val="56"/>
      </w:rPr>
      <w:t></w:t>
    </w:r>
    <w:r w:rsidRPr="00174907">
      <w:rPr>
        <w:rFonts w:ascii="C39T30Lfz" w:hAnsi="C39T30Lfz"/>
        <w:sz w:val="56"/>
      </w:rPr>
      <w:t></w:t>
    </w:r>
    <w:r w:rsidRPr="00174907">
      <w:rPr>
        <w:rFonts w:ascii="C39T30Lfz" w:hAnsi="C39T30Lfz"/>
        <w:sz w:val="56"/>
      </w:rPr>
      <w:t></w:t>
    </w:r>
    <w:r w:rsidRPr="00174907">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65FD08E1" wp14:editId="374A9B39">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5/6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5/6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A0E" w:rsidRPr="00AC3823" w:rsidRDefault="00F82A0E" w:rsidP="00AC3823">
      <w:pPr>
        <w:pStyle w:val="Footer"/>
        <w:tabs>
          <w:tab w:val="right" w:pos="2155"/>
        </w:tabs>
        <w:spacing w:after="80" w:line="240" w:lineRule="atLeast"/>
        <w:ind w:left="680"/>
        <w:rPr>
          <w:u w:val="single"/>
        </w:rPr>
      </w:pPr>
      <w:r>
        <w:rPr>
          <w:u w:val="single"/>
        </w:rPr>
        <w:tab/>
      </w:r>
    </w:p>
  </w:footnote>
  <w:footnote w:type="continuationSeparator" w:id="0">
    <w:p w:rsidR="00F82A0E" w:rsidRPr="00AC3823" w:rsidRDefault="00F82A0E" w:rsidP="00AC3823">
      <w:pPr>
        <w:pStyle w:val="Footer"/>
        <w:tabs>
          <w:tab w:val="right" w:pos="2155"/>
        </w:tabs>
        <w:spacing w:after="80" w:line="240" w:lineRule="atLeast"/>
        <w:ind w:left="680"/>
        <w:rPr>
          <w:u w:val="single"/>
        </w:rPr>
      </w:pPr>
      <w:r>
        <w:rPr>
          <w:u w:val="single"/>
        </w:rPr>
        <w:tab/>
      </w:r>
    </w:p>
  </w:footnote>
  <w:footnote w:type="continuationNotice" w:id="1">
    <w:p w:rsidR="00F82A0E" w:rsidRPr="00AC3823" w:rsidRDefault="00F82A0E">
      <w:pPr>
        <w:spacing w:line="240" w:lineRule="auto"/>
        <w:rPr>
          <w:sz w:val="2"/>
          <w:szCs w:val="2"/>
        </w:rPr>
      </w:pPr>
    </w:p>
  </w:footnote>
  <w:footnote w:id="2">
    <w:p w:rsidR="007137A5" w:rsidRPr="008E3548" w:rsidRDefault="007137A5" w:rsidP="007137A5">
      <w:pPr>
        <w:pStyle w:val="FootnoteText"/>
      </w:pPr>
      <w:r w:rsidRPr="007137A5">
        <w:tab/>
        <w:t>*</w:t>
      </w:r>
      <w:r w:rsidRPr="008E3548">
        <w:rPr>
          <w:rStyle w:val="FootnoteReference"/>
          <w:sz w:val="20"/>
        </w:rPr>
        <w:tab/>
      </w:r>
      <w:r>
        <w:t>Conformément au programme de travail du Comité des transports intérieurs pour la période 2012</w:t>
      </w:r>
      <w:r>
        <w:noBreakHyphen/>
        <w:t>2016 (ECE/TRANS/224, par. 94, et ECE/TRANS/2012/12, activité 02.4), le Forum mondial élabore, harmonise et actualise les Règlements, afin d’améliorer les caractéristiques fonctionnelles des véhicules</w:t>
      </w:r>
      <w:r w:rsidRPr="008E3548">
        <w:t xml:space="preserve">. </w:t>
      </w:r>
      <w:r>
        <w:t>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907" w:rsidRPr="00174907" w:rsidRDefault="00174907">
    <w:pPr>
      <w:pStyle w:val="Header"/>
    </w:pPr>
    <w:r>
      <w:t>ECE/TRANS/WP.29/2015/61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907" w:rsidRPr="00174907" w:rsidRDefault="00174907" w:rsidP="00174907">
    <w:pPr>
      <w:pStyle w:val="Header"/>
      <w:jc w:val="right"/>
    </w:pPr>
    <w:r>
      <w:t>ECE/TRANS/WP.29/2015/61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A0E"/>
    <w:rsid w:val="00017F94"/>
    <w:rsid w:val="00023842"/>
    <w:rsid w:val="000334F9"/>
    <w:rsid w:val="0007796D"/>
    <w:rsid w:val="00085841"/>
    <w:rsid w:val="000B7790"/>
    <w:rsid w:val="000C1169"/>
    <w:rsid w:val="00111F2F"/>
    <w:rsid w:val="00134A0B"/>
    <w:rsid w:val="0014365E"/>
    <w:rsid w:val="00143C66"/>
    <w:rsid w:val="001533F9"/>
    <w:rsid w:val="00174907"/>
    <w:rsid w:val="00176178"/>
    <w:rsid w:val="00180366"/>
    <w:rsid w:val="001F525A"/>
    <w:rsid w:val="00223272"/>
    <w:rsid w:val="0024779E"/>
    <w:rsid w:val="00257168"/>
    <w:rsid w:val="002744B8"/>
    <w:rsid w:val="002832AC"/>
    <w:rsid w:val="002D7C93"/>
    <w:rsid w:val="00305801"/>
    <w:rsid w:val="003916DE"/>
    <w:rsid w:val="00424C74"/>
    <w:rsid w:val="00441C3B"/>
    <w:rsid w:val="00446FE5"/>
    <w:rsid w:val="00452396"/>
    <w:rsid w:val="004837D8"/>
    <w:rsid w:val="004E0351"/>
    <w:rsid w:val="004E0B75"/>
    <w:rsid w:val="004E468C"/>
    <w:rsid w:val="005505B7"/>
    <w:rsid w:val="00573BE5"/>
    <w:rsid w:val="00586ED3"/>
    <w:rsid w:val="00596AA9"/>
    <w:rsid w:val="005B445D"/>
    <w:rsid w:val="006578C9"/>
    <w:rsid w:val="006927D6"/>
    <w:rsid w:val="006B17A2"/>
    <w:rsid w:val="007137A5"/>
    <w:rsid w:val="0071601D"/>
    <w:rsid w:val="007A486E"/>
    <w:rsid w:val="007A62E6"/>
    <w:rsid w:val="007F20FA"/>
    <w:rsid w:val="0080684C"/>
    <w:rsid w:val="00832F0F"/>
    <w:rsid w:val="00852574"/>
    <w:rsid w:val="00871C75"/>
    <w:rsid w:val="008776DC"/>
    <w:rsid w:val="00896062"/>
    <w:rsid w:val="009705C8"/>
    <w:rsid w:val="009C1CF4"/>
    <w:rsid w:val="009F6B74"/>
    <w:rsid w:val="00A30353"/>
    <w:rsid w:val="00A30E21"/>
    <w:rsid w:val="00AC3823"/>
    <w:rsid w:val="00AE323C"/>
    <w:rsid w:val="00AF0CB5"/>
    <w:rsid w:val="00B00181"/>
    <w:rsid w:val="00B00B0D"/>
    <w:rsid w:val="00B237B5"/>
    <w:rsid w:val="00B765F7"/>
    <w:rsid w:val="00BA0CA9"/>
    <w:rsid w:val="00C02897"/>
    <w:rsid w:val="00C862F5"/>
    <w:rsid w:val="00CC53F4"/>
    <w:rsid w:val="00D3439C"/>
    <w:rsid w:val="00D44D23"/>
    <w:rsid w:val="00DA1E82"/>
    <w:rsid w:val="00DB1831"/>
    <w:rsid w:val="00DD3BFD"/>
    <w:rsid w:val="00DF6678"/>
    <w:rsid w:val="00E60C13"/>
    <w:rsid w:val="00E85C74"/>
    <w:rsid w:val="00EA6547"/>
    <w:rsid w:val="00EE1CEF"/>
    <w:rsid w:val="00EE6AC3"/>
    <w:rsid w:val="00EF2E22"/>
    <w:rsid w:val="00F32F8E"/>
    <w:rsid w:val="00F35BAF"/>
    <w:rsid w:val="00F660DF"/>
    <w:rsid w:val="00F82A0E"/>
    <w:rsid w:val="00F82A15"/>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4415</Characters>
  <Application>Microsoft Office Word</Application>
  <DocSecurity>4</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ECE/TRANS/WP.29/2015/61</vt:lpstr>
      <vt:lpstr>ECE/TRANS/WP.29/2015/61</vt:lpstr>
    </vt:vector>
  </TitlesOfParts>
  <Company>DCM</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ECE/TRANS/WP.29/2015/61</dc:title>
  <dc:creator>Granet C.</dc:creator>
  <cp:lastModifiedBy>Benedicte Boudol</cp:lastModifiedBy>
  <cp:revision>2</cp:revision>
  <cp:lastPrinted>2015-05-08T12:44:00Z</cp:lastPrinted>
  <dcterms:created xsi:type="dcterms:W3CDTF">2015-05-15T13:31:00Z</dcterms:created>
  <dcterms:modified xsi:type="dcterms:W3CDTF">2015-05-15T13:31:00Z</dcterms:modified>
</cp:coreProperties>
</file>