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57EC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C57ECC">
              <w:rPr>
                <w:lang w:val="en-GB"/>
              </w:rPr>
              <w:t>79</w:t>
            </w:r>
          </w:p>
        </w:tc>
      </w:tr>
      <w:tr w:rsidR="00AF2205" w:rsidRPr="00F05AED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F05AED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3740" cy="581660"/>
                  <wp:effectExtent l="0" t="0" r="0" b="889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26459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4E7423">
              <w:rPr>
                <w:lang w:val="en-GB"/>
              </w:rPr>
              <w:t xml:space="preserve"> </w:t>
            </w:r>
            <w:r w:rsidR="00623C50">
              <w:rPr>
                <w:lang w:val="en-GB"/>
              </w:rPr>
              <w:t>August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52F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A52FB9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A52FB9">
        <w:rPr>
          <w:lang w:val="en-US"/>
        </w:rPr>
        <w:t>10</w:t>
      </w:r>
      <w:r w:rsidR="004E7423">
        <w:rPr>
          <w:lang w:val="en-US"/>
        </w:rPr>
        <w:t xml:space="preserve">-13 </w:t>
      </w:r>
      <w:r w:rsidR="00A52FB9">
        <w:rPr>
          <w:lang w:val="en-US"/>
        </w:rPr>
        <w:t>November</w:t>
      </w:r>
      <w:r w:rsidR="004E7423">
        <w:rPr>
          <w:lang w:val="en-US"/>
        </w:rPr>
        <w:t xml:space="preserve"> 2015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57ECC">
        <w:rPr>
          <w:lang w:val="en-GB"/>
        </w:rPr>
        <w:t>6</w:t>
      </w:r>
      <w:r w:rsidR="00A90EA8">
        <w:rPr>
          <w:lang w:val="en-GB"/>
        </w:rPr>
        <w:t>.</w:t>
      </w:r>
      <w:r w:rsidR="0040554A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GR</w:t>
      </w:r>
      <w:r w:rsidR="00C57ECC">
        <w:rPr>
          <w:b/>
          <w:lang w:val="en-GB"/>
        </w:rPr>
        <w:t>E</w:t>
      </w:r>
    </w:p>
    <w:p w:rsidR="002873BA" w:rsidRPr="00A90EA8" w:rsidRDefault="00C57ECC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C57ECC">
        <w:rPr>
          <w:lang w:val="en-GB"/>
        </w:rPr>
        <w:t>Proposal for Corrigendum 1 to Supplement 8 to the 01 series of amendments to Regulation No. 74 (Installation of lighting and light-signalling devices (mopeds))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C57ECC">
        <w:rPr>
          <w:b/>
          <w:sz w:val="24"/>
          <w:lang w:val="en-GB"/>
        </w:rPr>
        <w:t>Lighting and Light-Signalling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b/>
          <w:lang w:val="en-GB"/>
        </w:rPr>
      </w:pPr>
      <w:r w:rsidRPr="00A90EA8">
        <w:rPr>
          <w:lang w:val="en-GB"/>
        </w:rPr>
        <w:t xml:space="preserve">The text reproduced below was adopted by the </w:t>
      </w:r>
      <w:r w:rsidR="00C57ECC" w:rsidRPr="00C57ECC">
        <w:rPr>
          <w:lang w:val="en-GB"/>
        </w:rPr>
        <w:t xml:space="preserve">Working Party on Lighting and Light-Signalling </w:t>
      </w:r>
      <w:r w:rsidRPr="00A90EA8">
        <w:rPr>
          <w:lang w:val="en-GB"/>
        </w:rPr>
        <w:t>(GR</w:t>
      </w:r>
      <w:r w:rsidR="00C57ECC">
        <w:rPr>
          <w:lang w:val="en-GB"/>
        </w:rPr>
        <w:t>E</w:t>
      </w:r>
      <w:r w:rsidRPr="00A90EA8">
        <w:rPr>
          <w:lang w:val="en-GB"/>
        </w:rPr>
        <w:t xml:space="preserve">) at its </w:t>
      </w:r>
      <w:r w:rsidR="00C57ECC">
        <w:rPr>
          <w:lang w:val="en-GB"/>
        </w:rPr>
        <w:t xml:space="preserve">seventy-third </w:t>
      </w:r>
      <w:r w:rsidRPr="00A90EA8">
        <w:rPr>
          <w:lang w:val="en-GB"/>
        </w:rPr>
        <w:t>session (</w:t>
      </w:r>
      <w:r w:rsidR="00C57ECC" w:rsidRPr="00C57ECC">
        <w:rPr>
          <w:lang w:val="en-GB"/>
        </w:rPr>
        <w:t>ECE/TRANS/WP.29/GRE/73, para. 49</w:t>
      </w:r>
      <w:r w:rsidR="00C57ECC">
        <w:rPr>
          <w:lang w:val="en-GB"/>
        </w:rPr>
        <w:t xml:space="preserve">). It is based on </w:t>
      </w:r>
      <w:r w:rsidR="00C57ECC" w:rsidRPr="00C57ECC">
        <w:rPr>
          <w:lang w:val="en-GB"/>
        </w:rPr>
        <w:t>Annex II to ECE/TRANS/WP.29/GRE/73</w:t>
      </w:r>
      <w:r w:rsidR="00C57ECC">
        <w:rPr>
          <w:lang w:val="en-GB"/>
        </w:rPr>
        <w:t xml:space="preserve"> </w:t>
      </w:r>
      <w:r w:rsidR="00623C50">
        <w:rPr>
          <w:lang w:val="en-GB"/>
        </w:rPr>
        <w:t>and</w:t>
      </w:r>
      <w:r w:rsidRPr="00A90EA8">
        <w:rPr>
          <w:lang w:val="en-GB"/>
        </w:rPr>
        <w:t xml:space="preserve">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A52FB9">
        <w:rPr>
          <w:lang w:val="en-GB"/>
        </w:rPr>
        <w:t>November</w:t>
      </w:r>
      <w:r w:rsidR="000A2C0C">
        <w:rPr>
          <w:lang w:val="en-GB"/>
        </w:rPr>
        <w:t xml:space="preserve"> 2015 sessions</w:t>
      </w:r>
      <w:r>
        <w:rPr>
          <w:lang w:val="en-GB"/>
        </w:rPr>
        <w:t>.</w:t>
      </w:r>
    </w:p>
    <w:p w:rsidR="00C322A0" w:rsidRPr="00C322A0" w:rsidRDefault="00293F81" w:rsidP="00EE0A2B">
      <w:pPr>
        <w:spacing w:after="120" w:line="240" w:lineRule="auto"/>
        <w:ind w:left="1134" w:right="1134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B84AD6" w:rsidRPr="00B84AD6" w:rsidRDefault="00B84AD6" w:rsidP="00B84AD6">
      <w:pPr>
        <w:spacing w:after="120" w:line="240" w:lineRule="auto"/>
        <w:ind w:left="1134" w:right="1134"/>
        <w:jc w:val="both"/>
        <w:rPr>
          <w:lang w:val="en-US"/>
        </w:rPr>
      </w:pPr>
      <w:r w:rsidRPr="00B84AD6">
        <w:rPr>
          <w:i/>
          <w:lang w:val="en-US"/>
        </w:rPr>
        <w:lastRenderedPageBreak/>
        <w:t>Paragraph 5.13.</w:t>
      </w:r>
      <w:r w:rsidRPr="00B84AD6">
        <w:rPr>
          <w:lang w:val="en-US"/>
        </w:rPr>
        <w:t xml:space="preserve">, </w:t>
      </w:r>
      <w:r w:rsidR="00C24F54">
        <w:rPr>
          <w:lang w:val="en-US"/>
        </w:rPr>
        <w:t>correct</w:t>
      </w:r>
      <w:bookmarkStart w:id="0" w:name="_GoBack"/>
      <w:bookmarkEnd w:id="0"/>
      <w:r w:rsidRPr="00B84AD6">
        <w:rPr>
          <w:lang w:val="en-US"/>
        </w:rPr>
        <w:t xml:space="preserve"> to read (footnote 3 remains unchanged):</w:t>
      </w:r>
    </w:p>
    <w:p w:rsidR="00B84AD6" w:rsidRPr="00B84AD6" w:rsidRDefault="00B84AD6" w:rsidP="00B84AD6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B84AD6">
        <w:rPr>
          <w:lang w:val="en-US"/>
        </w:rPr>
        <w:t xml:space="preserve">"5.13. </w:t>
      </w:r>
      <w:r w:rsidRPr="00B84AD6">
        <w:rPr>
          <w:lang w:val="en-US"/>
        </w:rPr>
        <w:tab/>
      </w:r>
      <w:proofErr w:type="spellStart"/>
      <w:r w:rsidRPr="00B84AD6">
        <w:rPr>
          <w:lang w:val="en-US"/>
        </w:rPr>
        <w:t>Colours</w:t>
      </w:r>
      <w:proofErr w:type="spellEnd"/>
      <w:r w:rsidRPr="00B84AD6">
        <w:rPr>
          <w:lang w:val="en-US"/>
        </w:rPr>
        <w:t xml:space="preserve"> of the lights</w:t>
      </w:r>
      <w:r w:rsidRPr="00B84AD6">
        <w:rPr>
          <w:sz w:val="18"/>
          <w:szCs w:val="18"/>
          <w:vertAlign w:val="superscript"/>
          <w:lang w:val="en-US"/>
        </w:rPr>
        <w:t>3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The </w:t>
      </w:r>
      <w:proofErr w:type="spellStart"/>
      <w:r w:rsidRPr="00B84AD6">
        <w:rPr>
          <w:lang w:val="en-US"/>
        </w:rPr>
        <w:t>colours</w:t>
      </w:r>
      <w:proofErr w:type="spellEnd"/>
      <w:r w:rsidRPr="00B84AD6">
        <w:rPr>
          <w:lang w:val="en-US"/>
        </w:rPr>
        <w:t xml:space="preserve"> of the lights referred to in this Regulation shall be as follows:</w:t>
      </w:r>
    </w:p>
    <w:p w:rsidR="00B84AD6" w:rsidRPr="00B84AD6" w:rsidRDefault="00B84AD6" w:rsidP="00B84AD6">
      <w:pPr>
        <w:spacing w:after="120"/>
        <w:ind w:left="3174" w:right="1134" w:hanging="906"/>
        <w:jc w:val="both"/>
        <w:rPr>
          <w:lang w:val="en-US"/>
        </w:rPr>
      </w:pPr>
      <w:r w:rsidRPr="00B84AD6">
        <w:rPr>
          <w:lang w:val="en-US"/>
        </w:rPr>
        <w:t xml:space="preserve">Driving beam headlamp: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white</w:t>
      </w:r>
    </w:p>
    <w:p w:rsidR="00B84AD6" w:rsidRPr="00B84AD6" w:rsidRDefault="00B84AD6" w:rsidP="00B84AD6">
      <w:pPr>
        <w:spacing w:after="120"/>
        <w:ind w:left="3174" w:right="1134" w:hanging="906"/>
        <w:jc w:val="both"/>
        <w:rPr>
          <w:lang w:val="en-US"/>
        </w:rPr>
      </w:pPr>
      <w:r w:rsidRPr="00B84AD6">
        <w:rPr>
          <w:lang w:val="en-US"/>
        </w:rPr>
        <w:t xml:space="preserve">Passing beam headlamp: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white</w:t>
      </w:r>
    </w:p>
    <w:p w:rsidR="00B84AD6" w:rsidRPr="00B84AD6" w:rsidRDefault="00B84AD6" w:rsidP="00B84AD6">
      <w:pPr>
        <w:spacing w:after="120"/>
        <w:ind w:left="3174" w:right="1134" w:hanging="906"/>
        <w:jc w:val="both"/>
        <w:rPr>
          <w:lang w:val="en-US"/>
        </w:rPr>
      </w:pPr>
      <w:r w:rsidRPr="00B84AD6">
        <w:rPr>
          <w:lang w:val="en-US"/>
        </w:rPr>
        <w:t>Front position lamp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white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Front retro-reflector, non-triangular: </w:t>
      </w:r>
      <w:r w:rsidRPr="00B84AD6">
        <w:rPr>
          <w:lang w:val="en-US"/>
        </w:rPr>
        <w:tab/>
        <w:t xml:space="preserve">white 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>Side retro-reflector, non-triangular:</w:t>
      </w:r>
      <w:r w:rsidRPr="00B84AD6">
        <w:rPr>
          <w:lang w:val="en-US"/>
        </w:rPr>
        <w:tab/>
      </w:r>
      <w:r w:rsidRPr="00B84AD6">
        <w:rPr>
          <w:lang w:val="en-US"/>
        </w:rPr>
        <w:tab/>
        <w:t xml:space="preserve">amber at the front 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proofErr w:type="gramStart"/>
      <w:r w:rsidRPr="00B84AD6">
        <w:rPr>
          <w:lang w:val="en-US"/>
        </w:rPr>
        <w:t>amber</w:t>
      </w:r>
      <w:proofErr w:type="gramEnd"/>
      <w:r w:rsidRPr="00B84AD6">
        <w:rPr>
          <w:lang w:val="en-US"/>
        </w:rPr>
        <w:t xml:space="preserve"> or red at the rear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Pedal retro-reflector: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amber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>Rear retro-reflector, non-triangular:</w:t>
      </w:r>
      <w:r w:rsidRPr="00B84AD6">
        <w:rPr>
          <w:lang w:val="en-US"/>
        </w:rPr>
        <w:tab/>
        <w:t>red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Direction-indicator lamp: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 xml:space="preserve">amber 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Stop lamp: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 xml:space="preserve">red 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>Rear position lamp: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 xml:space="preserve">red 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Rear-registration plate lamp: </w:t>
      </w:r>
      <w:r w:rsidRPr="00B84AD6">
        <w:rPr>
          <w:lang w:val="en-US"/>
        </w:rPr>
        <w:tab/>
      </w:r>
      <w:r w:rsidRPr="00B84AD6">
        <w:rPr>
          <w:lang w:val="en-US"/>
        </w:rPr>
        <w:tab/>
        <w:t>white</w:t>
      </w:r>
    </w:p>
    <w:p w:rsidR="00B84AD6" w:rsidRPr="00B84AD6" w:rsidRDefault="00B84AD6" w:rsidP="00B84AD6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>Vehicle-hazard warning signal:</w:t>
      </w:r>
      <w:r w:rsidRPr="00B84AD6">
        <w:rPr>
          <w:lang w:val="en-US"/>
        </w:rPr>
        <w:tab/>
      </w:r>
      <w:r w:rsidRPr="00B84AD6">
        <w:rPr>
          <w:lang w:val="en-US"/>
        </w:rPr>
        <w:tab/>
        <w:t>amber"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C2" w:rsidRDefault="009924C2"/>
  </w:endnote>
  <w:endnote w:type="continuationSeparator" w:id="0">
    <w:p w:rsidR="009924C2" w:rsidRDefault="009924C2"/>
  </w:endnote>
  <w:endnote w:type="continuationNotice" w:id="1">
    <w:p w:rsidR="009924C2" w:rsidRDefault="00992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24F5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84AD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106C6B" w:rsidRDefault="00F05AED" w:rsidP="00070A6D">
    <w:pPr>
      <w:pStyle w:val="Footer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577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C2" w:rsidRPr="00D27D5E" w:rsidRDefault="009924C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24C2" w:rsidRDefault="009924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924C2" w:rsidRDefault="009924C2"/>
  </w:footnote>
  <w:footnote w:id="2">
    <w:p w:rsidR="002B1577" w:rsidRPr="00706101" w:rsidRDefault="002B1577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556DB">
    <w:pPr>
      <w:pStyle w:val="Header"/>
      <w:rPr>
        <w:lang w:val="en-US"/>
      </w:rPr>
    </w:pPr>
    <w:r>
      <w:rPr>
        <w:lang w:val="en-US"/>
      </w:rPr>
      <w:t>ECE/TRANS/WP.29/2015/</w:t>
    </w:r>
    <w:r w:rsidR="00C57ECC">
      <w:rPr>
        <w:lang w:val="en-US"/>
      </w:rPr>
      <w:t>79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E609D6">
      <w:rPr>
        <w:lang w:val="en-US"/>
      </w:rPr>
      <w:t>5</w:t>
    </w:r>
    <w:r>
      <w:rPr>
        <w:lang w:val="en-US"/>
      </w:rPr>
      <w:t>/</w:t>
    </w:r>
    <w:r w:rsidR="0040554A">
      <w:rPr>
        <w:lang w:val="en-US"/>
      </w:rPr>
      <w:t>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59C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C50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70A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AD6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4F54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57ECC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47999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5AED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567F-DED4-4FD9-A294-1ACE416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1660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7</cp:revision>
  <cp:lastPrinted>2014-12-24T10:13:00Z</cp:lastPrinted>
  <dcterms:created xsi:type="dcterms:W3CDTF">2015-08-13T08:09:00Z</dcterms:created>
  <dcterms:modified xsi:type="dcterms:W3CDTF">2015-08-24T13:25:00Z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