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B1" w:rsidRPr="00640986" w:rsidRDefault="000A10B1" w:rsidP="000A10B1">
      <w:pPr>
        <w:spacing w:line="240" w:lineRule="auto"/>
        <w:rPr>
          <w:sz w:val="2"/>
          <w:lang w:val="fr-CH"/>
        </w:rPr>
        <w:sectPr w:rsidR="000A10B1" w:rsidRPr="00640986" w:rsidSect="000A10B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FC44B9" w:rsidRPr="00DF7AA7" w:rsidRDefault="000A10B1" w:rsidP="00DF7AA7">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sz w:val="28"/>
          <w:szCs w:val="28"/>
          <w:lang w:val="fr-CH"/>
        </w:rPr>
      </w:pPr>
      <w:r w:rsidRPr="00DF7AA7">
        <w:rPr>
          <w:sz w:val="28"/>
          <w:szCs w:val="28"/>
          <w:lang w:val="fr-CH"/>
        </w:rPr>
        <w:lastRenderedPageBreak/>
        <w:t>Commission économique pour l’Europe</w:t>
      </w:r>
    </w:p>
    <w:p w:rsidR="000A10B1" w:rsidRPr="00DF7AA7" w:rsidRDefault="000A10B1" w:rsidP="00DF7AA7">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b w:val="0"/>
          <w:lang w:val="fr-CH"/>
        </w:rPr>
      </w:pPr>
      <w:r w:rsidRPr="00DF7AA7">
        <w:rPr>
          <w:b w:val="0"/>
          <w:lang w:val="fr-CH"/>
        </w:rPr>
        <w:t>Comité des transports intérieurs</w:t>
      </w:r>
    </w:p>
    <w:p w:rsidR="00FC44B9" w:rsidRPr="00640986" w:rsidRDefault="00FC44B9" w:rsidP="00DF7AA7">
      <w:pPr>
        <w:pStyle w:val="H1"/>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640986">
        <w:rPr>
          <w:lang w:val="fr-CH"/>
        </w:rPr>
        <w:t xml:space="preserve">Forum mondial de l’harmonisation </w:t>
      </w:r>
      <w:r w:rsidRPr="00640986">
        <w:rPr>
          <w:lang w:val="fr-CH"/>
        </w:rPr>
        <w:br/>
        <w:t>des Règlements concernant les véhicules</w:t>
      </w:r>
    </w:p>
    <w:p w:rsidR="00FC44B9" w:rsidRPr="00640986" w:rsidRDefault="00FC44B9" w:rsidP="00FC44B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0986">
        <w:rPr>
          <w:lang w:val="fr-CH"/>
        </w:rPr>
        <w:t>167</w:t>
      </w:r>
      <w:r w:rsidRPr="00640986">
        <w:rPr>
          <w:vertAlign w:val="superscript"/>
          <w:lang w:val="fr-CH"/>
        </w:rPr>
        <w:t>e</w:t>
      </w:r>
      <w:r w:rsidRPr="00640986">
        <w:rPr>
          <w:lang w:val="fr-CH"/>
        </w:rPr>
        <w:t xml:space="preserve"> session</w:t>
      </w:r>
    </w:p>
    <w:p w:rsidR="00FC44B9" w:rsidRPr="00640986" w:rsidRDefault="00FC44B9" w:rsidP="00FC44B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0986">
        <w:rPr>
          <w:lang w:val="fr-CH"/>
        </w:rPr>
        <w:t>Genève, 10-13 novembre 2015</w:t>
      </w:r>
    </w:p>
    <w:p w:rsidR="00FC44B9" w:rsidRPr="00640986" w:rsidRDefault="00FC44B9" w:rsidP="00FC44B9">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0986">
        <w:rPr>
          <w:lang w:val="fr-CH"/>
        </w:rPr>
        <w:t>Point 4.7.9 de l’ordre du jour provisoire</w:t>
      </w:r>
    </w:p>
    <w:p w:rsidR="00FC44B9" w:rsidRPr="00640986" w:rsidRDefault="00FC44B9" w:rsidP="00FC44B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0986">
        <w:rPr>
          <w:lang w:val="fr-CH"/>
        </w:rPr>
        <w:t xml:space="preserve">Accord de 1958 – Examen de projets d’amendements </w:t>
      </w:r>
      <w:r w:rsidRPr="00640986">
        <w:rPr>
          <w:lang w:val="fr-CH"/>
        </w:rPr>
        <w:br/>
        <w:t>à des Règlements existants, présentés par le GRSG</w:t>
      </w:r>
    </w:p>
    <w:p w:rsidR="00FC44B9" w:rsidRPr="00640986" w:rsidRDefault="00FC44B9" w:rsidP="00FC44B9">
      <w:pPr>
        <w:pStyle w:val="SingleTxt"/>
        <w:spacing w:after="0" w:line="120" w:lineRule="exact"/>
        <w:rPr>
          <w:b/>
          <w:sz w:val="10"/>
          <w:lang w:val="fr-CH"/>
        </w:rPr>
      </w:pPr>
    </w:p>
    <w:p w:rsidR="00FC44B9" w:rsidRPr="00640986" w:rsidRDefault="00FC44B9" w:rsidP="00FC44B9">
      <w:pPr>
        <w:pStyle w:val="SingleTxt"/>
        <w:spacing w:after="0" w:line="120" w:lineRule="exact"/>
        <w:rPr>
          <w:b/>
          <w:sz w:val="10"/>
          <w:lang w:val="fr-CH"/>
        </w:rPr>
      </w:pPr>
    </w:p>
    <w:p w:rsidR="00FC44B9" w:rsidRPr="00640986" w:rsidRDefault="00FC44B9" w:rsidP="00FC44B9">
      <w:pPr>
        <w:pStyle w:val="SingleTxt"/>
        <w:spacing w:after="0" w:line="120" w:lineRule="exact"/>
        <w:rPr>
          <w:b/>
          <w:sz w:val="10"/>
          <w:lang w:val="fr-CH"/>
        </w:rPr>
      </w:pPr>
    </w:p>
    <w:p w:rsidR="00FC44B9" w:rsidRPr="00640986" w:rsidRDefault="00FC44B9" w:rsidP="00FC44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0986">
        <w:rPr>
          <w:lang w:val="fr-CH"/>
        </w:rPr>
        <w:tab/>
      </w:r>
      <w:r w:rsidRPr="00640986">
        <w:rPr>
          <w:lang w:val="fr-CH"/>
        </w:rPr>
        <w:tab/>
        <w:t xml:space="preserve">Proposition de série 02 d’amendements </w:t>
      </w:r>
      <w:r w:rsidRPr="00640986">
        <w:rPr>
          <w:lang w:val="fr-CH"/>
        </w:rPr>
        <w:br/>
        <w:t>au Règlement n</w:t>
      </w:r>
      <w:r w:rsidRPr="00640986">
        <w:rPr>
          <w:vertAlign w:val="superscript"/>
          <w:lang w:val="fr-CH"/>
        </w:rPr>
        <w:t>o</w:t>
      </w:r>
      <w:r w:rsidRPr="00640986">
        <w:rPr>
          <w:lang w:val="fr-CH"/>
        </w:rPr>
        <w:t xml:space="preserve"> 110 (Organes spéciaux </w:t>
      </w:r>
      <w:r w:rsidRPr="00640986">
        <w:rPr>
          <w:lang w:val="fr-CH"/>
        </w:rPr>
        <w:br/>
        <w:t>des véhicules alimentés au GNC/GNL)</w:t>
      </w:r>
    </w:p>
    <w:p w:rsidR="00FC44B9" w:rsidRPr="00640986" w:rsidRDefault="00FC44B9" w:rsidP="00FC44B9">
      <w:pPr>
        <w:pStyle w:val="SingleTxt"/>
        <w:spacing w:after="0" w:line="120" w:lineRule="exact"/>
        <w:rPr>
          <w:b/>
          <w:sz w:val="10"/>
          <w:lang w:val="fr-CH"/>
        </w:rPr>
      </w:pPr>
    </w:p>
    <w:p w:rsidR="00FC44B9" w:rsidRPr="00640986" w:rsidRDefault="00FC44B9" w:rsidP="00FC44B9">
      <w:pPr>
        <w:pStyle w:val="SingleTxt"/>
        <w:spacing w:after="0" w:line="120" w:lineRule="exact"/>
        <w:rPr>
          <w:b/>
          <w:sz w:val="10"/>
          <w:lang w:val="fr-CH"/>
        </w:rPr>
      </w:pPr>
    </w:p>
    <w:p w:rsidR="00FC44B9" w:rsidRPr="00640986" w:rsidRDefault="00FC44B9" w:rsidP="00FC44B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0986">
        <w:rPr>
          <w:lang w:val="fr-CH"/>
        </w:rPr>
        <w:tab/>
      </w:r>
      <w:r w:rsidRPr="00640986">
        <w:rPr>
          <w:lang w:val="fr-CH"/>
        </w:rPr>
        <w:tab/>
        <w:t xml:space="preserve">Communication du Groupe de travail des dispositions </w:t>
      </w:r>
      <w:r w:rsidRPr="00640986">
        <w:rPr>
          <w:lang w:val="fr-CH"/>
        </w:rPr>
        <w:br/>
        <w:t>générales de sécurité</w:t>
      </w:r>
      <w:r w:rsidRPr="00640986">
        <w:rPr>
          <w:rStyle w:val="FootnoteReference"/>
          <w:b w:val="0"/>
          <w:bCs/>
          <w:sz w:val="20"/>
          <w:szCs w:val="20"/>
          <w:vertAlign w:val="baseline"/>
          <w:lang w:val="fr-CH"/>
        </w:rPr>
        <w:footnoteReference w:customMarkFollows="1" w:id="1"/>
        <w:t>*</w:t>
      </w:r>
    </w:p>
    <w:p w:rsidR="00FC44B9" w:rsidRPr="00640986" w:rsidRDefault="00FC44B9" w:rsidP="00FC44B9">
      <w:pPr>
        <w:pStyle w:val="SingleTxt"/>
        <w:spacing w:after="0" w:line="120" w:lineRule="exact"/>
        <w:rPr>
          <w:sz w:val="10"/>
          <w:lang w:val="fr-CH"/>
        </w:rPr>
      </w:pPr>
    </w:p>
    <w:p w:rsidR="00FC44B9" w:rsidRPr="00640986" w:rsidRDefault="00FC44B9" w:rsidP="00FC44B9">
      <w:pPr>
        <w:pStyle w:val="SingleTxt"/>
        <w:spacing w:after="0" w:line="120" w:lineRule="exact"/>
        <w:rPr>
          <w:sz w:val="10"/>
          <w:lang w:val="fr-CH"/>
        </w:rPr>
      </w:pPr>
    </w:p>
    <w:p w:rsidR="00FC44B9" w:rsidRPr="00640986" w:rsidRDefault="00FC44B9" w:rsidP="00640986">
      <w:pPr>
        <w:pStyle w:val="SingleTxt"/>
        <w:rPr>
          <w:lang w:val="fr-CH"/>
        </w:rPr>
      </w:pPr>
      <w:r w:rsidRPr="00640986">
        <w:rPr>
          <w:lang w:val="fr-CH"/>
        </w:rPr>
        <w:tab/>
        <w:t>Le texte reproduit ci-après, adopté par le Groupe de travail des dispositions générales de sécurité (GRSG) à sa 108</w:t>
      </w:r>
      <w:r w:rsidRPr="00640986">
        <w:rPr>
          <w:vertAlign w:val="superscript"/>
          <w:lang w:val="fr-CH"/>
        </w:rPr>
        <w:t>e</w:t>
      </w:r>
      <w:r w:rsidRPr="00640986">
        <w:rPr>
          <w:lang w:val="fr-CH"/>
        </w:rPr>
        <w:t> session (ECE/TRANS/WP.29/GRSG/87, par. 42), est fondé sur le document ECE/TRANS/WP.29/GRSG/2015/6 modifié par l’annexe</w:t>
      </w:r>
      <w:r w:rsidR="00640986">
        <w:rPr>
          <w:lang w:val="fr-CH"/>
        </w:rPr>
        <w:t xml:space="preserve"> </w:t>
      </w:r>
      <w:r w:rsidRPr="00640986">
        <w:rPr>
          <w:lang w:val="fr-CH"/>
        </w:rPr>
        <w:t>IV au rapport. Il est soumis au Forum mondial de l’harmonisation des Règlements concernant les véhicules (WP.29) et au Comité d’administration de l’Accord de 1958 (AC.1) pour examen à leurs sessions de novembre 2015.</w:t>
      </w:r>
    </w:p>
    <w:p w:rsidR="00FC44B9" w:rsidRPr="00640986" w:rsidRDefault="00FC44B9">
      <w:pPr>
        <w:spacing w:line="240" w:lineRule="auto"/>
        <w:rPr>
          <w:lang w:val="fr-CH"/>
        </w:rPr>
      </w:pPr>
      <w:r w:rsidRPr="00640986">
        <w:rPr>
          <w:lang w:val="fr-CH"/>
        </w:rPr>
        <w:br w:type="page"/>
      </w:r>
    </w:p>
    <w:p w:rsidR="00FC44B9" w:rsidRPr="00640986" w:rsidRDefault="00FC44B9" w:rsidP="00FC44B9">
      <w:pPr>
        <w:pStyle w:val="SingleTxt"/>
        <w:rPr>
          <w:iCs/>
          <w:lang w:val="fr-CH"/>
        </w:rPr>
      </w:pPr>
      <w:r w:rsidRPr="00640986">
        <w:rPr>
          <w:i/>
          <w:lang w:val="fr-CH"/>
        </w:rPr>
        <w:lastRenderedPageBreak/>
        <w:t>Paragraphe 7.2</w:t>
      </w:r>
      <w:r w:rsidRPr="00640986">
        <w:rPr>
          <w:lang w:val="fr-CH"/>
        </w:rPr>
        <w:t>,</w:t>
      </w:r>
      <w:r w:rsidRPr="00640986">
        <w:rPr>
          <w:i/>
          <w:lang w:val="fr-CH"/>
        </w:rPr>
        <w:t xml:space="preserve"> </w:t>
      </w:r>
      <w:proofErr w:type="gramStart"/>
      <w:r w:rsidRPr="00640986">
        <w:rPr>
          <w:lang w:val="fr-CH"/>
        </w:rPr>
        <w:t>modifier</w:t>
      </w:r>
      <w:proofErr w:type="gramEnd"/>
      <w:r w:rsidRPr="00640986">
        <w:rPr>
          <w:lang w:val="fr-CH"/>
        </w:rPr>
        <w:t xml:space="preserve"> comme suit :</w:t>
      </w:r>
    </w:p>
    <w:p w:rsidR="00FC44B9" w:rsidRPr="00640986" w:rsidRDefault="00FC44B9" w:rsidP="00640986">
      <w:pPr>
        <w:pStyle w:val="SingleTxt"/>
        <w:ind w:left="2218" w:hanging="951"/>
        <w:rPr>
          <w:lang w:val="fr-CH"/>
        </w:rPr>
      </w:pPr>
      <w:r w:rsidRPr="00640986">
        <w:rPr>
          <w:lang w:val="fr-CH"/>
        </w:rPr>
        <w:t>« 7.2</w:t>
      </w:r>
      <w:r w:rsidRPr="00640986">
        <w:rPr>
          <w:lang w:val="fr-CH"/>
        </w:rPr>
        <w:tab/>
      </w:r>
      <w:r w:rsidR="00640986">
        <w:rPr>
          <w:lang w:val="fr-CH"/>
        </w:rPr>
        <w:tab/>
        <w:t>Un numéro d’homologation</w:t>
      </w:r>
      <w:r w:rsidRPr="00640986">
        <w:rPr>
          <w:lang w:val="fr-CH"/>
        </w:rPr>
        <w:t>... Les deux premiers chiffres de ce numéro (actuellement 02 pour la série 02 d’amendements) indiquent ... type d’organe. ».</w:t>
      </w:r>
    </w:p>
    <w:p w:rsidR="00FC44B9" w:rsidRPr="00640986" w:rsidRDefault="00FC44B9" w:rsidP="00FC44B9">
      <w:pPr>
        <w:pStyle w:val="SingleTxt"/>
        <w:rPr>
          <w:iCs/>
          <w:lang w:val="fr-CH"/>
        </w:rPr>
      </w:pPr>
      <w:r w:rsidRPr="00640986">
        <w:rPr>
          <w:i/>
          <w:lang w:val="fr-CH"/>
        </w:rPr>
        <w:t>Paragraphe 18.5.2.1</w:t>
      </w:r>
      <w:r w:rsidRPr="00640986">
        <w:rPr>
          <w:lang w:val="fr-CH"/>
        </w:rPr>
        <w:t xml:space="preserve">, </w:t>
      </w:r>
      <w:proofErr w:type="gramStart"/>
      <w:r w:rsidRPr="00640986">
        <w:rPr>
          <w:lang w:val="fr-CH"/>
        </w:rPr>
        <w:t>modifier</w:t>
      </w:r>
      <w:proofErr w:type="gramEnd"/>
      <w:r w:rsidRPr="00640986">
        <w:rPr>
          <w:lang w:val="fr-CH"/>
        </w:rPr>
        <w:t xml:space="preserve"> comme suit :</w:t>
      </w:r>
    </w:p>
    <w:p w:rsidR="00FC44B9" w:rsidRPr="00640986" w:rsidRDefault="00FC44B9" w:rsidP="00FC44B9">
      <w:pPr>
        <w:pStyle w:val="SingleTxt"/>
        <w:ind w:left="2218" w:hanging="951"/>
        <w:rPr>
          <w:lang w:val="fr-CH"/>
        </w:rPr>
      </w:pPr>
      <w:r w:rsidRPr="00640986">
        <w:rPr>
          <w:lang w:val="fr-CH"/>
        </w:rPr>
        <w:t>« 18.5.2.1</w:t>
      </w:r>
      <w:r w:rsidRPr="00640986">
        <w:rPr>
          <w:lang w:val="fr-CH"/>
        </w:rPr>
        <w:tab/>
        <w:t>Le dispositif de décompression ... paragraphe 18.5.5 ci-dessous.</w:t>
      </w:r>
    </w:p>
    <w:p w:rsidR="00FC44B9" w:rsidRPr="00640986" w:rsidRDefault="00FC44B9" w:rsidP="00FC44B9">
      <w:pPr>
        <w:pStyle w:val="SingleTxt"/>
        <w:ind w:left="2218" w:hanging="951"/>
        <w:rPr>
          <w:lang w:val="fr-CH"/>
        </w:rPr>
      </w:pPr>
      <w:r w:rsidRPr="00640986">
        <w:rPr>
          <w:lang w:val="fr-CH"/>
        </w:rPr>
        <w:tab/>
      </w:r>
      <w:r w:rsidRPr="00640986">
        <w:rPr>
          <w:lang w:val="fr-CH"/>
        </w:rPr>
        <w:tab/>
        <w:t>Toutefois, dans le cas des véhicules des catégories M et N dont le ou les réservoirs sont montés à l’extérieur, sur le toit ou la partie supérieure de la carrosserie du véhicule, le dispositif de décompression (</w:t>
      </w:r>
      <w:proofErr w:type="spellStart"/>
      <w:r w:rsidRPr="00640986">
        <w:rPr>
          <w:lang w:val="fr-CH"/>
        </w:rPr>
        <w:t>thermocommandé</w:t>
      </w:r>
      <w:proofErr w:type="spellEnd"/>
      <w:r w:rsidRPr="00640986">
        <w:rPr>
          <w:lang w:val="fr-CH"/>
        </w:rPr>
        <w:t>) doit être fixé sur le ou les réservoirs de carburant de manière telle que l’évacuation du GNC ne puisse se faire que verticalement vers le haut. ».</w:t>
      </w:r>
    </w:p>
    <w:p w:rsidR="00FC44B9" w:rsidRPr="00640986" w:rsidRDefault="00FC44B9" w:rsidP="00FC44B9">
      <w:pPr>
        <w:pStyle w:val="SingleTxt"/>
        <w:rPr>
          <w:iCs/>
          <w:lang w:val="fr-CH"/>
        </w:rPr>
      </w:pPr>
      <w:r w:rsidRPr="00640986">
        <w:rPr>
          <w:i/>
          <w:lang w:val="fr-CH"/>
        </w:rPr>
        <w:t>Paragraphe 18.5.6.2</w:t>
      </w:r>
      <w:r w:rsidRPr="00640986">
        <w:rPr>
          <w:lang w:val="fr-CH"/>
        </w:rPr>
        <w:t xml:space="preserve">, </w:t>
      </w:r>
      <w:proofErr w:type="gramStart"/>
      <w:r w:rsidRPr="00640986">
        <w:rPr>
          <w:lang w:val="fr-CH"/>
        </w:rPr>
        <w:t>modifier</w:t>
      </w:r>
      <w:proofErr w:type="gramEnd"/>
      <w:r w:rsidRPr="00640986">
        <w:rPr>
          <w:lang w:val="fr-CH"/>
        </w:rPr>
        <w:t xml:space="preserve"> comme suit :</w:t>
      </w:r>
    </w:p>
    <w:p w:rsidR="00FC44B9" w:rsidRPr="00640986" w:rsidRDefault="00FC44B9" w:rsidP="00FC44B9">
      <w:pPr>
        <w:pStyle w:val="SingleTxt"/>
        <w:ind w:left="2218" w:hanging="951"/>
        <w:rPr>
          <w:lang w:val="fr-CH"/>
        </w:rPr>
      </w:pPr>
      <w:r w:rsidRPr="00001C12">
        <w:rPr>
          <w:spacing w:val="0"/>
          <w:lang w:val="fr-CH"/>
        </w:rPr>
        <w:t>« 18.5.6.2</w:t>
      </w:r>
      <w:r w:rsidRPr="00640986">
        <w:rPr>
          <w:lang w:val="fr-CH"/>
        </w:rPr>
        <w:tab/>
        <w:t>Le dispositif de décompression (à déclenchement manométrique) doit ... paragraphe 18.5.5 ci-dessus.</w:t>
      </w:r>
    </w:p>
    <w:p w:rsidR="00FC44B9" w:rsidRPr="00640986" w:rsidRDefault="00FC44B9" w:rsidP="00FC44B9">
      <w:pPr>
        <w:pStyle w:val="SingleTxt"/>
        <w:ind w:left="2218" w:hanging="951"/>
        <w:rPr>
          <w:lang w:val="fr-CH"/>
        </w:rPr>
      </w:pPr>
      <w:r w:rsidRPr="00640986">
        <w:rPr>
          <w:lang w:val="fr-CH"/>
        </w:rPr>
        <w:tab/>
      </w:r>
      <w:r w:rsidRPr="00640986">
        <w:rPr>
          <w:lang w:val="fr-CH"/>
        </w:rPr>
        <w:tab/>
        <w:t>Toutefois, dans le cas des véhicules des catégories M et N dont le ou les réservoirs sont montés à l’extérieur, sur le toit ou la partie supérieure de la carrosserie du véhicule, le dispositif de décompression (à déclenchement manométrique) doit être fixé sur le ou les réservoirs de carburant de manière telle que l’évacuation du GNC ne puisse se faire que verticalement vers le haut. ».</w:t>
      </w:r>
    </w:p>
    <w:p w:rsidR="00FC44B9" w:rsidRPr="00640986" w:rsidRDefault="00FC44B9" w:rsidP="00FC44B9">
      <w:pPr>
        <w:pStyle w:val="SingleTxt"/>
        <w:rPr>
          <w:lang w:val="fr-CH"/>
        </w:rPr>
      </w:pPr>
      <w:r w:rsidRPr="00640986">
        <w:rPr>
          <w:i/>
          <w:lang w:val="fr-CH"/>
        </w:rPr>
        <w:t>Paragraphe 24.3</w:t>
      </w:r>
      <w:r w:rsidRPr="00640986">
        <w:rPr>
          <w:lang w:val="fr-CH"/>
        </w:rPr>
        <w:t>,</w:t>
      </w:r>
      <w:r w:rsidRPr="00640986">
        <w:rPr>
          <w:i/>
          <w:lang w:val="fr-CH"/>
        </w:rPr>
        <w:t xml:space="preserve"> </w:t>
      </w:r>
      <w:proofErr w:type="gramStart"/>
      <w:r w:rsidRPr="00640986">
        <w:rPr>
          <w:lang w:val="fr-CH"/>
        </w:rPr>
        <w:t>modifier</w:t>
      </w:r>
      <w:proofErr w:type="gramEnd"/>
      <w:r w:rsidRPr="00640986">
        <w:rPr>
          <w:lang w:val="fr-CH"/>
        </w:rPr>
        <w:t xml:space="preserve"> comme suit :</w:t>
      </w:r>
    </w:p>
    <w:p w:rsidR="00FC44B9" w:rsidRPr="00640986" w:rsidRDefault="00FC44B9" w:rsidP="00FC44B9">
      <w:pPr>
        <w:pStyle w:val="SingleTxt"/>
        <w:ind w:left="2218" w:hanging="951"/>
        <w:rPr>
          <w:lang w:val="fr-CH"/>
        </w:rPr>
      </w:pPr>
      <w:r w:rsidRPr="00640986">
        <w:rPr>
          <w:lang w:val="fr-CH"/>
        </w:rPr>
        <w:t>« 24.3</w:t>
      </w:r>
      <w:r w:rsidRPr="00640986">
        <w:rPr>
          <w:lang w:val="fr-CH"/>
        </w:rPr>
        <w:tab/>
        <w:t>Les homologations de type de composants autres que la rampe d’alimentation, telle que définie au paragraphe 4.74, accordées conformément à la version initiale du présent Règlement, ou de composants accordées conformément à la série 01 d’amendements demeurent valables et continuent d’être acceptées aux fins de l’installation de ces composants sur les véhicules aussi longtemps que les prescriptions s’appliquant au composant en question n’ont pas été modifiées par une série quelconque d’amendements. ».</w:t>
      </w:r>
    </w:p>
    <w:p w:rsidR="00FC44B9" w:rsidRPr="00640986" w:rsidRDefault="00FC44B9" w:rsidP="00FC44B9">
      <w:pPr>
        <w:pStyle w:val="SingleTxt"/>
        <w:rPr>
          <w:lang w:val="fr-CH"/>
        </w:rPr>
      </w:pPr>
      <w:r w:rsidRPr="00640986">
        <w:rPr>
          <w:i/>
          <w:lang w:val="fr-CH"/>
        </w:rPr>
        <w:t>Ajouter les nouveaux paragraphes 24.8 à 24.12</w:t>
      </w:r>
      <w:r w:rsidRPr="00640986">
        <w:rPr>
          <w:lang w:val="fr-CH"/>
        </w:rPr>
        <w:t>, ainsi conçus :</w:t>
      </w:r>
    </w:p>
    <w:p w:rsidR="00FC44B9" w:rsidRPr="00640986" w:rsidRDefault="00FC44B9" w:rsidP="00640986">
      <w:pPr>
        <w:pStyle w:val="SingleTxt"/>
        <w:ind w:left="2218" w:hanging="951"/>
        <w:rPr>
          <w:lang w:val="fr-CH"/>
        </w:rPr>
      </w:pPr>
      <w:r w:rsidRPr="00640986">
        <w:rPr>
          <w:lang w:val="fr-CH"/>
        </w:rPr>
        <w:t>« 24.8</w:t>
      </w:r>
      <w:r w:rsidRPr="00640986">
        <w:rPr>
          <w:lang w:val="fr-CH"/>
        </w:rPr>
        <w:tab/>
        <w:t>À compter de la date officielle d’entrée en vigueur de la série 02 d’amendements au présent Règlement, aucune Partie contractante appliquant ledit Règlement ne pourra refuser d’accorder ou refuser d’accepter une homologation de type en vertu du Règlement tel que modifié par la série</w:t>
      </w:r>
      <w:r w:rsidR="00640986">
        <w:rPr>
          <w:lang w:val="fr-CH"/>
        </w:rPr>
        <w:t xml:space="preserve"> </w:t>
      </w:r>
      <w:r w:rsidRPr="00640986">
        <w:rPr>
          <w:lang w:val="fr-CH"/>
        </w:rPr>
        <w:t>02 d’amendements.</w:t>
      </w:r>
    </w:p>
    <w:p w:rsidR="00FC44B9" w:rsidRPr="00640986" w:rsidRDefault="00FC44B9" w:rsidP="00FC44B9">
      <w:pPr>
        <w:pStyle w:val="SingleTxt"/>
        <w:ind w:left="2218" w:hanging="951"/>
        <w:rPr>
          <w:lang w:val="fr-CH"/>
        </w:rPr>
      </w:pPr>
      <w:r w:rsidRPr="00640986">
        <w:rPr>
          <w:lang w:val="fr-CH"/>
        </w:rPr>
        <w:t>24.9</w:t>
      </w:r>
      <w:r w:rsidRPr="00640986">
        <w:rPr>
          <w:lang w:val="fr-CH"/>
        </w:rPr>
        <w:tab/>
      </w:r>
      <w:r w:rsidRPr="00640986">
        <w:rPr>
          <w:lang w:val="fr-CH"/>
        </w:rPr>
        <w:tab/>
        <w:t>À compter du 1</w:t>
      </w:r>
      <w:r w:rsidRPr="00640986">
        <w:rPr>
          <w:vertAlign w:val="superscript"/>
          <w:lang w:val="fr-CH"/>
        </w:rPr>
        <w:t>er</w:t>
      </w:r>
      <w:r w:rsidRPr="00640986">
        <w:rPr>
          <w:lang w:val="fr-CH"/>
        </w:rPr>
        <w:t> septembre 2017, les Parties contractantes appliquant ledit Règlement n’accorderont d’homologation que si le type de véhicule à homologuer satisfait aux prescriptions de la de la partie I du Règlement tel que modifié par la série 02 d’amendements.</w:t>
      </w:r>
    </w:p>
    <w:p w:rsidR="00FC44B9" w:rsidRPr="00640986" w:rsidRDefault="00FC44B9" w:rsidP="00FC44B9">
      <w:pPr>
        <w:pStyle w:val="SingleTxt"/>
        <w:ind w:left="2218" w:hanging="951"/>
        <w:rPr>
          <w:lang w:val="fr-CH"/>
        </w:rPr>
      </w:pPr>
      <w:r w:rsidRPr="00640986">
        <w:rPr>
          <w:lang w:val="fr-CH"/>
        </w:rPr>
        <w:t>24.10</w:t>
      </w:r>
      <w:r w:rsidRPr="00640986">
        <w:rPr>
          <w:lang w:val="fr-CH"/>
        </w:rPr>
        <w:tab/>
        <w:t>À compter du 1</w:t>
      </w:r>
      <w:r w:rsidRPr="00640986">
        <w:rPr>
          <w:vertAlign w:val="superscript"/>
          <w:lang w:val="fr-CH"/>
        </w:rPr>
        <w:t>er</w:t>
      </w:r>
      <w:r w:rsidRPr="00640986">
        <w:rPr>
          <w:lang w:val="fr-CH"/>
        </w:rPr>
        <w:t> septembre 2018, les Parties contractantes appliquant ledit Règlement n’accorderont d’homologation que si le type de véhicule à homologuer satisfait aux prescriptions de la partie II du Règlement tel que modifié par la série 02 d’amendements.</w:t>
      </w:r>
    </w:p>
    <w:p w:rsidR="00FC44B9" w:rsidRPr="00640986" w:rsidRDefault="00FC44B9" w:rsidP="00FC44B9">
      <w:pPr>
        <w:pStyle w:val="SingleTxt"/>
        <w:ind w:left="2218" w:hanging="951"/>
        <w:rPr>
          <w:lang w:val="fr-CH"/>
        </w:rPr>
      </w:pPr>
      <w:r w:rsidRPr="00640986">
        <w:rPr>
          <w:lang w:val="fr-CH"/>
        </w:rPr>
        <w:t>24.11</w:t>
      </w:r>
      <w:r w:rsidRPr="00640986">
        <w:rPr>
          <w:lang w:val="fr-CH"/>
        </w:rPr>
        <w:tab/>
        <w:t>À compter du 1</w:t>
      </w:r>
      <w:r w:rsidRPr="00640986">
        <w:rPr>
          <w:vertAlign w:val="superscript"/>
          <w:lang w:val="fr-CH"/>
        </w:rPr>
        <w:t>er</w:t>
      </w:r>
      <w:r w:rsidRPr="00640986">
        <w:rPr>
          <w:lang w:val="fr-CH"/>
        </w:rPr>
        <w:t xml:space="preserve"> septembre 2019, les Parties contractantes appliquant ledit Règlement pourront refuser de reconnaître l’homologation d’un type de véhicule n’ayant pas été accordée conformément aux prescriptions de la partie II du Règlement tel que </w:t>
      </w:r>
      <w:proofErr w:type="gramStart"/>
      <w:r w:rsidRPr="00640986">
        <w:rPr>
          <w:lang w:val="fr-CH"/>
        </w:rPr>
        <w:t>modifié</w:t>
      </w:r>
      <w:proofErr w:type="gramEnd"/>
      <w:r w:rsidRPr="00640986">
        <w:rPr>
          <w:lang w:val="fr-CH"/>
        </w:rPr>
        <w:t xml:space="preserve"> par la série 02 d’amendements</w:t>
      </w:r>
      <w:r w:rsidR="00001C12">
        <w:rPr>
          <w:lang w:val="fr-CH"/>
        </w:rPr>
        <w:t>.</w:t>
      </w:r>
    </w:p>
    <w:p w:rsidR="00FC44B9" w:rsidRPr="00640986" w:rsidRDefault="00FC44B9" w:rsidP="00FC44B9">
      <w:pPr>
        <w:pStyle w:val="SingleTxt"/>
        <w:ind w:left="2218" w:hanging="951"/>
        <w:rPr>
          <w:lang w:val="fr-CH"/>
        </w:rPr>
      </w:pPr>
      <w:r w:rsidRPr="00640986">
        <w:rPr>
          <w:lang w:val="fr-CH"/>
        </w:rPr>
        <w:lastRenderedPageBreak/>
        <w:t>24.12</w:t>
      </w:r>
      <w:r w:rsidRPr="00640986">
        <w:rPr>
          <w:lang w:val="fr-CH"/>
        </w:rPr>
        <w:tab/>
        <w:t>Les Parties contractantes appliquant le présent Règlement ne peuvent refuser de délivrer des extensions d’homologation pour des types existants composants ou de véhicules lorsque ces homologations ont été accordées en vertu du Règlement sans tenir compte des dispositions de la série 02 d’amendements. ».</w:t>
      </w:r>
    </w:p>
    <w:p w:rsidR="00FC44B9" w:rsidRPr="00640986" w:rsidRDefault="00FC44B9" w:rsidP="00FC44B9">
      <w:pPr>
        <w:pStyle w:val="SingleTxt"/>
        <w:rPr>
          <w:lang w:val="fr-CH"/>
        </w:rPr>
      </w:pPr>
      <w:r w:rsidRPr="00640986">
        <w:rPr>
          <w:i/>
          <w:lang w:val="fr-CH"/>
        </w:rPr>
        <w:t>Dans l’ensemble des annexes 2A et 2C</w:t>
      </w:r>
      <w:r w:rsidRPr="00640986">
        <w:rPr>
          <w:iCs/>
          <w:lang w:val="fr-CH"/>
        </w:rPr>
        <w:t>,</w:t>
      </w:r>
      <w:r w:rsidRPr="00640986">
        <w:rPr>
          <w:lang w:val="fr-CH"/>
        </w:rPr>
        <w:t xml:space="preserve"> remplacer « 01 » par « 02 » (neuf fois).</w:t>
      </w:r>
    </w:p>
    <w:p w:rsidR="00FC44B9" w:rsidRPr="00640986" w:rsidRDefault="00FC44B9" w:rsidP="00FC44B9">
      <w:pPr>
        <w:pStyle w:val="SingleTxt"/>
        <w:rPr>
          <w:lang w:val="fr-CH"/>
        </w:rPr>
      </w:pPr>
      <w:r w:rsidRPr="00640986">
        <w:rPr>
          <w:i/>
          <w:lang w:val="fr-CH"/>
        </w:rPr>
        <w:t>Annexe 3A, paragraphe 6.12</w:t>
      </w:r>
      <w:r w:rsidRPr="00640986">
        <w:rPr>
          <w:lang w:val="fr-CH"/>
        </w:rPr>
        <w:t>, au lieu de « Pour protéger l’extérieur des bouteilles, on peut utiliser : », lire « Pour protéger l’extérieur des bouteilles, on doit utiliser : ».</w:t>
      </w:r>
    </w:p>
    <w:p w:rsidR="000A10B1" w:rsidRPr="00640986" w:rsidRDefault="00FC44B9" w:rsidP="00FC44B9">
      <w:pPr>
        <w:pStyle w:val="SingleTxt"/>
        <w:spacing w:after="0" w:line="240" w:lineRule="auto"/>
        <w:rPr>
          <w:lang w:val="fr-CH"/>
        </w:rPr>
      </w:pPr>
      <w:r w:rsidRPr="00640986">
        <w:rPr>
          <w:noProof/>
          <w:w w:val="100"/>
          <w:lang w:val="en-GB" w:eastAsia="en-GB"/>
        </w:rPr>
        <mc:AlternateContent>
          <mc:Choice Requires="wps">
            <w:drawing>
              <wp:anchor distT="0" distB="0" distL="114300" distR="114300" simplePos="0" relativeHeight="251659264" behindDoc="0" locked="0" layoutInCell="1" allowOverlap="1" wp14:anchorId="67C847A0" wp14:editId="0970A67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A10B1" w:rsidRPr="00640986" w:rsidSect="000A10B1">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59" w:rsidRDefault="00E42659" w:rsidP="00F3330B">
      <w:pPr>
        <w:spacing w:line="240" w:lineRule="auto"/>
      </w:pPr>
      <w:r>
        <w:separator/>
      </w:r>
    </w:p>
  </w:endnote>
  <w:endnote w:type="continuationSeparator" w:id="0">
    <w:p w:rsidR="00E42659" w:rsidRDefault="00E4265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A10B1" w:rsidTr="000A10B1">
      <w:trPr>
        <w:jc w:val="center"/>
      </w:trPr>
      <w:tc>
        <w:tcPr>
          <w:tcW w:w="5088" w:type="dxa"/>
          <w:shd w:val="clear" w:color="auto" w:fill="auto"/>
        </w:tcPr>
        <w:p w:rsidR="000A10B1" w:rsidRPr="000A10B1" w:rsidRDefault="000A10B1" w:rsidP="000A10B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7801">
            <w:rPr>
              <w:b w:val="0"/>
              <w:w w:val="103"/>
              <w:sz w:val="14"/>
            </w:rPr>
            <w:t>GE.15-14229</w:t>
          </w:r>
          <w:r>
            <w:rPr>
              <w:b w:val="0"/>
              <w:w w:val="103"/>
              <w:sz w:val="14"/>
            </w:rPr>
            <w:fldChar w:fldCharType="end"/>
          </w:r>
        </w:p>
      </w:tc>
      <w:tc>
        <w:tcPr>
          <w:tcW w:w="5089" w:type="dxa"/>
          <w:shd w:val="clear" w:color="auto" w:fill="auto"/>
        </w:tcPr>
        <w:p w:rsidR="000A10B1" w:rsidRPr="000A10B1" w:rsidRDefault="000A10B1" w:rsidP="000A10B1">
          <w:pPr>
            <w:pStyle w:val="Footer"/>
            <w:rPr>
              <w:w w:val="103"/>
            </w:rPr>
          </w:pPr>
          <w:r>
            <w:rPr>
              <w:w w:val="103"/>
            </w:rPr>
            <w:fldChar w:fldCharType="begin"/>
          </w:r>
          <w:r>
            <w:rPr>
              <w:w w:val="103"/>
            </w:rPr>
            <w:instrText xml:space="preserve"> PAGE  \* Arabic  \* MERGEFORMAT </w:instrText>
          </w:r>
          <w:r>
            <w:rPr>
              <w:w w:val="103"/>
            </w:rPr>
            <w:fldChar w:fldCharType="separate"/>
          </w:r>
          <w:r w:rsidR="003B780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7801">
            <w:rPr>
              <w:noProof/>
              <w:w w:val="103"/>
            </w:rPr>
            <w:t>3</w:t>
          </w:r>
          <w:r>
            <w:rPr>
              <w:w w:val="103"/>
            </w:rPr>
            <w:fldChar w:fldCharType="end"/>
          </w:r>
        </w:p>
      </w:tc>
    </w:tr>
  </w:tbl>
  <w:p w:rsidR="000A10B1" w:rsidRPr="000A10B1" w:rsidRDefault="000A10B1" w:rsidP="000A1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0A10B1" w:rsidTr="000A10B1">
      <w:trPr>
        <w:jc w:val="center"/>
      </w:trPr>
      <w:tc>
        <w:tcPr>
          <w:tcW w:w="5088" w:type="dxa"/>
          <w:shd w:val="clear" w:color="auto" w:fill="auto"/>
        </w:tcPr>
        <w:p w:rsidR="000A10B1" w:rsidRPr="000A10B1" w:rsidRDefault="000A10B1" w:rsidP="000A10B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B780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B7801">
            <w:rPr>
              <w:noProof/>
              <w:w w:val="103"/>
            </w:rPr>
            <w:t>3</w:t>
          </w:r>
          <w:r>
            <w:rPr>
              <w:w w:val="103"/>
            </w:rPr>
            <w:fldChar w:fldCharType="end"/>
          </w:r>
        </w:p>
      </w:tc>
      <w:tc>
        <w:tcPr>
          <w:tcW w:w="5089" w:type="dxa"/>
          <w:shd w:val="clear" w:color="auto" w:fill="auto"/>
        </w:tcPr>
        <w:p w:rsidR="000A10B1" w:rsidRPr="000A10B1" w:rsidRDefault="000A10B1" w:rsidP="000A10B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B7801">
            <w:rPr>
              <w:b w:val="0"/>
              <w:w w:val="103"/>
              <w:sz w:val="14"/>
            </w:rPr>
            <w:t>GE.15-14229</w:t>
          </w:r>
          <w:r>
            <w:rPr>
              <w:b w:val="0"/>
              <w:w w:val="103"/>
              <w:sz w:val="14"/>
            </w:rPr>
            <w:fldChar w:fldCharType="end"/>
          </w:r>
        </w:p>
      </w:tc>
    </w:tr>
  </w:tbl>
  <w:p w:rsidR="000A10B1" w:rsidRPr="000A10B1" w:rsidRDefault="000A10B1" w:rsidP="000A1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B1" w:rsidRDefault="000A10B1">
    <w:pPr>
      <w:pStyle w:val="Footer"/>
    </w:pPr>
    <w:r>
      <w:rPr>
        <w:noProof/>
        <w:lang w:val="en-GB" w:eastAsia="en-GB"/>
      </w:rPr>
      <w:drawing>
        <wp:anchor distT="0" distB="0" distL="114300" distR="114300" simplePos="0" relativeHeight="251658240" behindDoc="0" locked="0" layoutInCell="1" allowOverlap="1" wp14:anchorId="359FAA61" wp14:editId="49580A1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9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9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0A10B1" w:rsidTr="000A10B1">
      <w:tc>
        <w:tcPr>
          <w:tcW w:w="3859" w:type="dxa"/>
        </w:tcPr>
        <w:p w:rsidR="000A10B1" w:rsidRDefault="000A10B1" w:rsidP="000A10B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B7801">
            <w:rPr>
              <w:b w:val="0"/>
              <w:sz w:val="20"/>
            </w:rPr>
            <w:t>GE.15-14229 (F)</w:t>
          </w:r>
          <w:r>
            <w:rPr>
              <w:b w:val="0"/>
              <w:sz w:val="20"/>
            </w:rPr>
            <w:fldChar w:fldCharType="end"/>
          </w:r>
          <w:r w:rsidR="00FC44B9">
            <w:rPr>
              <w:b w:val="0"/>
              <w:sz w:val="20"/>
            </w:rPr>
            <w:t xml:space="preserve">    220915    29</w:t>
          </w:r>
          <w:r>
            <w:rPr>
              <w:b w:val="0"/>
              <w:sz w:val="20"/>
            </w:rPr>
            <w:t>0915</w:t>
          </w:r>
        </w:p>
        <w:p w:rsidR="000A10B1" w:rsidRPr="000A10B1" w:rsidRDefault="000A10B1" w:rsidP="000A10B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B7801">
            <w:rPr>
              <w:rFonts w:ascii="Barcode 3 of 9 by request" w:hAnsi="Barcode 3 of 9 by request"/>
              <w:b w:val="0"/>
              <w:spacing w:val="0"/>
              <w:w w:val="100"/>
              <w:sz w:val="24"/>
            </w:rPr>
            <w:t>*1514229*</w:t>
          </w:r>
          <w:r>
            <w:rPr>
              <w:rFonts w:ascii="Barcode 3 of 9 by request" w:hAnsi="Barcode 3 of 9 by request"/>
              <w:b w:val="0"/>
              <w:spacing w:val="0"/>
              <w:w w:val="100"/>
              <w:sz w:val="24"/>
            </w:rPr>
            <w:fldChar w:fldCharType="end"/>
          </w:r>
        </w:p>
      </w:tc>
      <w:tc>
        <w:tcPr>
          <w:tcW w:w="5089" w:type="dxa"/>
        </w:tcPr>
        <w:p w:rsidR="000A10B1" w:rsidRDefault="000A10B1" w:rsidP="000A10B1">
          <w:pPr>
            <w:pStyle w:val="Footer"/>
            <w:spacing w:line="240" w:lineRule="atLeast"/>
            <w:jc w:val="right"/>
            <w:rPr>
              <w:b w:val="0"/>
              <w:sz w:val="20"/>
            </w:rPr>
          </w:pPr>
          <w:r>
            <w:rPr>
              <w:b w:val="0"/>
              <w:noProof/>
              <w:sz w:val="20"/>
              <w:lang w:val="en-GB" w:eastAsia="en-GB"/>
            </w:rPr>
            <w:drawing>
              <wp:inline distT="0" distB="0" distL="0" distR="0" wp14:anchorId="5188707E" wp14:editId="7A5084E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A10B1" w:rsidRPr="000A10B1" w:rsidRDefault="000A10B1" w:rsidP="000A10B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59" w:rsidRPr="00FC44B9" w:rsidRDefault="00FC44B9" w:rsidP="00FC44B9">
      <w:pPr>
        <w:pStyle w:val="Footer"/>
        <w:spacing w:after="80"/>
        <w:ind w:left="792"/>
        <w:rPr>
          <w:sz w:val="16"/>
        </w:rPr>
      </w:pPr>
      <w:r w:rsidRPr="00FC44B9">
        <w:rPr>
          <w:sz w:val="16"/>
        </w:rPr>
        <w:t>__________________</w:t>
      </w:r>
    </w:p>
  </w:footnote>
  <w:footnote w:type="continuationSeparator" w:id="0">
    <w:p w:rsidR="00E42659" w:rsidRPr="00FC44B9" w:rsidRDefault="00FC44B9" w:rsidP="00FC44B9">
      <w:pPr>
        <w:pStyle w:val="Footer"/>
        <w:spacing w:after="80"/>
        <w:ind w:left="792"/>
        <w:rPr>
          <w:sz w:val="16"/>
        </w:rPr>
      </w:pPr>
      <w:r w:rsidRPr="00FC44B9">
        <w:rPr>
          <w:sz w:val="16"/>
        </w:rPr>
        <w:t>__________________</w:t>
      </w:r>
    </w:p>
  </w:footnote>
  <w:footnote w:id="1">
    <w:p w:rsidR="00FC44B9" w:rsidRPr="00640986" w:rsidRDefault="00FC44B9" w:rsidP="00FC44B9">
      <w:pPr>
        <w:pStyle w:val="FootnoteText"/>
        <w:tabs>
          <w:tab w:val="right" w:pos="1195"/>
          <w:tab w:val="left" w:pos="1267"/>
          <w:tab w:val="left" w:pos="1742"/>
          <w:tab w:val="left" w:pos="2218"/>
          <w:tab w:val="left" w:pos="2693"/>
        </w:tabs>
        <w:ind w:left="1267" w:right="1260" w:hanging="432"/>
        <w:rPr>
          <w:lang w:val="fr-CH"/>
        </w:rPr>
      </w:pPr>
      <w:r w:rsidRPr="00640986">
        <w:rPr>
          <w:lang w:val="fr-CH"/>
        </w:rPr>
        <w:tab/>
      </w:r>
      <w:r w:rsidRPr="00640986">
        <w:rPr>
          <w:rStyle w:val="FootnoteReference"/>
          <w:vertAlign w:val="baseline"/>
          <w:lang w:val="fr-CH"/>
        </w:rPr>
        <w:t>*</w:t>
      </w:r>
      <w:r w:rsidRPr="00640986">
        <w:rPr>
          <w:lang w:val="fr-CH"/>
        </w:rPr>
        <w:tab/>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A10B1" w:rsidTr="000A10B1">
      <w:trPr>
        <w:trHeight w:hRule="exact" w:val="864"/>
        <w:jc w:val="center"/>
      </w:trPr>
      <w:tc>
        <w:tcPr>
          <w:tcW w:w="4882" w:type="dxa"/>
          <w:shd w:val="clear" w:color="auto" w:fill="auto"/>
          <w:vAlign w:val="bottom"/>
        </w:tcPr>
        <w:p w:rsidR="000A10B1" w:rsidRPr="000A10B1" w:rsidRDefault="000A10B1" w:rsidP="000A10B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B7801">
            <w:rPr>
              <w:b/>
              <w:color w:val="000000"/>
            </w:rPr>
            <w:t>ECE/TRANS/WP.29/2015/90</w:t>
          </w:r>
          <w:r>
            <w:rPr>
              <w:b/>
              <w:color w:val="000000"/>
            </w:rPr>
            <w:fldChar w:fldCharType="end"/>
          </w:r>
        </w:p>
      </w:tc>
      <w:tc>
        <w:tcPr>
          <w:tcW w:w="5089" w:type="dxa"/>
          <w:shd w:val="clear" w:color="auto" w:fill="auto"/>
          <w:vAlign w:val="bottom"/>
        </w:tcPr>
        <w:p w:rsidR="000A10B1" w:rsidRDefault="000A10B1" w:rsidP="000A10B1">
          <w:pPr>
            <w:pStyle w:val="Header"/>
          </w:pPr>
        </w:p>
      </w:tc>
    </w:tr>
  </w:tbl>
  <w:p w:rsidR="000A10B1" w:rsidRPr="000A10B1" w:rsidRDefault="000A10B1" w:rsidP="000A10B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0A10B1" w:rsidTr="000A10B1">
      <w:trPr>
        <w:trHeight w:hRule="exact" w:val="864"/>
        <w:jc w:val="center"/>
      </w:trPr>
      <w:tc>
        <w:tcPr>
          <w:tcW w:w="4882" w:type="dxa"/>
          <w:shd w:val="clear" w:color="auto" w:fill="auto"/>
          <w:vAlign w:val="bottom"/>
        </w:tcPr>
        <w:p w:rsidR="000A10B1" w:rsidRDefault="000A10B1" w:rsidP="000A10B1">
          <w:pPr>
            <w:pStyle w:val="Header"/>
          </w:pPr>
        </w:p>
      </w:tc>
      <w:tc>
        <w:tcPr>
          <w:tcW w:w="5089" w:type="dxa"/>
          <w:shd w:val="clear" w:color="auto" w:fill="auto"/>
          <w:vAlign w:val="bottom"/>
        </w:tcPr>
        <w:p w:rsidR="000A10B1" w:rsidRPr="000A10B1" w:rsidRDefault="000A10B1" w:rsidP="000A10B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B7801">
            <w:rPr>
              <w:b/>
              <w:color w:val="000000"/>
            </w:rPr>
            <w:t>ECE/TRANS/WP.29/2015/90</w:t>
          </w:r>
          <w:r>
            <w:rPr>
              <w:b/>
              <w:color w:val="000000"/>
            </w:rPr>
            <w:fldChar w:fldCharType="end"/>
          </w:r>
        </w:p>
      </w:tc>
    </w:tr>
  </w:tbl>
  <w:p w:rsidR="000A10B1" w:rsidRPr="000A10B1" w:rsidRDefault="000A10B1" w:rsidP="000A10B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A10B1" w:rsidTr="000A10B1">
      <w:trPr>
        <w:trHeight w:hRule="exact" w:val="864"/>
      </w:trPr>
      <w:tc>
        <w:tcPr>
          <w:tcW w:w="1267" w:type="dxa"/>
          <w:tcBorders>
            <w:bottom w:val="single" w:sz="4" w:space="0" w:color="auto"/>
          </w:tcBorders>
          <w:shd w:val="clear" w:color="auto" w:fill="auto"/>
          <w:vAlign w:val="bottom"/>
        </w:tcPr>
        <w:p w:rsidR="000A10B1" w:rsidRDefault="000A10B1" w:rsidP="000A10B1">
          <w:pPr>
            <w:pStyle w:val="Header"/>
            <w:spacing w:after="120"/>
          </w:pPr>
        </w:p>
      </w:tc>
      <w:tc>
        <w:tcPr>
          <w:tcW w:w="2059" w:type="dxa"/>
          <w:tcBorders>
            <w:bottom w:val="single" w:sz="4" w:space="0" w:color="auto"/>
          </w:tcBorders>
          <w:shd w:val="clear" w:color="auto" w:fill="auto"/>
          <w:vAlign w:val="bottom"/>
        </w:tcPr>
        <w:p w:rsidR="000A10B1" w:rsidRPr="000A10B1" w:rsidRDefault="000A10B1" w:rsidP="000A10B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A10B1" w:rsidRDefault="000A10B1" w:rsidP="000A10B1">
          <w:pPr>
            <w:pStyle w:val="Header"/>
            <w:spacing w:after="120"/>
          </w:pPr>
        </w:p>
      </w:tc>
      <w:tc>
        <w:tcPr>
          <w:tcW w:w="6653" w:type="dxa"/>
          <w:gridSpan w:val="4"/>
          <w:tcBorders>
            <w:bottom w:val="single" w:sz="4" w:space="0" w:color="auto"/>
          </w:tcBorders>
          <w:shd w:val="clear" w:color="auto" w:fill="auto"/>
          <w:vAlign w:val="bottom"/>
        </w:tcPr>
        <w:p w:rsidR="000A10B1" w:rsidRPr="000A10B1" w:rsidRDefault="000A10B1" w:rsidP="000A10B1">
          <w:pPr>
            <w:spacing w:after="80" w:line="240" w:lineRule="auto"/>
            <w:jc w:val="right"/>
            <w:rPr>
              <w:position w:val="-4"/>
            </w:rPr>
          </w:pPr>
          <w:r>
            <w:rPr>
              <w:position w:val="-4"/>
              <w:sz w:val="40"/>
            </w:rPr>
            <w:t>ECE</w:t>
          </w:r>
          <w:r>
            <w:rPr>
              <w:position w:val="-4"/>
            </w:rPr>
            <w:t>/TRANS/WP.29/2015/90</w:t>
          </w:r>
        </w:p>
      </w:tc>
    </w:tr>
    <w:tr w:rsidR="000A10B1" w:rsidRPr="000A10B1" w:rsidTr="000A10B1">
      <w:trPr>
        <w:gridAfter w:val="1"/>
        <w:wAfter w:w="18" w:type="dxa"/>
        <w:trHeight w:hRule="exact" w:val="2880"/>
      </w:trPr>
      <w:tc>
        <w:tcPr>
          <w:tcW w:w="1267" w:type="dxa"/>
          <w:tcBorders>
            <w:top w:val="single" w:sz="4" w:space="0" w:color="auto"/>
            <w:bottom w:val="single" w:sz="12" w:space="0" w:color="auto"/>
          </w:tcBorders>
          <w:shd w:val="clear" w:color="auto" w:fill="auto"/>
        </w:tcPr>
        <w:p w:rsidR="000A10B1" w:rsidRPr="000A10B1" w:rsidRDefault="000A10B1" w:rsidP="000A10B1">
          <w:pPr>
            <w:pStyle w:val="Header"/>
            <w:spacing w:before="120" w:line="240" w:lineRule="auto"/>
            <w:ind w:left="-72"/>
            <w:jc w:val="center"/>
          </w:pPr>
          <w:r>
            <w:t xml:space="preserve">  </w:t>
          </w:r>
          <w:r>
            <w:rPr>
              <w:noProof/>
              <w:lang w:val="en-GB" w:eastAsia="en-GB"/>
            </w:rPr>
            <w:drawing>
              <wp:inline distT="0" distB="0" distL="0" distR="0" wp14:anchorId="40849777" wp14:editId="39B37BC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A10B1" w:rsidRPr="000A10B1" w:rsidRDefault="000A10B1" w:rsidP="000A10B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0A10B1" w:rsidRPr="000A10B1" w:rsidRDefault="000A10B1" w:rsidP="000A10B1">
          <w:pPr>
            <w:pStyle w:val="Header"/>
            <w:spacing w:before="109"/>
          </w:pPr>
        </w:p>
      </w:tc>
      <w:tc>
        <w:tcPr>
          <w:tcW w:w="3280" w:type="dxa"/>
          <w:tcBorders>
            <w:top w:val="single" w:sz="4" w:space="0" w:color="auto"/>
            <w:bottom w:val="single" w:sz="12" w:space="0" w:color="auto"/>
          </w:tcBorders>
          <w:shd w:val="clear" w:color="auto" w:fill="auto"/>
        </w:tcPr>
        <w:p w:rsidR="000A10B1" w:rsidRPr="00FC44B9" w:rsidRDefault="000A10B1" w:rsidP="000A10B1">
          <w:pPr>
            <w:pStyle w:val="Distribution"/>
            <w:rPr>
              <w:color w:val="000000"/>
              <w:lang w:val="fr-CH"/>
            </w:rPr>
          </w:pPr>
          <w:proofErr w:type="spellStart"/>
          <w:r w:rsidRPr="00FC44B9">
            <w:rPr>
              <w:color w:val="000000"/>
              <w:lang w:val="fr-CH"/>
            </w:rPr>
            <w:t>Distr</w:t>
          </w:r>
          <w:proofErr w:type="spellEnd"/>
          <w:r w:rsidRPr="00FC44B9">
            <w:rPr>
              <w:color w:val="000000"/>
              <w:lang w:val="fr-CH"/>
            </w:rPr>
            <w:t>. générale</w:t>
          </w:r>
        </w:p>
        <w:p w:rsidR="000A10B1" w:rsidRPr="00FC44B9" w:rsidRDefault="000A10B1" w:rsidP="000A10B1">
          <w:pPr>
            <w:pStyle w:val="Publication"/>
            <w:rPr>
              <w:color w:val="000000"/>
              <w:lang w:val="fr-CH"/>
            </w:rPr>
          </w:pPr>
          <w:r w:rsidRPr="00FC44B9">
            <w:rPr>
              <w:color w:val="000000"/>
              <w:lang w:val="fr-CH"/>
            </w:rPr>
            <w:t>24 août 2015</w:t>
          </w:r>
        </w:p>
        <w:p w:rsidR="000A10B1" w:rsidRPr="00FC44B9" w:rsidRDefault="000A10B1" w:rsidP="000A10B1">
          <w:pPr>
            <w:rPr>
              <w:lang w:val="fr-CH"/>
            </w:rPr>
          </w:pPr>
          <w:r w:rsidRPr="00FC44B9">
            <w:rPr>
              <w:lang w:val="fr-CH"/>
            </w:rPr>
            <w:t>Français</w:t>
          </w:r>
        </w:p>
        <w:p w:rsidR="000A10B1" w:rsidRPr="00FC44B9" w:rsidRDefault="000A10B1" w:rsidP="000A10B1">
          <w:pPr>
            <w:pStyle w:val="Original"/>
            <w:rPr>
              <w:color w:val="000000"/>
              <w:lang w:val="fr-CH"/>
            </w:rPr>
          </w:pPr>
          <w:r w:rsidRPr="00FC44B9">
            <w:rPr>
              <w:color w:val="000000"/>
              <w:lang w:val="fr-CH"/>
            </w:rPr>
            <w:t>Original : anglais</w:t>
          </w:r>
        </w:p>
      </w:tc>
    </w:tr>
  </w:tbl>
  <w:p w:rsidR="000A10B1" w:rsidRPr="00FC44B9" w:rsidRDefault="000A10B1" w:rsidP="000A10B1">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29*"/>
    <w:docVar w:name="CreationDt" w:val="9/22/2015 12:24 PM"/>
    <w:docVar w:name="DocCategory" w:val="Doc"/>
    <w:docVar w:name="DocType" w:val="Final"/>
    <w:docVar w:name="DutyStation" w:val="Geneva"/>
    <w:docVar w:name="FooterJN" w:val="GE.15-14229"/>
    <w:docVar w:name="jobn" w:val="GE.15-14229 (F)"/>
    <w:docVar w:name="jobnDT" w:val="GE.15-14229 (F)   220915"/>
    <w:docVar w:name="jobnDTDT" w:val="GE.15-14229 (F)   220915   220915"/>
    <w:docVar w:name="JobNo" w:val="GE.1514229F"/>
    <w:docVar w:name="JobNo2" w:val="GE.1518833F"/>
    <w:docVar w:name="LocalDrive" w:val="0"/>
    <w:docVar w:name="OandT" w:val="N.Morin"/>
    <w:docVar w:name="PaperSize" w:val="A4"/>
    <w:docVar w:name="sss1" w:val="ECE/TRANS/WP.29/2015/90"/>
    <w:docVar w:name="sss2" w:val="-"/>
    <w:docVar w:name="Symbol1" w:val="ECE/TRANS/WP.29/2015/90"/>
    <w:docVar w:name="Symbol2" w:val="-"/>
  </w:docVars>
  <w:rsids>
    <w:rsidRoot w:val="00E42659"/>
    <w:rsid w:val="000015B8"/>
    <w:rsid w:val="00001C12"/>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6B3C"/>
    <w:rsid w:val="000A10B1"/>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47A7"/>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B2B"/>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0393"/>
    <w:rsid w:val="003A2037"/>
    <w:rsid w:val="003A4ED6"/>
    <w:rsid w:val="003A56DC"/>
    <w:rsid w:val="003B411E"/>
    <w:rsid w:val="003B445F"/>
    <w:rsid w:val="003B49BF"/>
    <w:rsid w:val="003B60DA"/>
    <w:rsid w:val="003B60EE"/>
    <w:rsid w:val="003B668A"/>
    <w:rsid w:val="003B7801"/>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399D"/>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61EE"/>
    <w:rsid w:val="0063657E"/>
    <w:rsid w:val="00636EB6"/>
    <w:rsid w:val="006407EF"/>
    <w:rsid w:val="00640986"/>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766"/>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9A9"/>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0FA0"/>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05E2"/>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4FA3"/>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4FD6"/>
    <w:rsid w:val="00DE01B6"/>
    <w:rsid w:val="00DE1304"/>
    <w:rsid w:val="00DE1DD3"/>
    <w:rsid w:val="00DE1FBD"/>
    <w:rsid w:val="00DE4677"/>
    <w:rsid w:val="00DE64ED"/>
    <w:rsid w:val="00DF064D"/>
    <w:rsid w:val="00DF0CBF"/>
    <w:rsid w:val="00DF7AA7"/>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265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4B9"/>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A10B1"/>
    <w:rPr>
      <w:sz w:val="16"/>
      <w:szCs w:val="16"/>
    </w:rPr>
  </w:style>
  <w:style w:type="paragraph" w:styleId="CommentText">
    <w:name w:val="annotation text"/>
    <w:basedOn w:val="Normal"/>
    <w:link w:val="CommentTextChar"/>
    <w:uiPriority w:val="99"/>
    <w:semiHidden/>
    <w:unhideWhenUsed/>
    <w:rsid w:val="000A10B1"/>
    <w:pPr>
      <w:spacing w:line="240" w:lineRule="auto"/>
    </w:pPr>
    <w:rPr>
      <w:szCs w:val="20"/>
    </w:rPr>
  </w:style>
  <w:style w:type="character" w:customStyle="1" w:styleId="CommentTextChar">
    <w:name w:val="Comment Text Char"/>
    <w:basedOn w:val="DefaultParagraphFont"/>
    <w:link w:val="CommentText"/>
    <w:uiPriority w:val="99"/>
    <w:semiHidden/>
    <w:rsid w:val="000A10B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A10B1"/>
    <w:rPr>
      <w:b/>
      <w:bCs/>
    </w:rPr>
  </w:style>
  <w:style w:type="character" w:customStyle="1" w:styleId="CommentSubjectChar">
    <w:name w:val="Comment Subject Char"/>
    <w:basedOn w:val="CommentTextChar"/>
    <w:link w:val="CommentSubject"/>
    <w:uiPriority w:val="99"/>
    <w:semiHidden/>
    <w:rsid w:val="000A10B1"/>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A10B1"/>
    <w:rPr>
      <w:sz w:val="16"/>
      <w:szCs w:val="16"/>
    </w:rPr>
  </w:style>
  <w:style w:type="paragraph" w:styleId="CommentText">
    <w:name w:val="annotation text"/>
    <w:basedOn w:val="Normal"/>
    <w:link w:val="CommentTextChar"/>
    <w:uiPriority w:val="99"/>
    <w:semiHidden/>
    <w:unhideWhenUsed/>
    <w:rsid w:val="000A10B1"/>
    <w:pPr>
      <w:spacing w:line="240" w:lineRule="auto"/>
    </w:pPr>
    <w:rPr>
      <w:szCs w:val="20"/>
    </w:rPr>
  </w:style>
  <w:style w:type="character" w:customStyle="1" w:styleId="CommentTextChar">
    <w:name w:val="Comment Text Char"/>
    <w:basedOn w:val="DefaultParagraphFont"/>
    <w:link w:val="CommentText"/>
    <w:uiPriority w:val="99"/>
    <w:semiHidden/>
    <w:rsid w:val="000A10B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A10B1"/>
    <w:rPr>
      <w:b/>
      <w:bCs/>
    </w:rPr>
  </w:style>
  <w:style w:type="character" w:customStyle="1" w:styleId="CommentSubjectChar">
    <w:name w:val="Comment Subject Char"/>
    <w:basedOn w:val="CommentTextChar"/>
    <w:link w:val="CommentSubject"/>
    <w:uiPriority w:val="99"/>
    <w:semiHidden/>
    <w:rsid w:val="000A10B1"/>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540">
      <w:bodyDiv w:val="1"/>
      <w:marLeft w:val="0"/>
      <w:marRight w:val="0"/>
      <w:marTop w:val="0"/>
      <w:marBottom w:val="0"/>
      <w:divBdr>
        <w:top w:val="none" w:sz="0" w:space="0" w:color="auto"/>
        <w:left w:val="none" w:sz="0" w:space="0" w:color="auto"/>
        <w:bottom w:val="none" w:sz="0" w:space="0" w:color="auto"/>
        <w:right w:val="none" w:sz="0" w:space="0" w:color="auto"/>
      </w:divBdr>
    </w:div>
    <w:div w:id="470102089">
      <w:bodyDiv w:val="1"/>
      <w:marLeft w:val="0"/>
      <w:marRight w:val="0"/>
      <w:marTop w:val="0"/>
      <w:marBottom w:val="0"/>
      <w:divBdr>
        <w:top w:val="none" w:sz="0" w:space="0" w:color="auto"/>
        <w:left w:val="none" w:sz="0" w:space="0" w:color="auto"/>
        <w:bottom w:val="none" w:sz="0" w:space="0" w:color="auto"/>
        <w:right w:val="none" w:sz="0" w:space="0" w:color="auto"/>
      </w:divBdr>
    </w:div>
    <w:div w:id="1107115309">
      <w:bodyDiv w:val="1"/>
      <w:marLeft w:val="0"/>
      <w:marRight w:val="0"/>
      <w:marTop w:val="0"/>
      <w:marBottom w:val="0"/>
      <w:divBdr>
        <w:top w:val="none" w:sz="0" w:space="0" w:color="auto"/>
        <w:left w:val="none" w:sz="0" w:space="0" w:color="auto"/>
        <w:bottom w:val="none" w:sz="0" w:space="0" w:color="auto"/>
        <w:right w:val="none" w:sz="0" w:space="0" w:color="auto"/>
      </w:divBdr>
    </w:div>
    <w:div w:id="11495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F6BB-D87D-465E-834C-5B942374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3</cp:revision>
  <cp:lastPrinted>2015-10-02T08:50:00Z</cp:lastPrinted>
  <dcterms:created xsi:type="dcterms:W3CDTF">2015-10-02T08:50:00Z</dcterms:created>
  <dcterms:modified xsi:type="dcterms:W3CDTF">2015-10-02T08:50:00Z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1514229F</vt:lpwstr>
  </property>
  <property fmtid="{D5CDD505-2E9C-101B-9397-08002B2CF9AE}" pid="3" name="ODSRefJobNo">
    <vt:lpwstr>1518833F</vt:lpwstr>
  </property>
  <property fmtid="{D5CDD505-2E9C-101B-9397-08002B2CF9AE}" pid="4" name="Symbol1">
    <vt:lpwstr>ECE/TRANS/WP.29/2015/90</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août 2015</vt:lpwstr>
  </property>
  <property fmtid="{D5CDD505-2E9C-101B-9397-08002B2CF9AE}" pid="12" name="Original">
    <vt:lpwstr>anglais</vt:lpwstr>
  </property>
  <property fmtid="{D5CDD505-2E9C-101B-9397-08002B2CF9AE}" pid="13" name="Release Date">
    <vt:lpwstr>220915</vt:lpwstr>
  </property>
</Properties>
</file>