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996837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60533E">
              <w:t>5</w:t>
            </w:r>
            <w:r w:rsidR="00B55831">
              <w:t>/93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AD41D8" w:rsidP="00F37C40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2470" cy="589280"/>
                  <wp:effectExtent l="0" t="0" r="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130F84" w:rsidP="00F37C40">
            <w:pPr>
              <w:spacing w:line="240" w:lineRule="exact"/>
            </w:pPr>
            <w:r>
              <w:t>24</w:t>
            </w:r>
            <w:r w:rsidR="00E06775">
              <w:t xml:space="preserve"> August</w:t>
            </w:r>
            <w:r w:rsidR="009E1151" w:rsidRPr="00971970">
              <w:t xml:space="preserve"> 201</w:t>
            </w:r>
            <w:r w:rsidR="0060533E">
              <w:t>5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B55831" w:rsidP="00C96DF2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</w:t>
      </w:r>
      <w:r w:rsidR="00644F93">
        <w:rPr>
          <w:b/>
          <w:sz w:val="28"/>
          <w:szCs w:val="28"/>
        </w:rPr>
        <w:t>e</w:t>
      </w:r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9648EE" w:rsidP="009648EE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E06775">
        <w:rPr>
          <w:b/>
          <w:lang w:val="en-US"/>
        </w:rPr>
        <w:t>7</w:t>
      </w:r>
      <w:r w:rsidR="0060533E">
        <w:rPr>
          <w:b/>
          <w:vertAlign w:val="superscript"/>
          <w:lang w:val="en-US"/>
        </w:rPr>
        <w:t>th</w:t>
      </w:r>
      <w:r w:rsidR="00996837"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06775">
        <w:rPr>
          <w:lang w:val="en-US"/>
        </w:rPr>
        <w:t>10</w:t>
      </w:r>
      <w:r w:rsidR="0060533E">
        <w:rPr>
          <w:lang w:val="en-US"/>
        </w:rPr>
        <w:t>-</w:t>
      </w:r>
      <w:r w:rsidR="00237A95">
        <w:rPr>
          <w:lang w:val="en-US"/>
        </w:rPr>
        <w:t>13 November 2015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>Item 4.</w:t>
      </w:r>
      <w:r w:rsidR="00E06775">
        <w:rPr>
          <w:lang w:val="en-US"/>
        </w:rPr>
        <w:t>8.2</w:t>
      </w:r>
      <w:r w:rsidRPr="006D33D9">
        <w:rPr>
          <w:lang w:val="en-US"/>
        </w:rPr>
        <w:t xml:space="preserve"> of the provisional agenda</w:t>
      </w:r>
    </w:p>
    <w:p w:rsidR="009648EE" w:rsidRPr="006D33D9" w:rsidRDefault="009648EE" w:rsidP="009648EE">
      <w:pPr>
        <w:rPr>
          <w:b/>
        </w:rPr>
      </w:pPr>
      <w:r w:rsidRPr="006D33D9">
        <w:rPr>
          <w:b/>
        </w:rPr>
        <w:t xml:space="preserve">1958 Agreement – Consideration of draft </w:t>
      </w:r>
      <w:r>
        <w:rPr>
          <w:b/>
        </w:rPr>
        <w:t>amendments</w:t>
      </w:r>
      <w:r>
        <w:rPr>
          <w:b/>
        </w:rPr>
        <w:br/>
      </w:r>
      <w:r w:rsidRPr="006D33D9">
        <w:rPr>
          <w:b/>
        </w:rPr>
        <w:t>to existing Regulations submitted by GR</w:t>
      </w:r>
      <w:r w:rsidR="00996837">
        <w:rPr>
          <w:b/>
        </w:rPr>
        <w:t>SP</w:t>
      </w:r>
    </w:p>
    <w:p w:rsidR="009E1151" w:rsidRPr="00971970" w:rsidRDefault="009E1151" w:rsidP="007C250B">
      <w:pPr>
        <w:pStyle w:val="HChG"/>
      </w:pPr>
      <w:r w:rsidRPr="00971970">
        <w:tab/>
      </w:r>
      <w:r w:rsidRPr="00971970">
        <w:tab/>
      </w:r>
      <w:r w:rsidR="00996837" w:rsidRPr="00220873">
        <w:t>Pro</w:t>
      </w:r>
      <w:r w:rsidR="00E06775">
        <w:t>posal for Supplement 6 to the 06</w:t>
      </w:r>
      <w:r w:rsidR="00996837" w:rsidRPr="00220873">
        <w:t xml:space="preserve"> series of</w:t>
      </w:r>
      <w:r w:rsidR="00E06775">
        <w:t xml:space="preserve"> amendments to Regulation No. 16 (Safety-belt</w:t>
      </w:r>
      <w:r w:rsidR="00996837" w:rsidRPr="00220873">
        <w:t>s)</w:t>
      </w:r>
    </w:p>
    <w:p w:rsidR="00A32547" w:rsidRPr="006D33D9" w:rsidRDefault="00A32547" w:rsidP="007C250B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  <w:t xml:space="preserve">Submitted by </w:t>
      </w:r>
      <w:r w:rsidRPr="006D33D9">
        <w:t xml:space="preserve">the Working Party on </w:t>
      </w:r>
      <w:r w:rsidR="00996837">
        <w:t>Passive Safety</w:t>
      </w:r>
      <w:r w:rsidRPr="006D33D9">
        <w:rPr>
          <w:rStyle w:val="FootnoteReference"/>
          <w:b w:val="0"/>
          <w:sz w:val="20"/>
          <w:vertAlign w:val="baseline"/>
          <w:lang w:val="en-US"/>
        </w:rPr>
        <w:t xml:space="preserve"> </w:t>
      </w:r>
      <w:r w:rsidRPr="006D33D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9648EE" w:rsidRPr="006D33D9" w:rsidRDefault="009648EE" w:rsidP="009648EE">
      <w:pPr>
        <w:pStyle w:val="SingleTxtG"/>
        <w:ind w:firstLine="567"/>
        <w:rPr>
          <w:lang w:eastAsia="ja-JP"/>
        </w:rPr>
      </w:pPr>
      <w:r w:rsidRPr="006D33D9">
        <w:t xml:space="preserve">The text reproduced below was adopted by the Working Party on </w:t>
      </w:r>
      <w:r w:rsidR="00996837">
        <w:t>Passive Safety</w:t>
      </w:r>
      <w:r w:rsidRPr="006D33D9">
        <w:t xml:space="preserve"> </w:t>
      </w:r>
      <w:r w:rsidR="00A32547">
        <w:t>(</w:t>
      </w:r>
      <w:r w:rsidR="00912CF8">
        <w:t>GRSP</w:t>
      </w:r>
      <w:r w:rsidR="00A32547">
        <w:t xml:space="preserve">) </w:t>
      </w:r>
      <w:r w:rsidRPr="006D33D9">
        <w:t xml:space="preserve">at its </w:t>
      </w:r>
      <w:r>
        <w:t>fifty-</w:t>
      </w:r>
      <w:r w:rsidR="00E06775">
        <w:t>seven</w:t>
      </w:r>
      <w:r w:rsidR="00996837">
        <w:t>th</w:t>
      </w:r>
      <w:r>
        <w:t xml:space="preserve"> </w:t>
      </w:r>
      <w:r w:rsidRPr="006D33D9">
        <w:t>session (ECE/TRANS/WP.29/</w:t>
      </w:r>
      <w:r>
        <w:t>GR</w:t>
      </w:r>
      <w:r w:rsidR="00996837">
        <w:t>SP</w:t>
      </w:r>
      <w:r>
        <w:t>/5</w:t>
      </w:r>
      <w:r w:rsidR="00E06775">
        <w:t>7</w:t>
      </w:r>
      <w:r w:rsidRPr="006D33D9">
        <w:t>, para.</w:t>
      </w:r>
      <w:r>
        <w:t> </w:t>
      </w:r>
      <w:r w:rsidR="0060533E">
        <w:t>14</w:t>
      </w:r>
      <w:r w:rsidRPr="006D33D9">
        <w:t>)</w:t>
      </w:r>
      <w:r w:rsidRPr="006D33D9">
        <w:rPr>
          <w:lang w:eastAsia="it-IT"/>
        </w:rPr>
        <w:t xml:space="preserve">. </w:t>
      </w:r>
      <w:r w:rsidRPr="006D33D9">
        <w:rPr>
          <w:lang w:eastAsia="ja-JP"/>
        </w:rPr>
        <w:t>I</w:t>
      </w:r>
      <w:r w:rsidR="0060533E">
        <w:rPr>
          <w:lang w:eastAsia="ja-JP"/>
        </w:rPr>
        <w:t xml:space="preserve">t </w:t>
      </w:r>
      <w:r w:rsidR="00E06775">
        <w:rPr>
          <w:lang w:eastAsia="ja-JP"/>
        </w:rPr>
        <w:t>is based on ECE/TRANS/WP.29/</w:t>
      </w:r>
      <w:r w:rsidR="00D50520">
        <w:rPr>
          <w:lang w:eastAsia="ja-JP"/>
        </w:rPr>
        <w:t>GRSP/</w:t>
      </w:r>
      <w:r w:rsidR="00E06775">
        <w:rPr>
          <w:lang w:eastAsia="ja-JP"/>
        </w:rPr>
        <w:t>2015</w:t>
      </w:r>
      <w:r w:rsidRPr="006D33D9">
        <w:rPr>
          <w:lang w:eastAsia="ja-JP"/>
        </w:rPr>
        <w:t>/</w:t>
      </w:r>
      <w:r w:rsidR="00E06775">
        <w:rPr>
          <w:lang w:eastAsia="ja-JP"/>
        </w:rPr>
        <w:t>13</w:t>
      </w:r>
      <w:r w:rsidR="00996837" w:rsidRPr="00996837">
        <w:t xml:space="preserve"> </w:t>
      </w:r>
      <w:r w:rsidR="00E06775">
        <w:t xml:space="preserve">and </w:t>
      </w:r>
      <w:r w:rsidR="00E06775">
        <w:rPr>
          <w:lang w:eastAsia="ja-JP"/>
        </w:rPr>
        <w:t>ECE/TRANS/WP.29/</w:t>
      </w:r>
      <w:r w:rsidR="00D50520">
        <w:rPr>
          <w:lang w:eastAsia="ja-JP"/>
        </w:rPr>
        <w:t>GRSP/</w:t>
      </w:r>
      <w:r w:rsidR="00E06775">
        <w:rPr>
          <w:lang w:eastAsia="ja-JP"/>
        </w:rPr>
        <w:t>2015</w:t>
      </w:r>
      <w:r w:rsidR="00E06775" w:rsidRPr="006D33D9">
        <w:rPr>
          <w:lang w:eastAsia="ja-JP"/>
        </w:rPr>
        <w:t>/</w:t>
      </w:r>
      <w:r w:rsidR="00E06775">
        <w:rPr>
          <w:lang w:eastAsia="ja-JP"/>
        </w:rPr>
        <w:t>15</w:t>
      </w:r>
      <w:r w:rsidR="00E06775">
        <w:t xml:space="preserve"> </w:t>
      </w:r>
      <w:r w:rsidR="00996837" w:rsidRPr="00220873">
        <w:t>as amende</w:t>
      </w:r>
      <w:r w:rsidR="0060533E">
        <w:t>d by Annex II</w:t>
      </w:r>
      <w:r w:rsidR="00996837" w:rsidRPr="00220873">
        <w:t xml:space="preserve"> to the report</w:t>
      </w:r>
      <w:r w:rsidRPr="006D33D9">
        <w:t>. It is submitted to the World Forum for Harmonization of Vehicle Regulations (WP.29) and to the Administrative Committee AC.1 for consideration</w:t>
      </w:r>
      <w:r w:rsidRPr="006D33D9">
        <w:rPr>
          <w:lang w:val="en-US"/>
        </w:rPr>
        <w:t>.</w:t>
      </w:r>
    </w:p>
    <w:p w:rsidR="009E1151" w:rsidRPr="00971970" w:rsidRDefault="009E1151" w:rsidP="009E1151">
      <w:pPr>
        <w:pStyle w:val="SingleTxtG"/>
        <w:ind w:firstLine="567"/>
      </w:pPr>
    </w:p>
    <w:p w:rsidR="00465AEB" w:rsidRDefault="009E1151" w:rsidP="00465AEB">
      <w:pPr>
        <w:pStyle w:val="SingleTxtG"/>
        <w:rPr>
          <w:i/>
        </w:rPr>
      </w:pPr>
      <w:r w:rsidRPr="00971970">
        <w:br w:type="page"/>
      </w:r>
      <w:r w:rsidR="00465AEB">
        <w:rPr>
          <w:i/>
        </w:rPr>
        <w:lastRenderedPageBreak/>
        <w:t>Paragraph 6.2.2.2</w:t>
      </w:r>
      <w:r w:rsidR="00465AEB">
        <w:t>., amend to read:</w:t>
      </w:r>
    </w:p>
    <w:p w:rsidR="00465AEB" w:rsidRPr="00465AEB" w:rsidRDefault="00465AEB" w:rsidP="00465AEB">
      <w:pPr>
        <w:pStyle w:val="SingleTxtG"/>
        <w:ind w:left="2268" w:hanging="1134"/>
        <w:rPr>
          <w:lang w:val="en-US"/>
        </w:rPr>
      </w:pPr>
      <w:r>
        <w:rPr>
          <w:lang w:val="en-US"/>
        </w:rPr>
        <w:t>"6.2.2.2.</w:t>
      </w:r>
      <w:r>
        <w:rPr>
          <w:lang w:val="en-US"/>
        </w:rPr>
        <w:tab/>
      </w:r>
      <w:r w:rsidR="00C45F02">
        <w:t xml:space="preserve">The buckle, even when </w:t>
      </w:r>
      <w:r w:rsidR="00C45F02">
        <w:rPr>
          <w:lang w:val="en-US"/>
        </w:rPr>
        <w:t>…</w:t>
      </w:r>
      <w:r w:rsidR="00130F84">
        <w:rPr>
          <w:lang w:val="en-US"/>
        </w:rPr>
        <w:t xml:space="preserve"> …</w:t>
      </w:r>
      <w:r w:rsidR="00C45F02">
        <w:rPr>
          <w:lang w:val="en-US"/>
        </w:rPr>
        <w:t xml:space="preserve"> </w:t>
      </w:r>
      <w:r w:rsidRPr="00465AEB">
        <w:rPr>
          <w:lang w:val="en-US"/>
        </w:rPr>
        <w:t xml:space="preserve">The buckle release area shall be </w:t>
      </w:r>
      <w:proofErr w:type="spellStart"/>
      <w:r w:rsidRPr="00465AEB">
        <w:rPr>
          <w:lang w:val="en-US"/>
        </w:rPr>
        <w:t>coloured</w:t>
      </w:r>
      <w:proofErr w:type="spellEnd"/>
      <w:r w:rsidRPr="00465AEB">
        <w:rPr>
          <w:lang w:val="en-US"/>
        </w:rPr>
        <w:t xml:space="preserve"> red. No other part of the buckle shall be of this color. When the seat is occupied, </w:t>
      </w:r>
      <w:r w:rsidRPr="00465AEB">
        <w:rPr>
          <w:color w:val="222A35"/>
          <w:lang w:val="en-US"/>
        </w:rPr>
        <w:t>a</w:t>
      </w:r>
      <w:r w:rsidRPr="00465AEB">
        <w:rPr>
          <w:lang w:val="en-US"/>
        </w:rPr>
        <w:t xml:space="preserve"> red warning light as part of the buckle </w:t>
      </w:r>
      <w:r w:rsidRPr="00465AEB">
        <w:rPr>
          <w:color w:val="222A35"/>
          <w:lang w:val="en-US"/>
        </w:rPr>
        <w:t>shall be</w:t>
      </w:r>
      <w:r w:rsidRPr="00465AEB">
        <w:rPr>
          <w:lang w:val="en-US"/>
        </w:rPr>
        <w:t xml:space="preserve"> permitted, </w:t>
      </w:r>
      <w:r w:rsidRPr="00465AEB">
        <w:rPr>
          <w:color w:val="222A35"/>
          <w:lang w:val="en-US"/>
        </w:rPr>
        <w:t>if it is switched off by the action of buckling the seat belt</w:t>
      </w:r>
      <w:r w:rsidRPr="00465AEB">
        <w:rPr>
          <w:lang w:val="en-US"/>
        </w:rPr>
        <w:t>. </w:t>
      </w:r>
      <w:r w:rsidRPr="00465AEB">
        <w:rPr>
          <w:bCs/>
          <w:lang w:val="en-US"/>
        </w:rPr>
        <w:t xml:space="preserve">Lights illuminating the buckle in a </w:t>
      </w:r>
      <w:proofErr w:type="spellStart"/>
      <w:r w:rsidRPr="00465AEB">
        <w:rPr>
          <w:bCs/>
          <w:lang w:val="en-US"/>
        </w:rPr>
        <w:t>colour</w:t>
      </w:r>
      <w:proofErr w:type="spellEnd"/>
      <w:r w:rsidRPr="00465AEB">
        <w:rPr>
          <w:bCs/>
          <w:lang w:val="en-US"/>
        </w:rPr>
        <w:t xml:space="preserve"> other than red are not required to be switched off by the action of </w:t>
      </w:r>
      <w:r w:rsidRPr="00465AEB">
        <w:rPr>
          <w:bCs/>
          <w:color w:val="222A35"/>
          <w:lang w:val="en-US"/>
        </w:rPr>
        <w:t xml:space="preserve">buckling the seat belt. These </w:t>
      </w:r>
      <w:r w:rsidRPr="00465AEB">
        <w:rPr>
          <w:bCs/>
          <w:lang w:val="en-US"/>
        </w:rPr>
        <w:t xml:space="preserve">lights shall not illuminate the buckle in such a way that the perception of the red </w:t>
      </w:r>
      <w:proofErr w:type="spellStart"/>
      <w:r w:rsidRPr="00465AEB">
        <w:rPr>
          <w:bCs/>
          <w:lang w:val="en-US"/>
        </w:rPr>
        <w:t>colour</w:t>
      </w:r>
      <w:proofErr w:type="spellEnd"/>
      <w:r w:rsidRPr="00465AEB">
        <w:rPr>
          <w:bCs/>
          <w:lang w:val="en-US"/>
        </w:rPr>
        <w:t xml:space="preserve"> of the buckle release or the red of the warning light is affected."</w:t>
      </w:r>
    </w:p>
    <w:p w:rsidR="0074419E" w:rsidRPr="00465AEB" w:rsidRDefault="0074419E" w:rsidP="0074419E">
      <w:pPr>
        <w:pStyle w:val="SingleTxtG"/>
      </w:pPr>
      <w:r w:rsidRPr="00465AEB">
        <w:rPr>
          <w:i/>
        </w:rPr>
        <w:t>Paragraph 7.7.1.</w:t>
      </w:r>
      <w:r w:rsidRPr="00465AEB">
        <w:t>, amend to read:</w:t>
      </w:r>
    </w:p>
    <w:p w:rsidR="0074419E" w:rsidRPr="00465AEB" w:rsidRDefault="0074419E" w:rsidP="0074419E">
      <w:pPr>
        <w:pStyle w:val="SingleTxtG"/>
        <w:ind w:left="2268" w:hanging="1134"/>
      </w:pPr>
      <w:r w:rsidRPr="00465AEB">
        <w:t>"7.7.1.</w:t>
      </w:r>
      <w:r w:rsidRPr="00465AEB">
        <w:tab/>
        <w:t>The belt assembly shall be mounted on a trolley equipped with the seat and the general anchorages as defined in Annex 6, figure 1 to this Regulation. However, if the belt assembly is intended ...</w:t>
      </w:r>
      <w:r w:rsidR="00130F84">
        <w:t xml:space="preserve"> …</w:t>
      </w:r>
      <w:r w:rsidRPr="00465AEB">
        <w:t xml:space="preserve"> the maximum number of real anchorage points."</w:t>
      </w:r>
    </w:p>
    <w:p w:rsidR="0074419E" w:rsidRPr="00465AEB" w:rsidRDefault="0074419E" w:rsidP="0074419E">
      <w:pPr>
        <w:spacing w:after="120"/>
        <w:ind w:left="1134" w:right="1134"/>
        <w:jc w:val="both"/>
      </w:pPr>
      <w:r w:rsidRPr="00465AEB">
        <w:rPr>
          <w:i/>
          <w:iCs/>
        </w:rPr>
        <w:t>Annex 1B, item12</w:t>
      </w:r>
      <w:r w:rsidRPr="00465AEB">
        <w:t>, amend to read:</w:t>
      </w:r>
    </w:p>
    <w:p w:rsidR="0074419E" w:rsidRPr="00465AEB" w:rsidRDefault="0074419E" w:rsidP="0074419E">
      <w:pPr>
        <w:pStyle w:val="SingleTxtG"/>
        <w:ind w:left="2268" w:hanging="1134"/>
      </w:pPr>
      <w:r w:rsidRPr="00465AEB">
        <w:t>"1</w:t>
      </w:r>
      <w:r w:rsidRPr="00465AEB">
        <w:rPr>
          <w:bCs/>
        </w:rPr>
        <w:t>2</w:t>
      </w:r>
      <w:r w:rsidRPr="00465AEB">
        <w:t>.</w:t>
      </w:r>
      <w:r w:rsidRPr="00465AEB">
        <w:tab/>
        <w:t>Approval granted/refused/extended/withdrawn</w:t>
      </w:r>
      <w:r w:rsidRPr="00465AEB">
        <w:rPr>
          <w:vertAlign w:val="superscript"/>
        </w:rPr>
        <w:t>2</w:t>
      </w:r>
      <w:r w:rsidRPr="00465AEB">
        <w:t xml:space="preserve"> for fixation to the general anchorage positions as defined in Annex 6, figure 1 to this Regulation/for use in a specific v</w:t>
      </w:r>
      <w:bookmarkStart w:id="0" w:name="_GoBack"/>
      <w:bookmarkEnd w:id="0"/>
      <w:r w:rsidRPr="00465AEB">
        <w:t>ehicle or in specific types of vehicles.</w:t>
      </w:r>
      <w:r w:rsidRPr="00465AEB">
        <w:rPr>
          <w:vertAlign w:val="superscript"/>
        </w:rPr>
        <w:t>2</w:t>
      </w:r>
      <w:proofErr w:type="gramStart"/>
      <w:r w:rsidRPr="00465AEB">
        <w:rPr>
          <w:vertAlign w:val="superscript"/>
        </w:rPr>
        <w:t>,4</w:t>
      </w:r>
      <w:proofErr w:type="gramEnd"/>
      <w:r w:rsidRPr="00465AEB">
        <w:rPr>
          <w:vertAlign w:val="superscript"/>
        </w:rPr>
        <w:t xml:space="preserve"> </w:t>
      </w:r>
      <w:r w:rsidRPr="00465AEB">
        <w:t>"</w:t>
      </w:r>
    </w:p>
    <w:p w:rsidR="0074419E" w:rsidRPr="00465AEB" w:rsidRDefault="0074419E" w:rsidP="0074419E">
      <w:pPr>
        <w:pStyle w:val="SingleTxtG"/>
        <w:ind w:left="2268" w:hanging="1134"/>
      </w:pPr>
      <w:r w:rsidRPr="00130F84">
        <w:rPr>
          <w:i/>
        </w:rPr>
        <w:t xml:space="preserve">Annex 6, </w:t>
      </w:r>
      <w:proofErr w:type="gramStart"/>
      <w:r w:rsidRPr="00130F84">
        <w:rPr>
          <w:i/>
        </w:rPr>
        <w:t>para.3.2.</w:t>
      </w:r>
      <w:r w:rsidRPr="00465AEB">
        <w:t>,</w:t>
      </w:r>
      <w:proofErr w:type="gramEnd"/>
      <w:r w:rsidRPr="00465AEB">
        <w:t xml:space="preserve"> amend to read:</w:t>
      </w:r>
    </w:p>
    <w:p w:rsidR="0074419E" w:rsidRPr="00465AEB" w:rsidRDefault="0074419E" w:rsidP="00465AEB">
      <w:pPr>
        <w:pStyle w:val="SingleTxtG"/>
        <w:ind w:left="2268" w:hanging="1134"/>
      </w:pPr>
      <w:r w:rsidRPr="00465AEB">
        <w:t>"3.2.</w:t>
      </w:r>
      <w:r w:rsidRPr="00465AEB">
        <w:tab/>
        <w:t xml:space="preserve">The </w:t>
      </w:r>
      <w:r w:rsidRPr="00465AEB">
        <w:rPr>
          <w:bCs/>
        </w:rPr>
        <w:t>general</w:t>
      </w:r>
      <w:r w:rsidRPr="00465AEB">
        <w:t xml:space="preserve"> anchorages shall be …</w:t>
      </w:r>
      <w:r w:rsidR="00130F84">
        <w:t xml:space="preserve"> …</w:t>
      </w:r>
      <w:r w:rsidRPr="00465AEB">
        <w:t>"</w:t>
      </w:r>
    </w:p>
    <w:p w:rsidR="00726116" w:rsidRPr="009644B4" w:rsidRDefault="009644B4" w:rsidP="009644B4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</w:p>
    <w:sectPr w:rsidR="00726116" w:rsidRPr="009644B4" w:rsidSect="009E115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94" w:rsidRDefault="00C27594"/>
  </w:endnote>
  <w:endnote w:type="continuationSeparator" w:id="0">
    <w:p w:rsidR="00C27594" w:rsidRDefault="00C27594"/>
  </w:endnote>
  <w:endnote w:type="continuationNotice" w:id="1">
    <w:p w:rsidR="00C27594" w:rsidRDefault="00C27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130F84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E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130F84" w:rsidRDefault="00130F84" w:rsidP="00130F84">
    <w:pPr>
      <w:pStyle w:val="Footer"/>
      <w:rPr>
        <w:sz w:val="20"/>
        <w:lang w:val="fr-CH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55D829FA" wp14:editId="60CF2F37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3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</w:t>
    </w:r>
    <w:r>
      <w:rPr>
        <w:sz w:val="20"/>
        <w:lang w:val="en-AU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94" w:rsidRPr="000B175B" w:rsidRDefault="00C275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7594" w:rsidRPr="00FC68B7" w:rsidRDefault="00C275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27594" w:rsidRDefault="00C27594"/>
  </w:footnote>
  <w:footnote w:id="2">
    <w:p w:rsidR="00081990" w:rsidRPr="00A84D55" w:rsidRDefault="00081990" w:rsidP="00A32547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Pr="00A224E8">
        <w:rPr>
          <w:lang w:val="en-US"/>
        </w:rPr>
        <w:t xml:space="preserve">In accordance with the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of work of the Inland Transport Committee for 2012–2016 (ECE/TRANS/224, para. 94 and ECE/TRANS/2012/12,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</w:t>
      </w:r>
      <w:r w:rsidRPr="00C04C5C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E06775">
    <w:pPr>
      <w:pStyle w:val="Header"/>
    </w:pPr>
    <w:r>
      <w:t>ECE/TRANS/WP.29/2015/</w:t>
    </w:r>
    <w:r w:rsidR="00B55831">
      <w:t>93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Header"/>
      <w:jc w:val="right"/>
    </w:pPr>
    <w:r>
      <w:t>ECE/TRANS/WP.29/2014/2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F03AF"/>
    <w:multiLevelType w:val="hybridMultilevel"/>
    <w:tmpl w:val="E4DA2F32"/>
    <w:lvl w:ilvl="0" w:tplc="FF0C1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466A6"/>
    <w:multiLevelType w:val="hybridMultilevel"/>
    <w:tmpl w:val="6CCC3522"/>
    <w:lvl w:ilvl="0" w:tplc="D0C218B8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6F8E"/>
    <w:rsid w:val="00013F7F"/>
    <w:rsid w:val="00046B1F"/>
    <w:rsid w:val="00050F6B"/>
    <w:rsid w:val="00052635"/>
    <w:rsid w:val="00057E97"/>
    <w:rsid w:val="000646F4"/>
    <w:rsid w:val="0007117E"/>
    <w:rsid w:val="00072C8C"/>
    <w:rsid w:val="000733B5"/>
    <w:rsid w:val="00081815"/>
    <w:rsid w:val="00081990"/>
    <w:rsid w:val="000931C0"/>
    <w:rsid w:val="000A3279"/>
    <w:rsid w:val="000B0595"/>
    <w:rsid w:val="000B175B"/>
    <w:rsid w:val="000B2F02"/>
    <w:rsid w:val="000B3A0F"/>
    <w:rsid w:val="000B4EF7"/>
    <w:rsid w:val="000B5616"/>
    <w:rsid w:val="000C2C03"/>
    <w:rsid w:val="000C2D2E"/>
    <w:rsid w:val="000C336C"/>
    <w:rsid w:val="000D1845"/>
    <w:rsid w:val="000D544C"/>
    <w:rsid w:val="000E0415"/>
    <w:rsid w:val="000E286F"/>
    <w:rsid w:val="001103AA"/>
    <w:rsid w:val="0011411A"/>
    <w:rsid w:val="00114808"/>
    <w:rsid w:val="00115D49"/>
    <w:rsid w:val="0011666B"/>
    <w:rsid w:val="00130F84"/>
    <w:rsid w:val="00165F3A"/>
    <w:rsid w:val="00182290"/>
    <w:rsid w:val="001A3955"/>
    <w:rsid w:val="001A3A21"/>
    <w:rsid w:val="001B1BD2"/>
    <w:rsid w:val="001B4B04"/>
    <w:rsid w:val="001C0069"/>
    <w:rsid w:val="001C6663"/>
    <w:rsid w:val="001C7895"/>
    <w:rsid w:val="001D0C8C"/>
    <w:rsid w:val="001D1419"/>
    <w:rsid w:val="001D26DF"/>
    <w:rsid w:val="001D3A03"/>
    <w:rsid w:val="001E7B67"/>
    <w:rsid w:val="00200F8A"/>
    <w:rsid w:val="00202DA8"/>
    <w:rsid w:val="00211E0B"/>
    <w:rsid w:val="0021688A"/>
    <w:rsid w:val="00227398"/>
    <w:rsid w:val="00230304"/>
    <w:rsid w:val="00237A95"/>
    <w:rsid w:val="0024772E"/>
    <w:rsid w:val="00267F5F"/>
    <w:rsid w:val="00286B4D"/>
    <w:rsid w:val="002C1067"/>
    <w:rsid w:val="002D24EF"/>
    <w:rsid w:val="002D4643"/>
    <w:rsid w:val="002F175C"/>
    <w:rsid w:val="002F4E41"/>
    <w:rsid w:val="002F7DE0"/>
    <w:rsid w:val="00302E18"/>
    <w:rsid w:val="0030653A"/>
    <w:rsid w:val="003229D8"/>
    <w:rsid w:val="00352709"/>
    <w:rsid w:val="0035574D"/>
    <w:rsid w:val="003619B5"/>
    <w:rsid w:val="00361AC3"/>
    <w:rsid w:val="00365763"/>
    <w:rsid w:val="00371178"/>
    <w:rsid w:val="003763A1"/>
    <w:rsid w:val="00392E47"/>
    <w:rsid w:val="00396A1E"/>
    <w:rsid w:val="003A6810"/>
    <w:rsid w:val="003C2CC4"/>
    <w:rsid w:val="003C534D"/>
    <w:rsid w:val="003D0BFD"/>
    <w:rsid w:val="003D4B23"/>
    <w:rsid w:val="003E130E"/>
    <w:rsid w:val="003E3216"/>
    <w:rsid w:val="00402A67"/>
    <w:rsid w:val="00410C89"/>
    <w:rsid w:val="00422E03"/>
    <w:rsid w:val="00426B9B"/>
    <w:rsid w:val="004325CB"/>
    <w:rsid w:val="00442A83"/>
    <w:rsid w:val="0045495B"/>
    <w:rsid w:val="004561E5"/>
    <w:rsid w:val="004610C6"/>
    <w:rsid w:val="00465AEB"/>
    <w:rsid w:val="0048397A"/>
    <w:rsid w:val="00485CBB"/>
    <w:rsid w:val="0048640E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878D4"/>
    <w:rsid w:val="005941EC"/>
    <w:rsid w:val="0059724D"/>
    <w:rsid w:val="005B320C"/>
    <w:rsid w:val="005B3DB3"/>
    <w:rsid w:val="005B4E13"/>
    <w:rsid w:val="005C342F"/>
    <w:rsid w:val="005C55E6"/>
    <w:rsid w:val="005C7D1E"/>
    <w:rsid w:val="005F7B75"/>
    <w:rsid w:val="006001EE"/>
    <w:rsid w:val="00605042"/>
    <w:rsid w:val="0060533E"/>
    <w:rsid w:val="00611FC4"/>
    <w:rsid w:val="006176FB"/>
    <w:rsid w:val="00640B26"/>
    <w:rsid w:val="00644F93"/>
    <w:rsid w:val="00652D0A"/>
    <w:rsid w:val="00662BB6"/>
    <w:rsid w:val="00671B51"/>
    <w:rsid w:val="0067362F"/>
    <w:rsid w:val="00676606"/>
    <w:rsid w:val="00684C21"/>
    <w:rsid w:val="00693C6E"/>
    <w:rsid w:val="006A2530"/>
    <w:rsid w:val="006C1DBB"/>
    <w:rsid w:val="006C2561"/>
    <w:rsid w:val="006C3589"/>
    <w:rsid w:val="006C4F27"/>
    <w:rsid w:val="006C603F"/>
    <w:rsid w:val="006D29D3"/>
    <w:rsid w:val="006D37AF"/>
    <w:rsid w:val="006D51D0"/>
    <w:rsid w:val="006D5FB9"/>
    <w:rsid w:val="006D658E"/>
    <w:rsid w:val="006E1ABB"/>
    <w:rsid w:val="006E564B"/>
    <w:rsid w:val="006E7191"/>
    <w:rsid w:val="006F4059"/>
    <w:rsid w:val="00703577"/>
    <w:rsid w:val="00705894"/>
    <w:rsid w:val="00726116"/>
    <w:rsid w:val="0072632A"/>
    <w:rsid w:val="007327D5"/>
    <w:rsid w:val="0074419E"/>
    <w:rsid w:val="007629C8"/>
    <w:rsid w:val="0077047D"/>
    <w:rsid w:val="00777D9F"/>
    <w:rsid w:val="00782C68"/>
    <w:rsid w:val="007B62CA"/>
    <w:rsid w:val="007B6BA5"/>
    <w:rsid w:val="007C250B"/>
    <w:rsid w:val="007C3390"/>
    <w:rsid w:val="007C4F4B"/>
    <w:rsid w:val="007C5F88"/>
    <w:rsid w:val="007E01E9"/>
    <w:rsid w:val="007E63F3"/>
    <w:rsid w:val="007F6611"/>
    <w:rsid w:val="00811920"/>
    <w:rsid w:val="00815AD0"/>
    <w:rsid w:val="00815EDB"/>
    <w:rsid w:val="008242D7"/>
    <w:rsid w:val="008257B1"/>
    <w:rsid w:val="00825988"/>
    <w:rsid w:val="00832334"/>
    <w:rsid w:val="00832CF2"/>
    <w:rsid w:val="00843191"/>
    <w:rsid w:val="00843767"/>
    <w:rsid w:val="0084441B"/>
    <w:rsid w:val="008679D9"/>
    <w:rsid w:val="00876B14"/>
    <w:rsid w:val="008878DE"/>
    <w:rsid w:val="008979B1"/>
    <w:rsid w:val="008A1ED5"/>
    <w:rsid w:val="008A6B25"/>
    <w:rsid w:val="008A6C4F"/>
    <w:rsid w:val="008B2335"/>
    <w:rsid w:val="008B2E36"/>
    <w:rsid w:val="008C3DBB"/>
    <w:rsid w:val="008E0678"/>
    <w:rsid w:val="008F31D2"/>
    <w:rsid w:val="00912CF8"/>
    <w:rsid w:val="00915EF6"/>
    <w:rsid w:val="009223CA"/>
    <w:rsid w:val="00940F93"/>
    <w:rsid w:val="009448C3"/>
    <w:rsid w:val="009644B4"/>
    <w:rsid w:val="009648EE"/>
    <w:rsid w:val="00967118"/>
    <w:rsid w:val="00967EE4"/>
    <w:rsid w:val="0097093F"/>
    <w:rsid w:val="00971970"/>
    <w:rsid w:val="009760F3"/>
    <w:rsid w:val="00976CFB"/>
    <w:rsid w:val="00996837"/>
    <w:rsid w:val="009A0830"/>
    <w:rsid w:val="009A0E8D"/>
    <w:rsid w:val="009B26E7"/>
    <w:rsid w:val="009B64BB"/>
    <w:rsid w:val="009E1151"/>
    <w:rsid w:val="009F6AB4"/>
    <w:rsid w:val="00A00697"/>
    <w:rsid w:val="00A00A3F"/>
    <w:rsid w:val="00A01489"/>
    <w:rsid w:val="00A3026E"/>
    <w:rsid w:val="00A32547"/>
    <w:rsid w:val="00A338F1"/>
    <w:rsid w:val="00A35BE0"/>
    <w:rsid w:val="00A6129C"/>
    <w:rsid w:val="00A64C22"/>
    <w:rsid w:val="00A72F22"/>
    <w:rsid w:val="00A7360F"/>
    <w:rsid w:val="00A748A6"/>
    <w:rsid w:val="00A769F4"/>
    <w:rsid w:val="00A776B4"/>
    <w:rsid w:val="00A94361"/>
    <w:rsid w:val="00AA293C"/>
    <w:rsid w:val="00AD41D8"/>
    <w:rsid w:val="00B0277B"/>
    <w:rsid w:val="00B15DCE"/>
    <w:rsid w:val="00B21AE6"/>
    <w:rsid w:val="00B30179"/>
    <w:rsid w:val="00B421C1"/>
    <w:rsid w:val="00B53C21"/>
    <w:rsid w:val="00B55831"/>
    <w:rsid w:val="00B55C71"/>
    <w:rsid w:val="00B56E4A"/>
    <w:rsid w:val="00B56E9C"/>
    <w:rsid w:val="00B64B1F"/>
    <w:rsid w:val="00B6553F"/>
    <w:rsid w:val="00B75BE2"/>
    <w:rsid w:val="00B77D05"/>
    <w:rsid w:val="00B81206"/>
    <w:rsid w:val="00B81E12"/>
    <w:rsid w:val="00B837D1"/>
    <w:rsid w:val="00BC3FA0"/>
    <w:rsid w:val="00BC74E9"/>
    <w:rsid w:val="00BF0ABF"/>
    <w:rsid w:val="00BF30B3"/>
    <w:rsid w:val="00BF68A8"/>
    <w:rsid w:val="00C0028F"/>
    <w:rsid w:val="00C0062E"/>
    <w:rsid w:val="00C06C2F"/>
    <w:rsid w:val="00C11A03"/>
    <w:rsid w:val="00C22C0C"/>
    <w:rsid w:val="00C27594"/>
    <w:rsid w:val="00C4527F"/>
    <w:rsid w:val="00C45F02"/>
    <w:rsid w:val="00C463DD"/>
    <w:rsid w:val="00C4724C"/>
    <w:rsid w:val="00C629A0"/>
    <w:rsid w:val="00C64629"/>
    <w:rsid w:val="00C745C3"/>
    <w:rsid w:val="00C822BB"/>
    <w:rsid w:val="00C96DF2"/>
    <w:rsid w:val="00CB3E03"/>
    <w:rsid w:val="00CD04FC"/>
    <w:rsid w:val="00CD4AA6"/>
    <w:rsid w:val="00CE4A8F"/>
    <w:rsid w:val="00D2031B"/>
    <w:rsid w:val="00D248B6"/>
    <w:rsid w:val="00D25FE2"/>
    <w:rsid w:val="00D26E07"/>
    <w:rsid w:val="00D43252"/>
    <w:rsid w:val="00D47EEA"/>
    <w:rsid w:val="00D50520"/>
    <w:rsid w:val="00D773DF"/>
    <w:rsid w:val="00D95303"/>
    <w:rsid w:val="00D978C6"/>
    <w:rsid w:val="00DA3C1C"/>
    <w:rsid w:val="00DC6D39"/>
    <w:rsid w:val="00DE08C9"/>
    <w:rsid w:val="00E046DF"/>
    <w:rsid w:val="00E06775"/>
    <w:rsid w:val="00E22B0C"/>
    <w:rsid w:val="00E27346"/>
    <w:rsid w:val="00E40A45"/>
    <w:rsid w:val="00E560CA"/>
    <w:rsid w:val="00E5788B"/>
    <w:rsid w:val="00E71BC8"/>
    <w:rsid w:val="00E7260F"/>
    <w:rsid w:val="00E73F5D"/>
    <w:rsid w:val="00E77E4E"/>
    <w:rsid w:val="00E96630"/>
    <w:rsid w:val="00EA2A77"/>
    <w:rsid w:val="00EC66EF"/>
    <w:rsid w:val="00ED7A2A"/>
    <w:rsid w:val="00EF1D7F"/>
    <w:rsid w:val="00EF52B9"/>
    <w:rsid w:val="00F1328A"/>
    <w:rsid w:val="00F31E5F"/>
    <w:rsid w:val="00F37C40"/>
    <w:rsid w:val="00F5528F"/>
    <w:rsid w:val="00F56854"/>
    <w:rsid w:val="00F6100A"/>
    <w:rsid w:val="00F93781"/>
    <w:rsid w:val="00FA4CFA"/>
    <w:rsid w:val="00FB5F17"/>
    <w:rsid w:val="00FB613B"/>
    <w:rsid w:val="00FC68B7"/>
    <w:rsid w:val="00FD3F98"/>
    <w:rsid w:val="00FE106A"/>
    <w:rsid w:val="00FE7003"/>
    <w:rsid w:val="00FE7450"/>
    <w:rsid w:val="00FF145D"/>
    <w:rsid w:val="00FF50E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FooterChar">
    <w:name w:val="Footer Char"/>
    <w:aliases w:val="3_G Char"/>
    <w:link w:val="Footer"/>
    <w:rsid w:val="00130F84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FooterChar">
    <w:name w:val="Footer Char"/>
    <w:aliases w:val="3_G Char"/>
    <w:link w:val="Footer"/>
    <w:rsid w:val="00130F84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3</cp:revision>
  <cp:lastPrinted>2013-12-16T15:03:00Z</cp:lastPrinted>
  <dcterms:created xsi:type="dcterms:W3CDTF">2015-08-18T16:31:00Z</dcterms:created>
  <dcterms:modified xsi:type="dcterms:W3CDTF">2015-08-24T12:38:00Z</dcterms:modified>
</cp:coreProperties>
</file>