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E4" w:rsidRDefault="002B6060" w:rsidP="00B22501">
      <w:pPr>
        <w:pStyle w:val="HChG"/>
        <w:tabs>
          <w:tab w:val="clear" w:pos="851"/>
        </w:tabs>
        <w:ind w:right="1088" w:firstLine="0"/>
        <w:jc w:val="center"/>
      </w:pPr>
      <w:r w:rsidRPr="002B6060">
        <w:rPr>
          <w:lang w:val="en-US"/>
        </w:rPr>
        <w:t xml:space="preserve">DETA financing </w:t>
      </w:r>
      <w:r w:rsidRPr="002B6060">
        <w:t>scheme</w:t>
      </w:r>
    </w:p>
    <w:p w:rsidR="00474127" w:rsidRPr="00E307B8" w:rsidRDefault="002B6060" w:rsidP="002B6060">
      <w:pPr>
        <w:pStyle w:val="HChG"/>
        <w:tabs>
          <w:tab w:val="left" w:pos="1134"/>
        </w:tabs>
        <w:spacing w:before="240" w:after="120" w:line="240" w:lineRule="auto"/>
        <w:ind w:right="902"/>
        <w:rPr>
          <w:lang w:val="en-US"/>
        </w:rPr>
      </w:pPr>
      <w:r w:rsidRPr="00E307B8">
        <w:rPr>
          <w:lang w:val="en-US"/>
        </w:rPr>
        <w:tab/>
        <w:t>1.</w:t>
      </w:r>
      <w:r w:rsidRPr="00E307B8">
        <w:rPr>
          <w:lang w:val="en-US"/>
        </w:rPr>
        <w:tab/>
      </w:r>
      <w:r w:rsidR="00474127" w:rsidRPr="00E307B8">
        <w:rPr>
          <w:lang w:val="en-US"/>
        </w:rPr>
        <w:t>Introduction</w:t>
      </w:r>
    </w:p>
    <w:p w:rsidR="00474127" w:rsidRDefault="00257A56" w:rsidP="002B6060">
      <w:pPr>
        <w:pStyle w:val="SingleTxtG"/>
        <w:tabs>
          <w:tab w:val="left" w:pos="1134"/>
          <w:tab w:val="left" w:pos="1701"/>
        </w:tabs>
        <w:ind w:right="904"/>
        <w:rPr>
          <w:spacing w:val="-2"/>
          <w:lang w:val="en-US"/>
        </w:rPr>
      </w:pPr>
      <w:r w:rsidRPr="002B6060">
        <w:rPr>
          <w:spacing w:val="-2"/>
          <w:lang w:val="en-US"/>
        </w:rPr>
        <w:t xml:space="preserve">WP.29 </w:t>
      </w:r>
      <w:r w:rsidR="00D077E9">
        <w:rPr>
          <w:spacing w:val="-2"/>
          <w:lang w:val="en-US"/>
        </w:rPr>
        <w:t xml:space="preserve">has </w:t>
      </w:r>
      <w:r w:rsidRPr="002B6060">
        <w:rPr>
          <w:spacing w:val="-2"/>
          <w:lang w:val="en-US"/>
        </w:rPr>
        <w:t xml:space="preserve">considered </w:t>
      </w:r>
      <w:r w:rsidR="00D077E9">
        <w:rPr>
          <w:spacing w:val="-2"/>
          <w:lang w:val="en-US"/>
        </w:rPr>
        <w:t xml:space="preserve">various options to set up a system that would </w:t>
      </w:r>
      <w:proofErr w:type="gramStart"/>
      <w:r w:rsidR="00D077E9">
        <w:rPr>
          <w:spacing w:val="-2"/>
          <w:lang w:val="en-US"/>
        </w:rPr>
        <w:t xml:space="preserve">allow </w:t>
      </w:r>
      <w:r w:rsidRPr="002B6060">
        <w:rPr>
          <w:spacing w:val="-2"/>
          <w:lang w:val="en-US"/>
        </w:rPr>
        <w:t xml:space="preserve"> type</w:t>
      </w:r>
      <w:proofErr w:type="gramEnd"/>
      <w:r w:rsidRPr="002B6060">
        <w:rPr>
          <w:spacing w:val="-2"/>
          <w:lang w:val="en-US"/>
        </w:rPr>
        <w:t xml:space="preserve"> approvals granted according to UN Regulations annexed to the 1958 Agreement</w:t>
      </w:r>
      <w:r w:rsidR="00D077E9">
        <w:rPr>
          <w:spacing w:val="-2"/>
          <w:lang w:val="en-US"/>
        </w:rPr>
        <w:t xml:space="preserve"> to be managed electronically</w:t>
      </w:r>
      <w:r w:rsidRPr="002B6060">
        <w:rPr>
          <w:spacing w:val="-2"/>
          <w:lang w:val="en-US"/>
        </w:rPr>
        <w:t xml:space="preserve">. The initial objective of the WP.29 discussion in 2002/2003 </w:t>
      </w:r>
      <w:r w:rsidR="00D077E9" w:rsidRPr="002B6060">
        <w:rPr>
          <w:spacing w:val="-2"/>
          <w:lang w:val="en-US"/>
        </w:rPr>
        <w:t>w</w:t>
      </w:r>
      <w:r w:rsidR="00D077E9">
        <w:rPr>
          <w:spacing w:val="-2"/>
          <w:lang w:val="en-US"/>
        </w:rPr>
        <w:t xml:space="preserve">as </w:t>
      </w:r>
      <w:r w:rsidRPr="002B6060">
        <w:rPr>
          <w:spacing w:val="-2"/>
          <w:lang w:val="en-US"/>
        </w:rPr>
        <w:t xml:space="preserve">to reinforce the transparency and the efficiency of the 1958 Agreement. </w:t>
      </w:r>
      <w:r w:rsidR="00D077E9">
        <w:rPr>
          <w:spacing w:val="-2"/>
          <w:lang w:val="en-US"/>
        </w:rPr>
        <w:t>Currently</w:t>
      </w:r>
      <w:r w:rsidRPr="002B6060">
        <w:rPr>
          <w:spacing w:val="-2"/>
          <w:lang w:val="en-US"/>
        </w:rPr>
        <w:t xml:space="preserve">, </w:t>
      </w:r>
      <w:r w:rsidR="00D077E9">
        <w:rPr>
          <w:spacing w:val="-2"/>
          <w:lang w:val="en-US"/>
        </w:rPr>
        <w:t xml:space="preserve">the activities concerning the creation of an electronic </w:t>
      </w:r>
      <w:r w:rsidR="00D077E9" w:rsidRPr="002B6060">
        <w:rPr>
          <w:spacing w:val="-2"/>
          <w:lang w:val="en-US"/>
        </w:rPr>
        <w:t>Database for Exchange of Type Approvals (DETA)</w:t>
      </w:r>
      <w:r w:rsidR="00D077E9">
        <w:rPr>
          <w:spacing w:val="-2"/>
          <w:lang w:val="en-US"/>
        </w:rPr>
        <w:t xml:space="preserve"> as well as </w:t>
      </w:r>
      <w:r w:rsidR="00D077E9" w:rsidRPr="002B6060">
        <w:rPr>
          <w:spacing w:val="-2"/>
          <w:lang w:val="en-US"/>
        </w:rPr>
        <w:t xml:space="preserve">the final adoption of draft Revision 3 to the 1958 </w:t>
      </w:r>
      <w:proofErr w:type="gramStart"/>
      <w:r w:rsidR="00D077E9" w:rsidRPr="002B6060">
        <w:rPr>
          <w:spacing w:val="-2"/>
          <w:lang w:val="en-US"/>
        </w:rPr>
        <w:t>Agreement</w:t>
      </w:r>
      <w:r w:rsidR="00D077E9" w:rsidRPr="002B6060" w:rsidDel="00D077E9">
        <w:rPr>
          <w:spacing w:val="-2"/>
          <w:lang w:val="en-US"/>
        </w:rPr>
        <w:t xml:space="preserve"> </w:t>
      </w:r>
      <w:r w:rsidRPr="002B6060">
        <w:rPr>
          <w:spacing w:val="-2"/>
          <w:lang w:val="en-US"/>
        </w:rPr>
        <w:t xml:space="preserve"> are</w:t>
      </w:r>
      <w:proofErr w:type="gramEnd"/>
      <w:r w:rsidRPr="002B6060">
        <w:rPr>
          <w:spacing w:val="-2"/>
          <w:lang w:val="en-US"/>
        </w:rPr>
        <w:t xml:space="preserve"> in </w:t>
      </w:r>
      <w:r w:rsidR="00D077E9">
        <w:rPr>
          <w:spacing w:val="-2"/>
          <w:lang w:val="en-US"/>
        </w:rPr>
        <w:t>the</w:t>
      </w:r>
      <w:r w:rsidR="00D077E9" w:rsidRPr="002B6060">
        <w:rPr>
          <w:spacing w:val="-2"/>
          <w:lang w:val="en-US"/>
        </w:rPr>
        <w:t xml:space="preserve"> </w:t>
      </w:r>
      <w:r w:rsidRPr="002B6060">
        <w:rPr>
          <w:spacing w:val="-2"/>
          <w:lang w:val="en-US"/>
        </w:rPr>
        <w:t>final stage</w:t>
      </w:r>
      <w:r w:rsidR="00D077E9">
        <w:rPr>
          <w:spacing w:val="-2"/>
          <w:lang w:val="en-US"/>
        </w:rPr>
        <w:t>s</w:t>
      </w:r>
      <w:r w:rsidRPr="002B6060">
        <w:rPr>
          <w:spacing w:val="-2"/>
          <w:lang w:val="en-US"/>
        </w:rPr>
        <w:t xml:space="preserve"> </w:t>
      </w:r>
      <w:r w:rsidR="00D077E9">
        <w:rPr>
          <w:spacing w:val="-2"/>
          <w:lang w:val="en-US"/>
        </w:rPr>
        <w:t xml:space="preserve">and are </w:t>
      </w:r>
      <w:r w:rsidRPr="002B6060">
        <w:rPr>
          <w:spacing w:val="-2"/>
          <w:lang w:val="en-US"/>
        </w:rPr>
        <w:t>of highest priority</w:t>
      </w:r>
      <w:r w:rsidR="00D077E9">
        <w:rPr>
          <w:spacing w:val="-2"/>
          <w:lang w:val="en-US"/>
        </w:rPr>
        <w:t>.</w:t>
      </w:r>
      <w:r w:rsidRPr="002B6060">
        <w:rPr>
          <w:spacing w:val="-2"/>
          <w:lang w:val="en-US"/>
        </w:rPr>
        <w:t xml:space="preserve"> . According to the provisions of each UN Regulation annexed to the 1958 Agreement, the competent authority of each Contracting Party applying a Regulation shall communicate, to the competent authority of the other Contracting Parties to the 1958 Agreement which apply that Regulation, a notice of approval or of extension or refusal of approval of a type of vehicle, equipment or parts pursuant to that Regulation</w:t>
      </w:r>
      <w:r w:rsidR="00D077E9">
        <w:rPr>
          <w:spacing w:val="-2"/>
          <w:lang w:val="en-US"/>
        </w:rPr>
        <w:t>. This communication should take place</w:t>
      </w:r>
      <w:r w:rsidRPr="002B6060">
        <w:rPr>
          <w:spacing w:val="-2"/>
          <w:lang w:val="en-US"/>
        </w:rPr>
        <w:t xml:space="preserve"> by means of a form </w:t>
      </w:r>
      <w:r w:rsidR="00D077E9">
        <w:rPr>
          <w:spacing w:val="-2"/>
          <w:lang w:val="en-US"/>
        </w:rPr>
        <w:t>following</w:t>
      </w:r>
      <w:r w:rsidRPr="002B6060">
        <w:rPr>
          <w:spacing w:val="-2"/>
          <w:lang w:val="en-US"/>
        </w:rPr>
        <w:t xml:space="preserve"> the model annexed to the Regulation. Under the current Revision 2 </w:t>
      </w:r>
      <w:r w:rsidR="00D077E9">
        <w:rPr>
          <w:spacing w:val="-2"/>
          <w:lang w:val="en-US"/>
        </w:rPr>
        <w:t>of</w:t>
      </w:r>
      <w:r w:rsidR="00D077E9" w:rsidRPr="002B6060">
        <w:rPr>
          <w:spacing w:val="-2"/>
          <w:lang w:val="en-US"/>
        </w:rPr>
        <w:t xml:space="preserve"> </w:t>
      </w:r>
      <w:r w:rsidRPr="002B6060">
        <w:rPr>
          <w:spacing w:val="-2"/>
          <w:lang w:val="en-US"/>
        </w:rPr>
        <w:t>the 1958 Agreement, this communication shall be done by</w:t>
      </w:r>
      <w:r w:rsidR="00D077E9">
        <w:rPr>
          <w:spacing w:val="-2"/>
          <w:lang w:val="en-US"/>
        </w:rPr>
        <w:t xml:space="preserve"> sending</w:t>
      </w:r>
      <w:r w:rsidRPr="002B6060">
        <w:rPr>
          <w:spacing w:val="-2"/>
          <w:lang w:val="en-US"/>
        </w:rPr>
        <w:t xml:space="preserve"> paper copies via mail. To reduce the </w:t>
      </w:r>
      <w:r w:rsidR="00D077E9">
        <w:rPr>
          <w:spacing w:val="-2"/>
          <w:lang w:val="en-US"/>
        </w:rPr>
        <w:t>costs related to</w:t>
      </w:r>
      <w:r w:rsidRPr="002B6060">
        <w:rPr>
          <w:spacing w:val="-2"/>
          <w:lang w:val="en-US"/>
        </w:rPr>
        <w:t xml:space="preserve"> type approval documentation </w:t>
      </w:r>
      <w:r w:rsidR="00D077E9">
        <w:rPr>
          <w:spacing w:val="-2"/>
          <w:lang w:val="en-US"/>
        </w:rPr>
        <w:t>for</w:t>
      </w:r>
      <w:r w:rsidR="00D077E9" w:rsidRPr="002B6060">
        <w:rPr>
          <w:spacing w:val="-2"/>
          <w:lang w:val="en-US"/>
        </w:rPr>
        <w:t xml:space="preserve"> </w:t>
      </w:r>
      <w:r w:rsidRPr="002B6060">
        <w:rPr>
          <w:spacing w:val="-2"/>
          <w:lang w:val="en-US"/>
        </w:rPr>
        <w:t xml:space="preserve">all Contracting Parties, WP.29 </w:t>
      </w:r>
      <w:r w:rsidR="00D077E9">
        <w:rPr>
          <w:spacing w:val="-2"/>
          <w:lang w:val="en-US"/>
        </w:rPr>
        <w:t xml:space="preserve">has </w:t>
      </w:r>
      <w:r w:rsidRPr="002B6060">
        <w:rPr>
          <w:spacing w:val="-2"/>
          <w:lang w:val="en-US"/>
        </w:rPr>
        <w:t xml:space="preserve">considered the possibility </w:t>
      </w:r>
      <w:r w:rsidR="00D077E9">
        <w:rPr>
          <w:spacing w:val="-2"/>
          <w:lang w:val="en-US"/>
        </w:rPr>
        <w:t>of distributing</w:t>
      </w:r>
      <w:r w:rsidRPr="002B6060">
        <w:rPr>
          <w:spacing w:val="-2"/>
          <w:lang w:val="en-US"/>
        </w:rPr>
        <w:t xml:space="preserve"> the type approval documentation</w:t>
      </w:r>
      <w:r w:rsidR="00D077E9" w:rsidRPr="00D077E9">
        <w:rPr>
          <w:spacing w:val="-2"/>
          <w:lang w:val="en-US"/>
        </w:rPr>
        <w:t xml:space="preserve"> </w:t>
      </w:r>
      <w:r w:rsidR="00D077E9" w:rsidRPr="002B6060">
        <w:rPr>
          <w:spacing w:val="-2"/>
          <w:lang w:val="en-US"/>
        </w:rPr>
        <w:t>electronically</w:t>
      </w:r>
      <w:r w:rsidRPr="002B6060">
        <w:rPr>
          <w:spacing w:val="-2"/>
          <w:lang w:val="en-US"/>
        </w:rPr>
        <w:t>.</w:t>
      </w:r>
      <w:r w:rsidR="00E3222E">
        <w:rPr>
          <w:spacing w:val="-2"/>
          <w:lang w:val="en-US"/>
        </w:rPr>
        <w:t xml:space="preserve"> Among other</w:t>
      </w:r>
      <w:r w:rsidR="00D077E9">
        <w:rPr>
          <w:spacing w:val="-2"/>
          <w:lang w:val="en-US"/>
        </w:rPr>
        <w:t xml:space="preserve"> benefit</w:t>
      </w:r>
      <w:r w:rsidR="00E3222E">
        <w:rPr>
          <w:spacing w:val="-2"/>
          <w:lang w:val="en-US"/>
        </w:rPr>
        <w:t xml:space="preserve">s, this </w:t>
      </w:r>
      <w:r w:rsidR="00D077E9">
        <w:rPr>
          <w:spacing w:val="-2"/>
          <w:lang w:val="en-US"/>
        </w:rPr>
        <w:t xml:space="preserve">system </w:t>
      </w:r>
      <w:r w:rsidR="00E3222E">
        <w:rPr>
          <w:spacing w:val="-2"/>
          <w:lang w:val="en-US"/>
        </w:rPr>
        <w:t>w</w:t>
      </w:r>
      <w:r w:rsidR="00D077E9">
        <w:rPr>
          <w:spacing w:val="-2"/>
          <w:lang w:val="en-US"/>
        </w:rPr>
        <w:t>ould</w:t>
      </w:r>
      <w:r w:rsidR="00E3222E">
        <w:rPr>
          <w:spacing w:val="-2"/>
          <w:lang w:val="en-US"/>
        </w:rPr>
        <w:t xml:space="preserve"> help a Type Approval Authority </w:t>
      </w:r>
      <w:r w:rsidR="00D077E9">
        <w:rPr>
          <w:spacing w:val="-2"/>
          <w:lang w:val="en-US"/>
        </w:rPr>
        <w:t>keep track of</w:t>
      </w:r>
      <w:r w:rsidR="00E3222E">
        <w:rPr>
          <w:spacing w:val="-2"/>
          <w:lang w:val="en-US"/>
        </w:rPr>
        <w:t xml:space="preserve"> whether a vehicle </w:t>
      </w:r>
      <w:r w:rsidR="00D077E9">
        <w:rPr>
          <w:spacing w:val="-2"/>
          <w:lang w:val="en-US"/>
        </w:rPr>
        <w:t xml:space="preserve">has </w:t>
      </w:r>
      <w:r w:rsidR="00E3222E">
        <w:rPr>
          <w:spacing w:val="-2"/>
          <w:lang w:val="en-US"/>
        </w:rPr>
        <w:t xml:space="preserve">already received a refusal. WP.29 </w:t>
      </w:r>
      <w:r w:rsidR="00D077E9">
        <w:rPr>
          <w:spacing w:val="-2"/>
          <w:lang w:val="en-US"/>
        </w:rPr>
        <w:t xml:space="preserve">has </w:t>
      </w:r>
      <w:r w:rsidR="00E3222E">
        <w:rPr>
          <w:spacing w:val="-2"/>
          <w:lang w:val="en-US"/>
        </w:rPr>
        <w:t>expressed the wish for DETA to be hosted by UNECE.</w:t>
      </w:r>
      <w:r w:rsidR="00D077E9">
        <w:rPr>
          <w:spacing w:val="-2"/>
          <w:lang w:val="en-US"/>
        </w:rPr>
        <w:t xml:space="preserve"> </w:t>
      </w:r>
    </w:p>
    <w:p w:rsidR="002E3183" w:rsidRPr="002B6060" w:rsidRDefault="002E3183" w:rsidP="002B6060">
      <w:pPr>
        <w:pStyle w:val="SingleTxtG"/>
        <w:tabs>
          <w:tab w:val="left" w:pos="1134"/>
          <w:tab w:val="left" w:pos="1701"/>
        </w:tabs>
        <w:ind w:right="904"/>
        <w:rPr>
          <w:spacing w:val="-2"/>
          <w:lang w:val="en-US"/>
        </w:rPr>
      </w:pPr>
    </w:p>
    <w:p w:rsidR="00257A56" w:rsidRDefault="002B6060" w:rsidP="002B6060">
      <w:pPr>
        <w:pStyle w:val="HChG"/>
        <w:tabs>
          <w:tab w:val="left" w:pos="1134"/>
        </w:tabs>
        <w:spacing w:before="240" w:after="120" w:line="240" w:lineRule="auto"/>
        <w:ind w:right="902"/>
        <w:rPr>
          <w:lang w:val="en-US"/>
        </w:rPr>
      </w:pPr>
      <w:r>
        <w:rPr>
          <w:lang w:val="en-US"/>
        </w:rPr>
        <w:tab/>
        <w:t>2.</w:t>
      </w:r>
      <w:r>
        <w:rPr>
          <w:lang w:val="en-US"/>
        </w:rPr>
        <w:tab/>
        <w:t>Costs estimations</w:t>
      </w:r>
    </w:p>
    <w:p w:rsidR="00B232DB" w:rsidRDefault="00B84D03" w:rsidP="00B232DB">
      <w:pPr>
        <w:ind w:left="1134" w:right="946"/>
        <w:jc w:val="both"/>
        <w:rPr>
          <w:spacing w:val="-2"/>
          <w:lang w:val="en-US"/>
        </w:rPr>
      </w:pPr>
      <w:r w:rsidRPr="002B6060">
        <w:rPr>
          <w:sz w:val="24"/>
          <w:szCs w:val="24"/>
          <w:lang w:val="en-US"/>
        </w:rPr>
        <w:t>A</w:t>
      </w:r>
      <w:r>
        <w:rPr>
          <w:sz w:val="24"/>
          <w:szCs w:val="24"/>
          <w:lang w:val="en-US"/>
        </w:rPr>
        <w:t>.</w:t>
      </w:r>
      <w:r w:rsidR="00E3222E">
        <w:rPr>
          <w:sz w:val="24"/>
          <w:szCs w:val="24"/>
          <w:lang w:val="en-US"/>
        </w:rPr>
        <w:tab/>
      </w:r>
      <w:r>
        <w:rPr>
          <w:sz w:val="24"/>
          <w:szCs w:val="24"/>
          <w:lang w:val="en-US"/>
        </w:rPr>
        <w:t>Costs</w:t>
      </w:r>
      <w:r w:rsidR="00B232DB" w:rsidRPr="00B232DB">
        <w:rPr>
          <w:spacing w:val="-2"/>
          <w:lang w:val="en-US"/>
        </w:rPr>
        <w:t xml:space="preserve"> </w:t>
      </w:r>
    </w:p>
    <w:p w:rsidR="00B232DB" w:rsidRDefault="00B232DB" w:rsidP="00B232DB">
      <w:pPr>
        <w:ind w:left="1134" w:right="946"/>
        <w:jc w:val="both"/>
        <w:rPr>
          <w:spacing w:val="-2"/>
          <w:lang w:val="en-US"/>
        </w:rPr>
      </w:pPr>
    </w:p>
    <w:p w:rsidR="002E3183" w:rsidRDefault="00B232DB" w:rsidP="00B232DB">
      <w:pPr>
        <w:ind w:left="1134" w:right="946"/>
        <w:jc w:val="both"/>
        <w:rPr>
          <w:lang w:val="en-US"/>
        </w:rPr>
      </w:pPr>
      <w:r w:rsidRPr="00835E26">
        <w:rPr>
          <w:spacing w:val="-2"/>
          <w:lang w:val="en-US"/>
        </w:rPr>
        <w:t>Table 1 lists the estimated total costs for hosting DETA. The first year of operation would include initial startup costs covering the license and hardware and totaling $45,000</w:t>
      </w:r>
      <w:r>
        <w:rPr>
          <w:spacing w:val="-2"/>
          <w:lang w:val="en-US"/>
        </w:rPr>
        <w:t xml:space="preserve"> in addition to administrative costs of $53,000</w:t>
      </w:r>
      <w:r w:rsidRPr="00835E26">
        <w:rPr>
          <w:spacing w:val="-2"/>
          <w:lang w:val="en-US"/>
        </w:rPr>
        <w:t>. Once the system is in operation</w:t>
      </w:r>
      <w:r>
        <w:rPr>
          <w:spacing w:val="-2"/>
          <w:lang w:val="en-US"/>
        </w:rPr>
        <w:t>,</w:t>
      </w:r>
      <w:r w:rsidRPr="00835E26">
        <w:rPr>
          <w:spacing w:val="-2"/>
          <w:lang w:val="en-US"/>
        </w:rPr>
        <w:t xml:space="preserve"> reoccurring costs, including operating costs and administration costs, would come up to $98,000 per year. Following UN Rules, all cost estimates must include an allotment request of 13% for support costs and a mandatory operating reserve of 15%</w:t>
      </w:r>
      <w:r>
        <w:rPr>
          <w:spacing w:val="-2"/>
          <w:lang w:val="en-US"/>
        </w:rPr>
        <w:t xml:space="preserve">. </w:t>
      </w:r>
      <w:r w:rsidRPr="00835E26">
        <w:rPr>
          <w:spacing w:val="-2"/>
          <w:lang w:val="en-US"/>
        </w:rPr>
        <w:t>These percentages have been added to the total costs shown in the table.</w:t>
      </w:r>
      <w:r>
        <w:rPr>
          <w:lang w:val="en-US"/>
        </w:rPr>
        <w:t xml:space="preserve">  </w:t>
      </w:r>
    </w:p>
    <w:p w:rsidR="002E3183" w:rsidRDefault="002E3183" w:rsidP="002E3183">
      <w:pPr>
        <w:rPr>
          <w:lang w:val="en-US"/>
        </w:rPr>
      </w:pPr>
      <w:r>
        <w:rPr>
          <w:lang w:val="en-US"/>
        </w:rPr>
        <w:br w:type="page"/>
      </w:r>
    </w:p>
    <w:p w:rsidR="00AB5AF0" w:rsidRPr="00D01B3A" w:rsidRDefault="00AB5AF0" w:rsidP="00B232DB">
      <w:pPr>
        <w:ind w:left="1134" w:right="946"/>
        <w:jc w:val="both"/>
        <w:rPr>
          <w:lang w:val="en-US"/>
        </w:rPr>
      </w:pPr>
    </w:p>
    <w:tbl>
      <w:tblPr>
        <w:tblW w:w="7245" w:type="dxa"/>
        <w:tblInd w:w="959" w:type="dxa"/>
        <w:tblLook w:val="04A0" w:firstRow="1" w:lastRow="0" w:firstColumn="1" w:lastColumn="0" w:noHBand="0" w:noVBand="1"/>
      </w:tblPr>
      <w:tblGrid>
        <w:gridCol w:w="440"/>
        <w:gridCol w:w="759"/>
        <w:gridCol w:w="1589"/>
        <w:gridCol w:w="805"/>
        <w:gridCol w:w="764"/>
        <w:gridCol w:w="764"/>
        <w:gridCol w:w="764"/>
        <w:gridCol w:w="700"/>
        <w:gridCol w:w="660"/>
      </w:tblGrid>
      <w:tr w:rsidR="00AB5AF0" w:rsidRPr="00AB5AF0" w:rsidTr="00AB5AF0">
        <w:trPr>
          <w:trHeight w:val="315"/>
        </w:trPr>
        <w:tc>
          <w:tcPr>
            <w:tcW w:w="440" w:type="dxa"/>
            <w:tcBorders>
              <w:top w:val="single" w:sz="8" w:space="0" w:color="auto"/>
              <w:left w:val="single" w:sz="8" w:space="0" w:color="auto"/>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r w:rsidRPr="00AB5AF0">
              <w:rPr>
                <w:rFonts w:ascii="Calibri" w:hAnsi="Calibri" w:cs="Calibri"/>
                <w:color w:val="000000"/>
                <w:sz w:val="22"/>
                <w:szCs w:val="22"/>
                <w:lang w:eastAsia="en-GB"/>
              </w:rPr>
              <w:t> </w:t>
            </w:r>
          </w:p>
        </w:tc>
        <w:tc>
          <w:tcPr>
            <w:tcW w:w="759" w:type="dxa"/>
            <w:tcBorders>
              <w:top w:val="single" w:sz="8" w:space="0" w:color="auto"/>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r w:rsidRPr="00AB5AF0">
              <w:rPr>
                <w:rFonts w:ascii="Calibri" w:hAnsi="Calibri" w:cs="Calibri"/>
                <w:color w:val="000000"/>
                <w:sz w:val="22"/>
                <w:szCs w:val="22"/>
                <w:lang w:eastAsia="en-GB"/>
              </w:rPr>
              <w:t> </w:t>
            </w:r>
          </w:p>
        </w:tc>
        <w:tc>
          <w:tcPr>
            <w:tcW w:w="1589" w:type="dxa"/>
            <w:tcBorders>
              <w:top w:val="single" w:sz="8" w:space="0" w:color="auto"/>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r w:rsidRPr="00AB5AF0">
              <w:rPr>
                <w:rFonts w:ascii="Calibri" w:hAnsi="Calibri" w:cs="Calibri"/>
                <w:color w:val="000000"/>
                <w:sz w:val="22"/>
                <w:szCs w:val="22"/>
                <w:lang w:eastAsia="en-GB"/>
              </w:rPr>
              <w:t> </w:t>
            </w:r>
          </w:p>
        </w:tc>
        <w:tc>
          <w:tcPr>
            <w:tcW w:w="805"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Year 1 </w:t>
            </w:r>
          </w:p>
        </w:tc>
        <w:tc>
          <w:tcPr>
            <w:tcW w:w="764" w:type="dxa"/>
            <w:tcBorders>
              <w:top w:val="single" w:sz="8" w:space="0" w:color="auto"/>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Year 2</w:t>
            </w:r>
          </w:p>
        </w:tc>
        <w:tc>
          <w:tcPr>
            <w:tcW w:w="764"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Year 3</w:t>
            </w:r>
          </w:p>
        </w:tc>
        <w:tc>
          <w:tcPr>
            <w:tcW w:w="764" w:type="dxa"/>
            <w:tcBorders>
              <w:top w:val="single" w:sz="8" w:space="0" w:color="auto"/>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Year 4</w:t>
            </w:r>
          </w:p>
        </w:tc>
        <w:tc>
          <w:tcPr>
            <w:tcW w:w="700" w:type="dxa"/>
            <w:tcBorders>
              <w:top w:val="single" w:sz="8" w:space="0" w:color="auto"/>
              <w:left w:val="single" w:sz="4" w:space="0" w:color="auto"/>
              <w:bottom w:val="double" w:sz="6"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Year 5</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15"/>
        </w:trPr>
        <w:tc>
          <w:tcPr>
            <w:tcW w:w="2788" w:type="dxa"/>
            <w:gridSpan w:val="3"/>
            <w:tcBorders>
              <w:top w:val="nil"/>
              <w:left w:val="single" w:sz="8" w:space="0" w:color="auto"/>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i/>
                <w:iCs/>
                <w:color w:val="000000"/>
                <w:sz w:val="18"/>
                <w:szCs w:val="18"/>
                <w:lang w:eastAsia="en-GB"/>
              </w:rPr>
            </w:pPr>
            <w:r w:rsidRPr="00AB5AF0">
              <w:rPr>
                <w:rFonts w:ascii="Calibri" w:hAnsi="Calibri" w:cs="Calibri"/>
                <w:b/>
                <w:bCs/>
                <w:i/>
                <w:iCs/>
                <w:color w:val="000000"/>
                <w:sz w:val="18"/>
                <w:szCs w:val="18"/>
                <w:lang w:eastAsia="en-GB"/>
              </w:rPr>
              <w:t>Initial start-up cost</w:t>
            </w:r>
          </w:p>
        </w:tc>
        <w:tc>
          <w:tcPr>
            <w:tcW w:w="805"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p>
        </w:tc>
        <w:tc>
          <w:tcPr>
            <w:tcW w:w="764"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p>
        </w:tc>
        <w:tc>
          <w:tcPr>
            <w:tcW w:w="700" w:type="dxa"/>
            <w:tcBorders>
              <w:top w:val="nil"/>
              <w:left w:val="single" w:sz="4" w:space="0" w:color="auto"/>
              <w:bottom w:val="nil"/>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single" w:sz="4" w:space="0" w:color="auto"/>
              <w:left w:val="single" w:sz="8" w:space="0" w:color="auto"/>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59"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Licence</w:t>
            </w:r>
          </w:p>
        </w:tc>
        <w:tc>
          <w:tcPr>
            <w:tcW w:w="1589"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30</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nil"/>
              <w:left w:val="single" w:sz="8" w:space="0" w:color="auto"/>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2348" w:type="dxa"/>
            <w:gridSpan w:val="2"/>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Hardware</w:t>
            </w:r>
          </w:p>
        </w:tc>
        <w:tc>
          <w:tcPr>
            <w:tcW w:w="805"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15</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00" w:type="dxa"/>
            <w:tcBorders>
              <w:top w:val="nil"/>
              <w:left w:val="single" w:sz="4" w:space="0" w:color="auto"/>
              <w:bottom w:val="nil"/>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2788" w:type="dxa"/>
            <w:gridSpan w:val="3"/>
            <w:tcBorders>
              <w:top w:val="single" w:sz="4" w:space="0" w:color="auto"/>
              <w:left w:val="single" w:sz="8" w:space="0" w:color="auto"/>
              <w:bottom w:val="single" w:sz="4" w:space="0" w:color="auto"/>
              <w:right w:val="nil"/>
            </w:tcBorders>
            <w:shd w:val="clear" w:color="auto" w:fill="auto"/>
            <w:noWrap/>
            <w:vAlign w:val="center"/>
            <w:hideMark/>
          </w:tcPr>
          <w:p w:rsidR="00AB5AF0" w:rsidRPr="00AB5AF0" w:rsidRDefault="00AB5AF0" w:rsidP="00AB5AF0">
            <w:pPr>
              <w:suppressAutoHyphens w:val="0"/>
              <w:spacing w:line="240" w:lineRule="auto"/>
              <w:rPr>
                <w:rFonts w:ascii="Calibri" w:hAnsi="Calibri" w:cs="Calibri"/>
                <w:b/>
                <w:bCs/>
                <w:i/>
                <w:iCs/>
                <w:color w:val="000000"/>
                <w:sz w:val="18"/>
                <w:szCs w:val="18"/>
                <w:lang w:eastAsia="en-GB"/>
              </w:rPr>
            </w:pPr>
            <w:r w:rsidRPr="00AB5AF0">
              <w:rPr>
                <w:rFonts w:ascii="Calibri" w:hAnsi="Calibri" w:cs="Calibri"/>
                <w:b/>
                <w:bCs/>
                <w:i/>
                <w:iCs/>
                <w:color w:val="000000"/>
                <w:sz w:val="18"/>
                <w:szCs w:val="18"/>
                <w:lang w:eastAsia="en-GB"/>
              </w:rPr>
              <w:t>Recurring costs</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nil"/>
              <w:left w:val="single" w:sz="8" w:space="0" w:color="auto"/>
              <w:bottom w:val="nil"/>
              <w:right w:val="nil"/>
            </w:tcBorders>
            <w:shd w:val="clear" w:color="auto" w:fill="auto"/>
            <w:noWrap/>
            <w:vAlign w:val="center"/>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2348" w:type="dxa"/>
            <w:gridSpan w:val="2"/>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 xml:space="preserve">Operating costs </w:t>
            </w:r>
          </w:p>
        </w:tc>
        <w:tc>
          <w:tcPr>
            <w:tcW w:w="805"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p>
        </w:tc>
        <w:tc>
          <w:tcPr>
            <w:tcW w:w="764"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p>
        </w:tc>
        <w:tc>
          <w:tcPr>
            <w:tcW w:w="700" w:type="dxa"/>
            <w:tcBorders>
              <w:top w:val="nil"/>
              <w:left w:val="single" w:sz="4" w:space="0" w:color="auto"/>
              <w:bottom w:val="nil"/>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single" w:sz="4" w:space="0" w:color="auto"/>
              <w:left w:val="single" w:sz="8" w:space="0" w:color="auto"/>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59"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1589"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Licence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30</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30</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nil"/>
              <w:left w:val="single" w:sz="8" w:space="0" w:color="auto"/>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r w:rsidRPr="00AB5AF0">
              <w:rPr>
                <w:rFonts w:ascii="Calibri" w:hAnsi="Calibri" w:cs="Calibri"/>
                <w:color w:val="000000"/>
                <w:sz w:val="22"/>
                <w:szCs w:val="22"/>
                <w:lang w:eastAsia="en-GB"/>
              </w:rPr>
              <w:t> </w:t>
            </w: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Hardware</w:t>
            </w:r>
          </w:p>
        </w:tc>
        <w:tc>
          <w:tcPr>
            <w:tcW w:w="805" w:type="dxa"/>
            <w:tcBorders>
              <w:top w:val="nil"/>
              <w:left w:val="single" w:sz="4" w:space="0" w:color="auto"/>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xml:space="preserve"> -</w:t>
            </w:r>
          </w:p>
        </w:tc>
        <w:tc>
          <w:tcPr>
            <w:tcW w:w="764" w:type="dxa"/>
            <w:tcBorders>
              <w:top w:val="nil"/>
              <w:left w:val="nil"/>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15</w:t>
            </w:r>
          </w:p>
        </w:tc>
        <w:tc>
          <w:tcPr>
            <w:tcW w:w="764" w:type="dxa"/>
            <w:tcBorders>
              <w:top w:val="nil"/>
              <w:left w:val="nil"/>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15</w:t>
            </w:r>
          </w:p>
        </w:tc>
        <w:tc>
          <w:tcPr>
            <w:tcW w:w="764" w:type="dxa"/>
            <w:tcBorders>
              <w:top w:val="nil"/>
              <w:left w:val="nil"/>
              <w:bottom w:val="nil"/>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15</w:t>
            </w:r>
          </w:p>
        </w:tc>
        <w:tc>
          <w:tcPr>
            <w:tcW w:w="700" w:type="dxa"/>
            <w:tcBorders>
              <w:top w:val="nil"/>
              <w:left w:val="nil"/>
              <w:bottom w:val="nil"/>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15</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single" w:sz="4" w:space="0" w:color="auto"/>
              <w:left w:val="single" w:sz="8" w:space="0" w:color="auto"/>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2348" w:type="dxa"/>
            <w:gridSpan w:val="2"/>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Administration costs</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single" w:sz="4" w:space="0" w:color="auto"/>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00"/>
        </w:trPr>
        <w:tc>
          <w:tcPr>
            <w:tcW w:w="440" w:type="dxa"/>
            <w:tcBorders>
              <w:top w:val="nil"/>
              <w:left w:val="single" w:sz="8" w:space="0" w:color="auto"/>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59" w:type="dxa"/>
            <w:tcBorders>
              <w:top w:val="nil"/>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1589" w:type="dxa"/>
            <w:tcBorders>
              <w:top w:val="nil"/>
              <w:left w:val="nil"/>
              <w:bottom w:val="single" w:sz="4"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Human resources</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90</w:t>
            </w:r>
          </w:p>
        </w:tc>
        <w:tc>
          <w:tcPr>
            <w:tcW w:w="764" w:type="dxa"/>
            <w:tcBorders>
              <w:top w:val="nil"/>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40</w:t>
            </w:r>
          </w:p>
        </w:tc>
        <w:tc>
          <w:tcPr>
            <w:tcW w:w="764" w:type="dxa"/>
            <w:tcBorders>
              <w:top w:val="nil"/>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40</w:t>
            </w:r>
          </w:p>
        </w:tc>
        <w:tc>
          <w:tcPr>
            <w:tcW w:w="764" w:type="dxa"/>
            <w:tcBorders>
              <w:top w:val="nil"/>
              <w:left w:val="nil"/>
              <w:bottom w:val="single" w:sz="4"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40</w:t>
            </w:r>
          </w:p>
        </w:tc>
        <w:tc>
          <w:tcPr>
            <w:tcW w:w="700" w:type="dxa"/>
            <w:tcBorders>
              <w:top w:val="nil"/>
              <w:left w:val="nil"/>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40</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15"/>
        </w:trPr>
        <w:tc>
          <w:tcPr>
            <w:tcW w:w="440" w:type="dxa"/>
            <w:tcBorders>
              <w:top w:val="nil"/>
              <w:left w:val="single" w:sz="8" w:space="0" w:color="auto"/>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59" w:type="dxa"/>
            <w:tcBorders>
              <w:top w:val="nil"/>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1589" w:type="dxa"/>
            <w:tcBorders>
              <w:top w:val="nil"/>
              <w:left w:val="nil"/>
              <w:bottom w:val="double" w:sz="6"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Travel costs</w:t>
            </w:r>
          </w:p>
        </w:tc>
        <w:tc>
          <w:tcPr>
            <w:tcW w:w="805" w:type="dxa"/>
            <w:tcBorders>
              <w:top w:val="nil"/>
              <w:left w:val="single" w:sz="4" w:space="0" w:color="auto"/>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w:t>
            </w:r>
          </w:p>
        </w:tc>
        <w:tc>
          <w:tcPr>
            <w:tcW w:w="764" w:type="dxa"/>
            <w:tcBorders>
              <w:top w:val="nil"/>
              <w:left w:val="nil"/>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w:t>
            </w:r>
          </w:p>
        </w:tc>
        <w:tc>
          <w:tcPr>
            <w:tcW w:w="764" w:type="dxa"/>
            <w:tcBorders>
              <w:top w:val="nil"/>
              <w:left w:val="nil"/>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w:t>
            </w:r>
          </w:p>
        </w:tc>
        <w:tc>
          <w:tcPr>
            <w:tcW w:w="764" w:type="dxa"/>
            <w:tcBorders>
              <w:top w:val="nil"/>
              <w:left w:val="nil"/>
              <w:bottom w:val="double" w:sz="6" w:space="0" w:color="auto"/>
              <w:right w:val="single" w:sz="4"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w:t>
            </w:r>
          </w:p>
        </w:tc>
        <w:tc>
          <w:tcPr>
            <w:tcW w:w="700" w:type="dxa"/>
            <w:tcBorders>
              <w:top w:val="nil"/>
              <w:left w:val="nil"/>
              <w:bottom w:val="double" w:sz="6"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3</w:t>
            </w:r>
          </w:p>
        </w:tc>
        <w:tc>
          <w:tcPr>
            <w:tcW w:w="66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r>
      <w:tr w:rsidR="00AB5AF0" w:rsidRPr="00AB5AF0" w:rsidTr="00AB5AF0">
        <w:trPr>
          <w:trHeight w:val="330"/>
        </w:trPr>
        <w:tc>
          <w:tcPr>
            <w:tcW w:w="440" w:type="dxa"/>
            <w:tcBorders>
              <w:top w:val="nil"/>
              <w:left w:val="single" w:sz="8" w:space="0" w:color="auto"/>
              <w:bottom w:val="single" w:sz="8"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r w:rsidRPr="00AB5AF0">
              <w:rPr>
                <w:rFonts w:ascii="Calibri" w:hAnsi="Calibri" w:cs="Calibri"/>
                <w:color w:val="000000"/>
                <w:sz w:val="22"/>
                <w:szCs w:val="22"/>
                <w:lang w:eastAsia="en-GB"/>
              </w:rPr>
              <w:t> </w:t>
            </w:r>
          </w:p>
        </w:tc>
        <w:tc>
          <w:tcPr>
            <w:tcW w:w="759" w:type="dxa"/>
            <w:tcBorders>
              <w:top w:val="nil"/>
              <w:left w:val="nil"/>
              <w:bottom w:val="single" w:sz="8"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1589" w:type="dxa"/>
            <w:tcBorders>
              <w:top w:val="nil"/>
              <w:left w:val="nil"/>
              <w:bottom w:val="single" w:sz="8"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805" w:type="dxa"/>
            <w:tcBorders>
              <w:top w:val="nil"/>
              <w:left w:val="nil"/>
              <w:bottom w:val="single" w:sz="8"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764" w:type="dxa"/>
            <w:tcBorders>
              <w:top w:val="nil"/>
              <w:left w:val="nil"/>
              <w:bottom w:val="single" w:sz="8" w:space="0" w:color="auto"/>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c>
          <w:tcPr>
            <w:tcW w:w="2228" w:type="dxa"/>
            <w:gridSpan w:val="3"/>
            <w:tcBorders>
              <w:top w:val="double" w:sz="6" w:space="0" w:color="auto"/>
              <w:left w:val="nil"/>
              <w:bottom w:val="single" w:sz="8" w:space="0" w:color="auto"/>
              <w:right w:val="single" w:sz="8" w:space="0" w:color="000000"/>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5-year system costs:</w:t>
            </w:r>
          </w:p>
        </w:tc>
        <w:tc>
          <w:tcPr>
            <w:tcW w:w="660" w:type="dxa"/>
            <w:tcBorders>
              <w:top w:val="single" w:sz="8" w:space="0" w:color="auto"/>
              <w:left w:val="nil"/>
              <w:bottom w:val="single" w:sz="4" w:space="0" w:color="auto"/>
              <w:right w:val="single" w:sz="8" w:space="0" w:color="auto"/>
            </w:tcBorders>
            <w:shd w:val="clear" w:color="000000" w:fill="D9D9D9"/>
            <w:noWrap/>
            <w:vAlign w:val="bottom"/>
            <w:hideMark/>
          </w:tcPr>
          <w:p w:rsidR="00AB5AF0" w:rsidRPr="00AB5AF0" w:rsidRDefault="00AB5AF0" w:rsidP="00AB5AF0">
            <w:pPr>
              <w:suppressAutoHyphens w:val="0"/>
              <w:spacing w:line="240" w:lineRule="auto"/>
              <w:jc w:val="right"/>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490</w:t>
            </w:r>
          </w:p>
        </w:tc>
      </w:tr>
      <w:tr w:rsidR="00AB5AF0" w:rsidRPr="00AB5AF0" w:rsidTr="00AB5AF0">
        <w:trPr>
          <w:trHeight w:val="300"/>
        </w:trPr>
        <w:tc>
          <w:tcPr>
            <w:tcW w:w="44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805"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2228" w:type="dxa"/>
            <w:gridSpan w:val="3"/>
            <w:tcBorders>
              <w:top w:val="single" w:sz="8" w:space="0" w:color="auto"/>
              <w:left w:val="nil"/>
              <w:bottom w:val="nil"/>
              <w:right w:val="single" w:sz="8" w:space="0" w:color="000000"/>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Allotment request 13%</w:t>
            </w:r>
          </w:p>
        </w:tc>
        <w:tc>
          <w:tcPr>
            <w:tcW w:w="660" w:type="dxa"/>
            <w:tcBorders>
              <w:top w:val="nil"/>
              <w:left w:val="nil"/>
              <w:bottom w:val="single" w:sz="4"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63.7</w:t>
            </w:r>
          </w:p>
        </w:tc>
      </w:tr>
      <w:tr w:rsidR="00AB5AF0" w:rsidRPr="00AB5AF0" w:rsidTr="00AB5AF0">
        <w:trPr>
          <w:trHeight w:val="315"/>
        </w:trPr>
        <w:tc>
          <w:tcPr>
            <w:tcW w:w="44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805"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2228" w:type="dxa"/>
            <w:gridSpan w:val="3"/>
            <w:tcBorders>
              <w:top w:val="nil"/>
              <w:left w:val="nil"/>
              <w:bottom w:val="nil"/>
              <w:right w:val="single" w:sz="8" w:space="0" w:color="000000"/>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Operating reserve 15%</w:t>
            </w:r>
          </w:p>
        </w:tc>
        <w:tc>
          <w:tcPr>
            <w:tcW w:w="660" w:type="dxa"/>
            <w:tcBorders>
              <w:top w:val="nil"/>
              <w:left w:val="nil"/>
              <w:bottom w:val="double" w:sz="6" w:space="0" w:color="auto"/>
              <w:right w:val="single" w:sz="8" w:space="0" w:color="auto"/>
            </w:tcBorders>
            <w:shd w:val="clear" w:color="auto" w:fill="auto"/>
            <w:noWrap/>
            <w:vAlign w:val="bottom"/>
            <w:hideMark/>
          </w:tcPr>
          <w:p w:rsidR="00AB5AF0" w:rsidRPr="00AB5AF0" w:rsidRDefault="00AB5AF0" w:rsidP="00AB5AF0">
            <w:pPr>
              <w:suppressAutoHyphens w:val="0"/>
              <w:spacing w:line="240" w:lineRule="auto"/>
              <w:jc w:val="right"/>
              <w:rPr>
                <w:rFonts w:ascii="Calibri" w:hAnsi="Calibri" w:cs="Calibri"/>
                <w:color w:val="000000"/>
                <w:sz w:val="18"/>
                <w:szCs w:val="18"/>
                <w:lang w:eastAsia="en-GB"/>
              </w:rPr>
            </w:pPr>
            <w:r w:rsidRPr="00AB5AF0">
              <w:rPr>
                <w:rFonts w:ascii="Calibri" w:hAnsi="Calibri" w:cs="Calibri"/>
                <w:color w:val="000000"/>
                <w:sz w:val="18"/>
                <w:szCs w:val="18"/>
                <w:lang w:eastAsia="en-GB"/>
              </w:rPr>
              <w:t>73.5</w:t>
            </w:r>
          </w:p>
        </w:tc>
      </w:tr>
      <w:tr w:rsidR="00AB5AF0" w:rsidRPr="00AB5AF0" w:rsidTr="00AB5AF0">
        <w:trPr>
          <w:trHeight w:val="330"/>
        </w:trPr>
        <w:tc>
          <w:tcPr>
            <w:tcW w:w="44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805"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2228" w:type="dxa"/>
            <w:gridSpan w:val="3"/>
            <w:tcBorders>
              <w:top w:val="nil"/>
              <w:left w:val="nil"/>
              <w:bottom w:val="nil"/>
              <w:right w:val="single" w:sz="8" w:space="0" w:color="000000"/>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Total 5-years system costs:</w:t>
            </w:r>
          </w:p>
        </w:tc>
        <w:tc>
          <w:tcPr>
            <w:tcW w:w="660" w:type="dxa"/>
            <w:tcBorders>
              <w:top w:val="nil"/>
              <w:left w:val="nil"/>
              <w:bottom w:val="double" w:sz="6" w:space="0" w:color="auto"/>
              <w:right w:val="single" w:sz="8" w:space="0" w:color="auto"/>
            </w:tcBorders>
            <w:shd w:val="clear" w:color="000000" w:fill="D9D9D9"/>
            <w:noWrap/>
            <w:vAlign w:val="bottom"/>
            <w:hideMark/>
          </w:tcPr>
          <w:p w:rsidR="00AB5AF0" w:rsidRPr="00AB5AF0" w:rsidRDefault="00AB5AF0" w:rsidP="00AB5AF0">
            <w:pPr>
              <w:suppressAutoHyphens w:val="0"/>
              <w:spacing w:line="240" w:lineRule="auto"/>
              <w:jc w:val="right"/>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627</w:t>
            </w:r>
          </w:p>
        </w:tc>
      </w:tr>
      <w:tr w:rsidR="00AB5AF0" w:rsidRPr="00AB5AF0" w:rsidTr="00AB5AF0">
        <w:trPr>
          <w:trHeight w:val="315"/>
        </w:trPr>
        <w:tc>
          <w:tcPr>
            <w:tcW w:w="44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805"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22"/>
                <w:szCs w:val="22"/>
                <w:lang w:eastAsia="en-GB"/>
              </w:rPr>
            </w:pPr>
          </w:p>
        </w:tc>
        <w:tc>
          <w:tcPr>
            <w:tcW w:w="764"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22"/>
                <w:szCs w:val="22"/>
                <w:lang w:eastAsia="en-GB"/>
              </w:rPr>
            </w:pPr>
          </w:p>
        </w:tc>
        <w:tc>
          <w:tcPr>
            <w:tcW w:w="70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660" w:type="dxa"/>
            <w:tcBorders>
              <w:top w:val="nil"/>
              <w:left w:val="single" w:sz="8" w:space="0" w:color="auto"/>
              <w:bottom w:val="nil"/>
              <w:right w:val="single" w:sz="8" w:space="0" w:color="auto"/>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18"/>
                <w:szCs w:val="18"/>
                <w:lang w:eastAsia="en-GB"/>
              </w:rPr>
            </w:pPr>
            <w:r w:rsidRPr="00AB5AF0">
              <w:rPr>
                <w:rFonts w:ascii="Calibri" w:hAnsi="Calibri" w:cs="Calibri"/>
                <w:color w:val="000000"/>
                <w:sz w:val="18"/>
                <w:szCs w:val="18"/>
                <w:lang w:eastAsia="en-GB"/>
              </w:rPr>
              <w:t> </w:t>
            </w:r>
          </w:p>
        </w:tc>
      </w:tr>
      <w:tr w:rsidR="00AB5AF0" w:rsidRPr="00AB5AF0" w:rsidTr="00AB5AF0">
        <w:trPr>
          <w:trHeight w:val="315"/>
        </w:trPr>
        <w:tc>
          <w:tcPr>
            <w:tcW w:w="440"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75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1589" w:type="dxa"/>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color w:val="000000"/>
                <w:sz w:val="22"/>
                <w:szCs w:val="22"/>
                <w:lang w:eastAsia="en-GB"/>
              </w:rPr>
            </w:pPr>
          </w:p>
        </w:tc>
        <w:tc>
          <w:tcPr>
            <w:tcW w:w="3797" w:type="dxa"/>
            <w:gridSpan w:val="5"/>
            <w:tcBorders>
              <w:top w:val="nil"/>
              <w:left w:val="nil"/>
              <w:bottom w:val="nil"/>
              <w:right w:val="nil"/>
            </w:tcBorders>
            <w:shd w:val="clear" w:color="auto" w:fill="auto"/>
            <w:noWrap/>
            <w:vAlign w:val="bottom"/>
            <w:hideMark/>
          </w:tcPr>
          <w:p w:rsidR="00AB5AF0" w:rsidRPr="00AB5AF0" w:rsidRDefault="00AB5AF0" w:rsidP="00AB5AF0">
            <w:pPr>
              <w:suppressAutoHyphens w:val="0"/>
              <w:spacing w:line="240" w:lineRule="auto"/>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Average yearly costs to be allocated by Licence Fees:</w:t>
            </w:r>
          </w:p>
        </w:tc>
        <w:tc>
          <w:tcPr>
            <w:tcW w:w="660" w:type="dxa"/>
            <w:tcBorders>
              <w:top w:val="single" w:sz="4" w:space="0" w:color="auto"/>
              <w:left w:val="single" w:sz="8" w:space="0" w:color="auto"/>
              <w:bottom w:val="single" w:sz="8" w:space="0" w:color="auto"/>
              <w:right w:val="single" w:sz="8" w:space="0" w:color="auto"/>
            </w:tcBorders>
            <w:shd w:val="clear" w:color="000000" w:fill="D9D9D9"/>
            <w:noWrap/>
            <w:vAlign w:val="bottom"/>
            <w:hideMark/>
          </w:tcPr>
          <w:p w:rsidR="00AB5AF0" w:rsidRPr="00AB5AF0" w:rsidRDefault="00AB5AF0" w:rsidP="00AB5AF0">
            <w:pPr>
              <w:suppressAutoHyphens w:val="0"/>
              <w:spacing w:line="240" w:lineRule="auto"/>
              <w:jc w:val="right"/>
              <w:rPr>
                <w:rFonts w:ascii="Calibri" w:hAnsi="Calibri" w:cs="Calibri"/>
                <w:b/>
                <w:bCs/>
                <w:color w:val="000000"/>
                <w:sz w:val="18"/>
                <w:szCs w:val="18"/>
                <w:lang w:eastAsia="en-GB"/>
              </w:rPr>
            </w:pPr>
            <w:r w:rsidRPr="00AB5AF0">
              <w:rPr>
                <w:rFonts w:ascii="Calibri" w:hAnsi="Calibri" w:cs="Calibri"/>
                <w:b/>
                <w:bCs/>
                <w:color w:val="000000"/>
                <w:sz w:val="18"/>
                <w:szCs w:val="18"/>
                <w:lang w:eastAsia="en-GB"/>
              </w:rPr>
              <w:t>125</w:t>
            </w:r>
          </w:p>
        </w:tc>
      </w:tr>
    </w:tbl>
    <w:p w:rsidR="00475E47" w:rsidRDefault="00475E47" w:rsidP="00475E47">
      <w:pPr>
        <w:ind w:left="1134" w:right="828" w:hanging="1134"/>
        <w:rPr>
          <w:lang w:val="en-US"/>
        </w:rPr>
      </w:pPr>
    </w:p>
    <w:p w:rsidR="00835E26" w:rsidRDefault="00D01B3A" w:rsidP="00475E47">
      <w:pPr>
        <w:ind w:left="1134" w:right="828"/>
        <w:rPr>
          <w:lang w:val="en-US"/>
        </w:rPr>
      </w:pPr>
      <w:proofErr w:type="gramStart"/>
      <w:r>
        <w:rPr>
          <w:lang w:val="en-US"/>
        </w:rPr>
        <w:t>Table 1.</w:t>
      </w:r>
      <w:proofErr w:type="gramEnd"/>
      <w:r>
        <w:rPr>
          <w:lang w:val="en-US"/>
        </w:rPr>
        <w:t xml:space="preserve"> Cost estimates for DETA for the five first years of operation</w:t>
      </w:r>
      <w:r w:rsidR="00835E26">
        <w:rPr>
          <w:lang w:val="en-US"/>
        </w:rPr>
        <w:t xml:space="preserve"> (thousand USD)</w:t>
      </w:r>
    </w:p>
    <w:p w:rsidR="00DD396E" w:rsidRPr="002B6060" w:rsidRDefault="002B6060" w:rsidP="002B6060">
      <w:pPr>
        <w:pStyle w:val="HChG"/>
        <w:tabs>
          <w:tab w:val="left" w:pos="1134"/>
        </w:tabs>
        <w:spacing w:before="240" w:after="120" w:line="240" w:lineRule="auto"/>
        <w:ind w:right="902"/>
        <w:rPr>
          <w:lang w:val="en-US"/>
        </w:rPr>
      </w:pPr>
      <w:r>
        <w:rPr>
          <w:lang w:val="en-US"/>
        </w:rPr>
        <w:tab/>
        <w:t>3.</w:t>
      </w:r>
      <w:r>
        <w:rPr>
          <w:lang w:val="en-US"/>
        </w:rPr>
        <w:tab/>
      </w:r>
      <w:r w:rsidR="00DA3A21" w:rsidRPr="00474127">
        <w:rPr>
          <w:lang w:val="en-US"/>
        </w:rPr>
        <w:t xml:space="preserve">DETA </w:t>
      </w:r>
      <w:r w:rsidR="00DA3A21" w:rsidRPr="002B6060">
        <w:rPr>
          <w:lang w:val="en-US"/>
        </w:rPr>
        <w:t>financing options</w:t>
      </w:r>
      <w:r w:rsidR="00474127" w:rsidRPr="002B6060">
        <w:rPr>
          <w:lang w:val="en-US"/>
        </w:rPr>
        <w:t xml:space="preserve"> at UNECE</w:t>
      </w:r>
    </w:p>
    <w:p w:rsidR="00615AE4" w:rsidRPr="002B6060" w:rsidRDefault="002B6060" w:rsidP="002B6060">
      <w:pPr>
        <w:pStyle w:val="HChG"/>
        <w:tabs>
          <w:tab w:val="left" w:pos="1134"/>
        </w:tabs>
        <w:spacing w:before="240" w:after="120" w:line="240" w:lineRule="auto"/>
        <w:ind w:right="902"/>
        <w:rPr>
          <w:sz w:val="24"/>
          <w:szCs w:val="24"/>
          <w:lang w:val="en-US"/>
        </w:rPr>
      </w:pPr>
      <w:r>
        <w:rPr>
          <w:sz w:val="24"/>
          <w:szCs w:val="24"/>
          <w:lang w:val="en-US"/>
        </w:rPr>
        <w:tab/>
      </w:r>
      <w:r w:rsidRPr="002B6060">
        <w:rPr>
          <w:sz w:val="24"/>
          <w:szCs w:val="24"/>
          <w:lang w:val="en-US"/>
        </w:rPr>
        <w:t>A.</w:t>
      </w:r>
      <w:r w:rsidRPr="002B6060">
        <w:rPr>
          <w:sz w:val="24"/>
          <w:szCs w:val="24"/>
          <w:lang w:val="en-US"/>
        </w:rPr>
        <w:tab/>
      </w:r>
      <w:r w:rsidR="00C26FF1">
        <w:rPr>
          <w:sz w:val="24"/>
          <w:szCs w:val="24"/>
          <w:lang w:val="en-US"/>
        </w:rPr>
        <w:t>Options</w:t>
      </w:r>
      <w:r w:rsidR="00C26FF1" w:rsidRPr="002B6060">
        <w:rPr>
          <w:sz w:val="24"/>
          <w:szCs w:val="24"/>
          <w:lang w:val="en-US"/>
        </w:rPr>
        <w:t xml:space="preserve"> </w:t>
      </w:r>
      <w:r w:rsidR="00615AE4" w:rsidRPr="002B6060">
        <w:rPr>
          <w:sz w:val="24"/>
          <w:szCs w:val="24"/>
          <w:lang w:val="en-US"/>
        </w:rPr>
        <w:t>to finance DETA according t</w:t>
      </w:r>
      <w:r>
        <w:rPr>
          <w:sz w:val="24"/>
          <w:szCs w:val="24"/>
          <w:lang w:val="en-US"/>
        </w:rPr>
        <w:t>o the internal UNECE procedures</w:t>
      </w:r>
    </w:p>
    <w:p w:rsidR="00615AE4" w:rsidRPr="002B6060" w:rsidRDefault="00615AE4" w:rsidP="002B6060">
      <w:pPr>
        <w:pStyle w:val="SingleTxtG"/>
        <w:tabs>
          <w:tab w:val="left" w:pos="1134"/>
          <w:tab w:val="left" w:pos="1701"/>
        </w:tabs>
        <w:ind w:right="904"/>
        <w:rPr>
          <w:spacing w:val="-2"/>
          <w:lang w:val="en-US"/>
        </w:rPr>
      </w:pPr>
      <w:r w:rsidRPr="002B6060">
        <w:rPr>
          <w:spacing w:val="-2"/>
          <w:lang w:val="en-US"/>
        </w:rPr>
        <w:t>1.</w:t>
      </w:r>
      <w:r w:rsidRPr="002B6060">
        <w:rPr>
          <w:spacing w:val="-2"/>
          <w:lang w:val="en-US"/>
        </w:rPr>
        <w:tab/>
      </w:r>
      <w:r w:rsidR="00B51D9E">
        <w:rPr>
          <w:spacing w:val="-2"/>
          <w:lang w:val="en-US"/>
        </w:rPr>
        <w:t>Request additional resources for the UNECE</w:t>
      </w:r>
      <w:r w:rsidRPr="002B6060">
        <w:rPr>
          <w:spacing w:val="-2"/>
          <w:lang w:val="en-US"/>
        </w:rPr>
        <w:t xml:space="preserve"> </w:t>
      </w:r>
      <w:r w:rsidR="00DA34DA">
        <w:rPr>
          <w:spacing w:val="-2"/>
          <w:lang w:val="en-US"/>
        </w:rPr>
        <w:t>regular budget (</w:t>
      </w:r>
      <w:r w:rsidRPr="002B6060">
        <w:rPr>
          <w:spacing w:val="-2"/>
          <w:lang w:val="en-US"/>
        </w:rPr>
        <w:t>RB</w:t>
      </w:r>
      <w:r w:rsidR="00DA34DA">
        <w:rPr>
          <w:spacing w:val="-2"/>
          <w:lang w:val="en-US"/>
        </w:rPr>
        <w:t>)</w:t>
      </w:r>
    </w:p>
    <w:p w:rsidR="00615AE4" w:rsidRPr="002B6060" w:rsidRDefault="00615AE4" w:rsidP="002B6060">
      <w:pPr>
        <w:pStyle w:val="SingleTxtG"/>
        <w:tabs>
          <w:tab w:val="left" w:pos="1134"/>
          <w:tab w:val="left" w:pos="1701"/>
        </w:tabs>
        <w:ind w:right="904"/>
        <w:rPr>
          <w:spacing w:val="-2"/>
          <w:lang w:val="en-US"/>
        </w:rPr>
      </w:pPr>
      <w:r w:rsidRPr="002B6060">
        <w:rPr>
          <w:spacing w:val="-2"/>
          <w:lang w:val="en-US"/>
        </w:rPr>
        <w:t>2.</w:t>
      </w:r>
      <w:r w:rsidRPr="002B6060">
        <w:rPr>
          <w:spacing w:val="-2"/>
          <w:lang w:val="en-US"/>
        </w:rPr>
        <w:tab/>
        <w:t>Extra budgetary</w:t>
      </w:r>
      <w:r w:rsidR="00DA34DA">
        <w:rPr>
          <w:spacing w:val="-2"/>
          <w:lang w:val="en-US"/>
        </w:rPr>
        <w:t xml:space="preserve"> (XB)</w:t>
      </w:r>
      <w:r w:rsidRPr="002B6060">
        <w:rPr>
          <w:spacing w:val="-2"/>
          <w:lang w:val="en-US"/>
        </w:rPr>
        <w:t xml:space="preserve"> solutions</w:t>
      </w:r>
    </w:p>
    <w:p w:rsidR="00474127" w:rsidRPr="002B6060" w:rsidRDefault="00474127" w:rsidP="002B6060">
      <w:pPr>
        <w:pStyle w:val="SingleTxtG"/>
        <w:tabs>
          <w:tab w:val="left" w:pos="1134"/>
          <w:tab w:val="left" w:pos="1701"/>
        </w:tabs>
        <w:ind w:right="904"/>
        <w:rPr>
          <w:spacing w:val="-2"/>
          <w:lang w:val="en-US"/>
        </w:rPr>
      </w:pPr>
      <w:r w:rsidRPr="002B6060">
        <w:rPr>
          <w:spacing w:val="-2"/>
          <w:lang w:val="en-US"/>
        </w:rPr>
        <w:t>Guidance is provided by the ECE Directive No. 17</w:t>
      </w:r>
      <w:r w:rsidR="007A6B01">
        <w:rPr>
          <w:spacing w:val="-2"/>
          <w:lang w:val="en-US"/>
        </w:rPr>
        <w:t xml:space="preserve">, on Establishment of Agreements and Management of </w:t>
      </w:r>
      <w:proofErr w:type="spellStart"/>
      <w:r w:rsidR="007A6B01">
        <w:rPr>
          <w:spacing w:val="-2"/>
          <w:lang w:val="en-US"/>
        </w:rPr>
        <w:t>Extrabudgetary</w:t>
      </w:r>
      <w:proofErr w:type="spellEnd"/>
      <w:r w:rsidR="007A6B01">
        <w:rPr>
          <w:spacing w:val="-2"/>
          <w:lang w:val="en-US"/>
        </w:rPr>
        <w:t xml:space="preserve"> Resources</w:t>
      </w:r>
      <w:r w:rsidR="00C26FF1">
        <w:rPr>
          <w:spacing w:val="-2"/>
          <w:lang w:val="en-US"/>
        </w:rPr>
        <w:t xml:space="preserve"> on the following options:</w:t>
      </w:r>
    </w:p>
    <w:p w:rsidR="00615AE4" w:rsidRPr="002B6060" w:rsidRDefault="00615AE4" w:rsidP="002B6060">
      <w:pPr>
        <w:pStyle w:val="SingleTxtG"/>
        <w:tabs>
          <w:tab w:val="left" w:pos="1134"/>
          <w:tab w:val="left" w:pos="1701"/>
        </w:tabs>
        <w:ind w:right="904"/>
        <w:rPr>
          <w:spacing w:val="-2"/>
          <w:lang w:val="en-US"/>
        </w:rPr>
      </w:pPr>
      <w:r>
        <w:tab/>
      </w:r>
      <w:r w:rsidR="002B6060">
        <w:t>(a)</w:t>
      </w:r>
      <w:r w:rsidR="003B3D00">
        <w:tab/>
      </w:r>
      <w:r>
        <w:t>Trust fund</w:t>
      </w:r>
    </w:p>
    <w:p w:rsidR="00615AE4" w:rsidRPr="002B6060" w:rsidRDefault="002B6060" w:rsidP="002B6060">
      <w:pPr>
        <w:pStyle w:val="SingleTxtG"/>
        <w:tabs>
          <w:tab w:val="left" w:pos="1134"/>
          <w:tab w:val="left" w:pos="1701"/>
        </w:tabs>
        <w:ind w:right="904"/>
        <w:rPr>
          <w:spacing w:val="-2"/>
          <w:lang w:val="en-US"/>
        </w:rPr>
      </w:pPr>
      <w:r>
        <w:tab/>
        <w:t>(b)</w:t>
      </w:r>
      <w:r w:rsidR="003B3D00">
        <w:tab/>
      </w:r>
      <w:r w:rsidR="00615AE4">
        <w:t>Cooperation without any financial implication for the organization</w:t>
      </w:r>
      <w:r w:rsidR="00654345">
        <w:t xml:space="preserve"> - PPP</w:t>
      </w:r>
    </w:p>
    <w:p w:rsidR="00B51D9E" w:rsidRPr="005E0411" w:rsidRDefault="00615AE4" w:rsidP="002B6060">
      <w:pPr>
        <w:pStyle w:val="SingleTxtG"/>
        <w:tabs>
          <w:tab w:val="left" w:pos="1134"/>
          <w:tab w:val="left" w:pos="1701"/>
        </w:tabs>
        <w:ind w:right="904"/>
      </w:pPr>
      <w:r>
        <w:tab/>
      </w:r>
      <w:r w:rsidR="002B6060">
        <w:t>(c)</w:t>
      </w:r>
      <w:r w:rsidR="003B3D00">
        <w:tab/>
      </w:r>
      <w:r w:rsidR="005E0411">
        <w:t>(Host Country)</w:t>
      </w:r>
    </w:p>
    <w:p w:rsidR="00615AE4" w:rsidRDefault="002B6060" w:rsidP="00B84D03">
      <w:pPr>
        <w:pStyle w:val="HChG"/>
        <w:tabs>
          <w:tab w:val="left" w:pos="1134"/>
        </w:tabs>
        <w:spacing w:before="240" w:after="120" w:line="240" w:lineRule="auto"/>
        <w:ind w:right="902"/>
        <w:rPr>
          <w:sz w:val="24"/>
          <w:szCs w:val="24"/>
          <w:lang w:val="en-US"/>
        </w:rPr>
      </w:pPr>
      <w:r>
        <w:rPr>
          <w:sz w:val="24"/>
          <w:szCs w:val="24"/>
          <w:lang w:val="en-US"/>
        </w:rPr>
        <w:tab/>
      </w:r>
      <w:r w:rsidRPr="002B6060">
        <w:rPr>
          <w:sz w:val="24"/>
          <w:szCs w:val="24"/>
          <w:lang w:val="en-US"/>
        </w:rPr>
        <w:t>B.</w:t>
      </w:r>
      <w:r w:rsidRPr="002B6060">
        <w:rPr>
          <w:sz w:val="24"/>
          <w:szCs w:val="24"/>
          <w:lang w:val="en-US"/>
        </w:rPr>
        <w:tab/>
      </w:r>
      <w:r w:rsidR="00474127" w:rsidRPr="002B6060">
        <w:rPr>
          <w:sz w:val="24"/>
          <w:szCs w:val="24"/>
          <w:lang w:val="en-US"/>
        </w:rPr>
        <w:t xml:space="preserve">Outcome of </w:t>
      </w:r>
      <w:r w:rsidR="00E3222E">
        <w:rPr>
          <w:sz w:val="24"/>
          <w:szCs w:val="24"/>
          <w:lang w:val="en-US"/>
        </w:rPr>
        <w:t xml:space="preserve">the </w:t>
      </w:r>
      <w:r w:rsidR="00B84D03">
        <w:rPr>
          <w:sz w:val="24"/>
          <w:szCs w:val="24"/>
          <w:lang w:val="en-US"/>
        </w:rPr>
        <w:t xml:space="preserve">WP. 29 </w:t>
      </w:r>
      <w:r w:rsidR="00E3222E">
        <w:rPr>
          <w:sz w:val="24"/>
          <w:szCs w:val="24"/>
          <w:lang w:val="en-US"/>
        </w:rPr>
        <w:t>I</w:t>
      </w:r>
      <w:r w:rsidR="00474127" w:rsidRPr="002B6060">
        <w:rPr>
          <w:sz w:val="24"/>
          <w:szCs w:val="24"/>
          <w:lang w:val="en-US"/>
        </w:rPr>
        <w:t>nformal Group on DETA reviewing possible financing schemes:</w:t>
      </w:r>
    </w:p>
    <w:p w:rsidR="00C26FF1" w:rsidRDefault="00C26FF1" w:rsidP="00C26FF1">
      <w:pPr>
        <w:ind w:left="1134"/>
        <w:rPr>
          <w:lang w:val="en-US"/>
        </w:rPr>
      </w:pPr>
      <w:r>
        <w:rPr>
          <w:lang w:val="en-US"/>
        </w:rPr>
        <w:t>WP.29 Informal Group on DETA suggested the following options for financing schemes:</w:t>
      </w:r>
    </w:p>
    <w:p w:rsidR="00C26FF1" w:rsidRPr="00C26FF1" w:rsidRDefault="00C26FF1" w:rsidP="00C26FF1">
      <w:pPr>
        <w:ind w:left="1134"/>
        <w:rPr>
          <w:lang w:val="en-US"/>
        </w:rPr>
      </w:pPr>
      <w:r>
        <w:rPr>
          <w:lang w:val="en-US"/>
        </w:rPr>
        <w:tab/>
      </w:r>
    </w:p>
    <w:p w:rsidR="00DA3A21" w:rsidRPr="002B6060" w:rsidRDefault="002B6060" w:rsidP="002B6060">
      <w:pPr>
        <w:pStyle w:val="SingleTxtG"/>
        <w:tabs>
          <w:tab w:val="left" w:pos="1134"/>
          <w:tab w:val="left" w:pos="1701"/>
        </w:tabs>
        <w:ind w:right="904"/>
        <w:rPr>
          <w:spacing w:val="-2"/>
          <w:lang w:val="en-US"/>
        </w:rPr>
      </w:pPr>
      <w:r>
        <w:t>(a)</w:t>
      </w:r>
      <w:r>
        <w:tab/>
      </w:r>
      <w:r w:rsidR="00F0481D" w:rsidRPr="00F0481D">
        <w:t xml:space="preserve">Fee </w:t>
      </w:r>
      <w:r w:rsidR="00DA3A21" w:rsidRPr="00F0481D">
        <w:t>based on usage</w:t>
      </w:r>
    </w:p>
    <w:p w:rsidR="000008E7" w:rsidRPr="002B6060" w:rsidRDefault="000008E7" w:rsidP="002B6060">
      <w:pPr>
        <w:pStyle w:val="SingleTxtG"/>
        <w:tabs>
          <w:tab w:val="left" w:pos="1134"/>
          <w:tab w:val="left" w:pos="1701"/>
        </w:tabs>
        <w:ind w:right="904"/>
        <w:rPr>
          <w:spacing w:val="-2"/>
          <w:lang w:val="en-US"/>
        </w:rPr>
      </w:pPr>
      <w:r>
        <w:t>The fee could be set per upload, per user or per Contracting Party.</w:t>
      </w:r>
      <w:r w:rsidRPr="000008E7">
        <w:t xml:space="preserve"> </w:t>
      </w:r>
      <w:r>
        <w:t>T</w:t>
      </w:r>
      <w:r w:rsidR="007F117C">
        <w:t>he fee per upload</w:t>
      </w:r>
      <w:r>
        <w:t xml:space="preserve"> option would be the fairest as it would charge users based on how much they use the service.</w:t>
      </w:r>
    </w:p>
    <w:p w:rsidR="00474127" w:rsidRPr="002B6060" w:rsidRDefault="002B6060" w:rsidP="002B6060">
      <w:pPr>
        <w:pStyle w:val="SingleTxtG"/>
        <w:tabs>
          <w:tab w:val="left" w:pos="1134"/>
          <w:tab w:val="left" w:pos="1701"/>
        </w:tabs>
        <w:ind w:right="904"/>
        <w:rPr>
          <w:spacing w:val="-2"/>
          <w:lang w:val="en-US"/>
        </w:rPr>
      </w:pPr>
      <w:r>
        <w:lastRenderedPageBreak/>
        <w:t>(b)</w:t>
      </w:r>
      <w:r>
        <w:tab/>
      </w:r>
      <w:r w:rsidR="00474127">
        <w:t xml:space="preserve">The flat rate fee for each Country. </w:t>
      </w:r>
    </w:p>
    <w:p w:rsidR="00474127" w:rsidRPr="00F0481D" w:rsidRDefault="00474127" w:rsidP="002B6060">
      <w:pPr>
        <w:spacing w:after="120"/>
        <w:ind w:left="1134" w:right="1134"/>
        <w:jc w:val="both"/>
      </w:pPr>
      <w:r>
        <w:t>The group considered this option as a potential road block for future Contracting Parties to the 1958 Agreement, as they would have financial implications if acceding to the Agreement.</w:t>
      </w:r>
    </w:p>
    <w:p w:rsidR="002F1EAC" w:rsidRDefault="002F1EAC" w:rsidP="002B6060">
      <w:pPr>
        <w:spacing w:after="120"/>
        <w:ind w:left="1134" w:right="1134"/>
        <w:jc w:val="both"/>
      </w:pPr>
      <w:r w:rsidRPr="00F0481D">
        <w:t xml:space="preserve">UNECE would </w:t>
      </w:r>
      <w:r w:rsidR="00474127">
        <w:t>have to establish a system for</w:t>
      </w:r>
      <w:r w:rsidRPr="00F0481D">
        <w:t xml:space="preserve"> invoicing of users</w:t>
      </w:r>
      <w:r w:rsidR="00F0481D" w:rsidRPr="00F0481D">
        <w:t xml:space="preserve"> on a regular basis</w:t>
      </w:r>
      <w:r w:rsidRPr="00F0481D">
        <w:t>.</w:t>
      </w:r>
      <w:r w:rsidR="00474127">
        <w:t xml:space="preserve"> The group was concerned by the costs that it would generate.</w:t>
      </w:r>
    </w:p>
    <w:p w:rsidR="00474127" w:rsidRDefault="002B6060" w:rsidP="002B6060">
      <w:pPr>
        <w:pStyle w:val="SingleTxtG"/>
        <w:tabs>
          <w:tab w:val="left" w:pos="1134"/>
          <w:tab w:val="left" w:pos="1701"/>
        </w:tabs>
        <w:ind w:right="904"/>
      </w:pPr>
      <w:r>
        <w:t>(c)</w:t>
      </w:r>
      <w:r>
        <w:tab/>
      </w:r>
      <w:r w:rsidR="00B51D9E">
        <w:rPr>
          <w:spacing w:val="-2"/>
          <w:lang w:val="en-US"/>
        </w:rPr>
        <w:t>Request additional resources for the UNECE</w:t>
      </w:r>
      <w:r w:rsidR="00B51D9E" w:rsidRPr="002B6060">
        <w:rPr>
          <w:spacing w:val="-2"/>
          <w:lang w:val="en-US"/>
        </w:rPr>
        <w:t xml:space="preserve"> RB</w:t>
      </w:r>
      <w:r w:rsidR="00474127">
        <w:t>.</w:t>
      </w:r>
    </w:p>
    <w:p w:rsidR="00474127" w:rsidRPr="002B6060" w:rsidRDefault="002B6060" w:rsidP="002B6060">
      <w:pPr>
        <w:pStyle w:val="HChG"/>
        <w:tabs>
          <w:tab w:val="left" w:pos="1134"/>
        </w:tabs>
        <w:spacing w:before="240" w:after="120" w:line="240" w:lineRule="auto"/>
        <w:ind w:right="902"/>
        <w:rPr>
          <w:lang w:val="en-US"/>
        </w:rPr>
      </w:pPr>
      <w:r>
        <w:rPr>
          <w:lang w:val="en-US"/>
        </w:rPr>
        <w:tab/>
        <w:t>4.</w:t>
      </w:r>
      <w:r>
        <w:rPr>
          <w:lang w:val="en-US"/>
        </w:rPr>
        <w:tab/>
      </w:r>
      <w:r w:rsidR="00474127" w:rsidRPr="002B6060">
        <w:rPr>
          <w:lang w:val="en-US"/>
        </w:rPr>
        <w:t>Activities in 2014</w:t>
      </w:r>
    </w:p>
    <w:p w:rsidR="00474127" w:rsidRDefault="00474127" w:rsidP="002B6060">
      <w:pPr>
        <w:pStyle w:val="SingleTxtG"/>
        <w:tabs>
          <w:tab w:val="left" w:pos="1134"/>
          <w:tab w:val="left" w:pos="1701"/>
        </w:tabs>
        <w:ind w:right="904"/>
      </w:pPr>
      <w:r>
        <w:t>The UNECE secretariat undertook the following activities</w:t>
      </w:r>
      <w:r w:rsidR="00C26FF1">
        <w:t xml:space="preserve"> in 2014</w:t>
      </w:r>
      <w:r>
        <w:t>:</w:t>
      </w:r>
    </w:p>
    <w:p w:rsidR="00474127" w:rsidRDefault="002B6060" w:rsidP="00B84D03">
      <w:pPr>
        <w:pStyle w:val="SingleTxtG"/>
        <w:tabs>
          <w:tab w:val="left" w:pos="1134"/>
          <w:tab w:val="left" w:pos="1701"/>
        </w:tabs>
        <w:ind w:right="904"/>
      </w:pPr>
      <w:r>
        <w:t>(a)</w:t>
      </w:r>
      <w:r>
        <w:tab/>
      </w:r>
      <w:r w:rsidR="00474127">
        <w:t>Cost reduction</w:t>
      </w:r>
      <w:r w:rsidR="00E3222E">
        <w:t xml:space="preserve"> with the software house:</w:t>
      </w:r>
      <w:r w:rsidR="00474127">
        <w:t xml:space="preserve"> WP.29 </w:t>
      </w:r>
      <w:r w:rsidR="00B84D03">
        <w:t>decided to reduce the</w:t>
      </w:r>
      <w:r w:rsidR="00474127">
        <w:t xml:space="preserve"> availability of the hotline</w:t>
      </w:r>
      <w:r w:rsidR="00C254D4">
        <w:t xml:space="preserve"> to </w:t>
      </w:r>
      <w:r w:rsidR="00E3222E">
        <w:t xml:space="preserve">the </w:t>
      </w:r>
      <w:r w:rsidR="00C254D4">
        <w:t xml:space="preserve">business hours </w:t>
      </w:r>
      <w:r w:rsidR="00E3222E">
        <w:t>(</w:t>
      </w:r>
      <w:r w:rsidR="00C254D4">
        <w:t>CET in Geneva</w:t>
      </w:r>
      <w:r w:rsidR="00474127">
        <w:t>)</w:t>
      </w:r>
      <w:r w:rsidR="00B51D9E">
        <w:t>.</w:t>
      </w:r>
    </w:p>
    <w:p w:rsidR="00474127" w:rsidRDefault="002B6060" w:rsidP="002B6060">
      <w:pPr>
        <w:pStyle w:val="SingleTxtG"/>
        <w:tabs>
          <w:tab w:val="left" w:pos="1134"/>
          <w:tab w:val="left" w:pos="1701"/>
        </w:tabs>
        <w:ind w:right="904"/>
      </w:pPr>
      <w:r>
        <w:t>(b)</w:t>
      </w:r>
      <w:r>
        <w:tab/>
      </w:r>
      <w:r w:rsidR="00474127">
        <w:t>Informal presentation of the concept to ICTMG</w:t>
      </w:r>
      <w:r w:rsidR="00B51D9E">
        <w:t>.</w:t>
      </w:r>
    </w:p>
    <w:p w:rsidR="00474127" w:rsidRPr="002B6060" w:rsidRDefault="002B6060" w:rsidP="002B6060">
      <w:pPr>
        <w:pStyle w:val="HChG"/>
        <w:tabs>
          <w:tab w:val="left" w:pos="1134"/>
        </w:tabs>
        <w:spacing w:before="240" w:after="120" w:line="240" w:lineRule="auto"/>
        <w:ind w:right="902"/>
        <w:rPr>
          <w:lang w:val="en-US"/>
        </w:rPr>
      </w:pPr>
      <w:r>
        <w:rPr>
          <w:lang w:val="en-US"/>
        </w:rPr>
        <w:tab/>
        <w:t>5.</w:t>
      </w:r>
      <w:r>
        <w:rPr>
          <w:lang w:val="en-US"/>
        </w:rPr>
        <w:tab/>
      </w:r>
      <w:r w:rsidR="00474127" w:rsidRPr="002B6060">
        <w:rPr>
          <w:lang w:val="en-US"/>
        </w:rPr>
        <w:t>Activities in 2015</w:t>
      </w:r>
    </w:p>
    <w:p w:rsidR="00474127" w:rsidRDefault="00474127" w:rsidP="002B6060">
      <w:pPr>
        <w:pStyle w:val="SingleTxtG"/>
        <w:tabs>
          <w:tab w:val="left" w:pos="1134"/>
          <w:tab w:val="left" w:pos="1701"/>
        </w:tabs>
        <w:ind w:right="904"/>
      </w:pPr>
      <w:r>
        <w:t>As</w:t>
      </w:r>
      <w:r w:rsidR="00C70EE1">
        <w:t xml:space="preserve"> the current UNECE RB is not addressing DETA and</w:t>
      </w:r>
      <w:r>
        <w:t xml:space="preserve"> the UNECE management</w:t>
      </w:r>
      <w:r w:rsidR="00B232DB">
        <w:t xml:space="preserve"> therefore</w:t>
      </w:r>
      <w:r>
        <w:t xml:space="preserve"> preferred the XB option, other XB options were explored:</w:t>
      </w:r>
    </w:p>
    <w:p w:rsidR="008E58B5" w:rsidRDefault="002B6060" w:rsidP="002B6060">
      <w:pPr>
        <w:pStyle w:val="SingleTxtG"/>
        <w:tabs>
          <w:tab w:val="left" w:pos="1134"/>
          <w:tab w:val="left" w:pos="1701"/>
        </w:tabs>
        <w:ind w:right="904"/>
      </w:pPr>
      <w:r>
        <w:t>(a)</w:t>
      </w:r>
      <w:r>
        <w:tab/>
      </w:r>
      <w:r w:rsidR="008E58B5">
        <w:t>Review of potential possibilities to finance projects according to the internal UNECE procedures</w:t>
      </w:r>
      <w:r w:rsidR="00B51D9E">
        <w:t>:</w:t>
      </w:r>
      <w:r w:rsidR="008E58B5">
        <w:t xml:space="preserve"> </w:t>
      </w:r>
    </w:p>
    <w:p w:rsidR="008E58B5" w:rsidRDefault="002B6060" w:rsidP="002B6060">
      <w:pPr>
        <w:pStyle w:val="SingleTxtG"/>
        <w:ind w:left="2268" w:right="904"/>
      </w:pPr>
      <w:r>
        <w:t>(</w:t>
      </w:r>
      <w:proofErr w:type="spellStart"/>
      <w:r>
        <w:t>i</w:t>
      </w:r>
      <w:proofErr w:type="spellEnd"/>
      <w:r>
        <w:t>)</w:t>
      </w:r>
      <w:r>
        <w:tab/>
      </w:r>
      <w:r w:rsidR="008E58B5">
        <w:t>Directive 17 of the OES.</w:t>
      </w:r>
    </w:p>
    <w:p w:rsidR="008E58B5" w:rsidRPr="00DA3A21" w:rsidRDefault="002B6060" w:rsidP="002B6060">
      <w:pPr>
        <w:pStyle w:val="SingleTxtG"/>
        <w:ind w:left="2268" w:right="904"/>
      </w:pPr>
      <w:r>
        <w:t>(ii)</w:t>
      </w:r>
      <w:r>
        <w:tab/>
      </w:r>
      <w:r w:rsidR="00654345">
        <w:t>Focus on the e</w:t>
      </w:r>
      <w:r w:rsidR="008E58B5">
        <w:t>stablishment of trust funds.</w:t>
      </w:r>
    </w:p>
    <w:p w:rsidR="00DA3A21" w:rsidRDefault="002B6060" w:rsidP="002B6060">
      <w:pPr>
        <w:pStyle w:val="SingleTxtG"/>
        <w:tabs>
          <w:tab w:val="left" w:pos="1134"/>
          <w:tab w:val="left" w:pos="1701"/>
        </w:tabs>
        <w:ind w:right="904"/>
      </w:pPr>
      <w:r>
        <w:t>(b)</w:t>
      </w:r>
      <w:r>
        <w:tab/>
      </w:r>
      <w:r w:rsidR="00257A56">
        <w:t>Benchmark</w:t>
      </w:r>
      <w:r w:rsidR="008E58B5">
        <w:t xml:space="preserve">ing: </w:t>
      </w:r>
      <w:r w:rsidR="00DA3A21" w:rsidRPr="00F0481D">
        <w:t>Revenue producing</w:t>
      </w:r>
      <w:r w:rsidR="00DA3A21" w:rsidRPr="00DA3A21">
        <w:t xml:space="preserve"> activities of the UN</w:t>
      </w:r>
      <w:r w:rsidR="00B51D9E">
        <w:t>.</w:t>
      </w:r>
    </w:p>
    <w:p w:rsidR="002F1EAC" w:rsidRDefault="002F1EAC" w:rsidP="002B6060">
      <w:pPr>
        <w:pStyle w:val="SingleTxtG"/>
        <w:tabs>
          <w:tab w:val="left" w:pos="1134"/>
          <w:tab w:val="left" w:pos="1701"/>
        </w:tabs>
        <w:ind w:right="904"/>
      </w:pPr>
      <w:r>
        <w:t xml:space="preserve">There are examples of revenue producing activities in the UN. Usually revenue </w:t>
      </w:r>
      <w:r w:rsidR="00F0481D">
        <w:t>is collected</w:t>
      </w:r>
      <w:r>
        <w:t xml:space="preserve"> from the sale</w:t>
      </w:r>
      <w:r w:rsidR="00F0481D">
        <w:t>s</w:t>
      </w:r>
      <w:r>
        <w:t xml:space="preserve"> of publications, but there are examples of </w:t>
      </w:r>
      <w:r w:rsidR="00F97CB8">
        <w:t>UN agencies asking for a payment for t</w:t>
      </w:r>
      <w:r w:rsidR="007006B1">
        <w:t>he use of a database. One example is UNIDO with its Industrial Statistics Databases (</w:t>
      </w:r>
      <w:hyperlink r:id="rId9" w:history="1">
        <w:r w:rsidR="000008E7" w:rsidRPr="006E5AF3">
          <w:rPr>
            <w:rStyle w:val="Hyperlink"/>
          </w:rPr>
          <w:t>http://www.unido.org/en/resources/statistics/statistical-databases/how-to-purchase-unido-database.html</w:t>
        </w:r>
      </w:hyperlink>
      <w:r w:rsidR="007006B1">
        <w:t>)</w:t>
      </w:r>
      <w:r w:rsidR="000008E7">
        <w:t>.</w:t>
      </w:r>
      <w:r w:rsidR="007F117C">
        <w:t xml:space="preserve"> This could perhaps be replicated at UNECE.</w:t>
      </w:r>
    </w:p>
    <w:p w:rsidR="007F117C" w:rsidRPr="00DA3A21" w:rsidRDefault="007F117C" w:rsidP="002B6060">
      <w:pPr>
        <w:pStyle w:val="SingleTxtG"/>
        <w:tabs>
          <w:tab w:val="left" w:pos="1134"/>
          <w:tab w:val="left" w:pos="1701"/>
        </w:tabs>
        <w:ind w:right="904"/>
      </w:pPr>
      <w:r>
        <w:t>To set up this option would likely take time.</w:t>
      </w:r>
    </w:p>
    <w:p w:rsidR="00DA3A21" w:rsidRDefault="006E63C6" w:rsidP="002B6060">
      <w:pPr>
        <w:pStyle w:val="SingleTxtG"/>
        <w:tabs>
          <w:tab w:val="left" w:pos="1134"/>
          <w:tab w:val="left" w:pos="1701"/>
        </w:tabs>
        <w:ind w:right="904"/>
      </w:pPr>
      <w:r>
        <w:t>(c)</w:t>
      </w:r>
      <w:r>
        <w:tab/>
      </w:r>
      <w:r w:rsidR="005E0411">
        <w:t xml:space="preserve">Financing </w:t>
      </w:r>
      <w:r w:rsidR="00407684">
        <w:t>involving the software provider "</w:t>
      </w:r>
      <w:r w:rsidR="005E0411">
        <w:t>T-S</w:t>
      </w:r>
      <w:r w:rsidR="00DA3A21">
        <w:t>ystems</w:t>
      </w:r>
      <w:r w:rsidR="00407684">
        <w:t>"</w:t>
      </w:r>
    </w:p>
    <w:p w:rsidR="008E58B5" w:rsidRDefault="00831C47" w:rsidP="002B6060">
      <w:pPr>
        <w:pStyle w:val="SingleTxtG"/>
        <w:tabs>
          <w:tab w:val="left" w:pos="1134"/>
          <w:tab w:val="left" w:pos="1701"/>
        </w:tabs>
        <w:ind w:right="904"/>
      </w:pPr>
      <w:r>
        <w:t xml:space="preserve">T-systems </w:t>
      </w:r>
      <w:r w:rsidR="00C26FF1">
        <w:t>may see</w:t>
      </w:r>
      <w:r>
        <w:t xml:space="preserve"> an opportunity in participating in our activities. They may be willing to </w:t>
      </w:r>
      <w:r w:rsidR="00C26FF1">
        <w:t xml:space="preserve">partially </w:t>
      </w:r>
      <w:r>
        <w:t xml:space="preserve">finance the costs generated by DETA. This </w:t>
      </w:r>
      <w:r w:rsidR="00407684">
        <w:t>was</w:t>
      </w:r>
      <w:r>
        <w:t xml:space="preserve"> </w:t>
      </w:r>
      <w:r w:rsidR="00407684">
        <w:t>addressed during the last meeting</w:t>
      </w:r>
      <w:r w:rsidR="00C26FF1">
        <w:t xml:space="preserve"> with T-Systems</w:t>
      </w:r>
      <w:r w:rsidR="00407684">
        <w:t xml:space="preserve"> in March 2015, </w:t>
      </w:r>
      <w:r w:rsidR="00C26FF1">
        <w:t xml:space="preserve">which was </w:t>
      </w:r>
      <w:r w:rsidR="00407684">
        <w:t xml:space="preserve">aimed at </w:t>
      </w:r>
      <w:r>
        <w:t>clarify</w:t>
      </w:r>
      <w:r w:rsidR="00407684">
        <w:t>ing</w:t>
      </w:r>
      <w:r>
        <w:t xml:space="preserve"> this possibility</w:t>
      </w:r>
      <w:r w:rsidR="00407684">
        <w:t>. As a result, two options involving T-Systems were identified, as presented below.</w:t>
      </w:r>
    </w:p>
    <w:p w:rsidR="003B3D00" w:rsidRDefault="003B3D00" w:rsidP="002B6060">
      <w:pPr>
        <w:pStyle w:val="SingleTxtG"/>
        <w:tabs>
          <w:tab w:val="left" w:pos="1134"/>
          <w:tab w:val="left" w:pos="1701"/>
        </w:tabs>
        <w:ind w:right="904"/>
      </w:pPr>
      <w:r>
        <w:tab/>
        <w:t>(</w:t>
      </w:r>
      <w:proofErr w:type="spellStart"/>
      <w:r>
        <w:t>i</w:t>
      </w:r>
      <w:proofErr w:type="spellEnd"/>
      <w:r>
        <w:t>)</w:t>
      </w:r>
      <w:r>
        <w:tab/>
        <w:t>Trust fund</w:t>
      </w:r>
      <w:r w:rsidR="00C26FF1">
        <w:t xml:space="preserve"> </w:t>
      </w:r>
    </w:p>
    <w:p w:rsidR="003B3D00" w:rsidRDefault="003B3D00" w:rsidP="003B3D00">
      <w:pPr>
        <w:pStyle w:val="SingleTxtG"/>
        <w:tabs>
          <w:tab w:val="left" w:pos="1134"/>
          <w:tab w:val="left" w:pos="1701"/>
        </w:tabs>
        <w:ind w:right="904"/>
      </w:pPr>
      <w:r>
        <w:t>In this option, the financing scheme is based on licence fees being collected from Contracting Parties using the service. These funds would be channelled to a trust fund, established by UNECE, where they would be used to cover the licencing, administration and operation costs, as described in Figure 1.</w:t>
      </w:r>
    </w:p>
    <w:p w:rsidR="003B3D00" w:rsidRDefault="003B3D00" w:rsidP="003B3D00">
      <w:pPr>
        <w:pStyle w:val="SingleTxtG"/>
        <w:keepNext/>
        <w:keepLines/>
        <w:tabs>
          <w:tab w:val="left" w:pos="1134"/>
          <w:tab w:val="left" w:pos="1701"/>
        </w:tabs>
        <w:ind w:right="902"/>
      </w:pPr>
      <w:proofErr w:type="gramStart"/>
      <w:r>
        <w:lastRenderedPageBreak/>
        <w:t>Figure 1.</w:t>
      </w:r>
      <w:proofErr w:type="gramEnd"/>
      <w:r>
        <w:t xml:space="preserve"> Financing option: </w:t>
      </w:r>
      <w:r w:rsidR="005E0411">
        <w:t>Trust Fund</w:t>
      </w:r>
    </w:p>
    <w:p w:rsidR="003B3D00" w:rsidRPr="00654345" w:rsidRDefault="003B3D00" w:rsidP="003B3D00">
      <w:pPr>
        <w:pStyle w:val="SingleTxtG"/>
        <w:ind w:left="0" w:right="11"/>
        <w:jc w:val="center"/>
        <w:rPr>
          <w:lang w:val="en-US"/>
        </w:rPr>
      </w:pPr>
      <w:r w:rsidRPr="003B3D00">
        <w:rPr>
          <w:noProof/>
          <w:lang w:eastAsia="en-GB"/>
        </w:rPr>
        <w:drawing>
          <wp:inline distT="0" distB="0" distL="0" distR="0" wp14:anchorId="53ED690D" wp14:editId="55E40557">
            <wp:extent cx="4924800" cy="2779200"/>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4800" cy="2779200"/>
                    </a:xfrm>
                    <a:prstGeom prst="rect">
                      <a:avLst/>
                    </a:prstGeom>
                    <a:noFill/>
                    <a:ln>
                      <a:noFill/>
                    </a:ln>
                    <a:effectLst/>
                    <a:extLst/>
                  </pic:spPr>
                </pic:pic>
              </a:graphicData>
            </a:graphic>
          </wp:inline>
        </w:drawing>
      </w:r>
    </w:p>
    <w:p w:rsidR="005E0411" w:rsidRDefault="005E0411" w:rsidP="005E0411">
      <w:pPr>
        <w:pStyle w:val="SingleTxtG"/>
        <w:tabs>
          <w:tab w:val="left" w:pos="1134"/>
          <w:tab w:val="left" w:pos="1701"/>
        </w:tabs>
        <w:ind w:right="904"/>
      </w:pPr>
      <w:r>
        <w:tab/>
        <w:t>(ii)</w:t>
      </w:r>
      <w:r>
        <w:tab/>
        <w:t>Public-private partnership</w:t>
      </w:r>
      <w:r w:rsidR="00B51D9E">
        <w:t xml:space="preserve"> (PPP)</w:t>
      </w:r>
    </w:p>
    <w:p w:rsidR="005E0411" w:rsidRDefault="005E0411" w:rsidP="005E0411">
      <w:pPr>
        <w:pStyle w:val="SingleTxtG"/>
        <w:tabs>
          <w:tab w:val="left" w:pos="1134"/>
          <w:tab w:val="left" w:pos="1701"/>
        </w:tabs>
        <w:ind w:right="904"/>
        <w:rPr>
          <w:spacing w:val="-2"/>
          <w:lang w:val="en-US"/>
        </w:rPr>
      </w:pPr>
      <w:r>
        <w:rPr>
          <w:spacing w:val="-2"/>
          <w:lang w:val="en-US"/>
        </w:rPr>
        <w:t>In this option UNECE and T-Systems would form a public-private partnership, where license fees collected from Contracting Parties using the service would be channeled to T-Systems, who would then cover both administration and operations costs as described in Figure 2.</w:t>
      </w:r>
    </w:p>
    <w:p w:rsidR="005E0411" w:rsidRDefault="005E0411" w:rsidP="005E0411">
      <w:pPr>
        <w:pStyle w:val="SingleTxtG"/>
        <w:tabs>
          <w:tab w:val="left" w:pos="1134"/>
          <w:tab w:val="left" w:pos="1701"/>
        </w:tabs>
        <w:ind w:right="904"/>
        <w:rPr>
          <w:spacing w:val="-2"/>
          <w:lang w:val="en-US"/>
        </w:rPr>
      </w:pPr>
      <w:proofErr w:type="gramStart"/>
      <w:r>
        <w:rPr>
          <w:spacing w:val="-2"/>
          <w:lang w:val="en-US"/>
        </w:rPr>
        <w:t>Figure 2.</w:t>
      </w:r>
      <w:proofErr w:type="gramEnd"/>
      <w:r>
        <w:rPr>
          <w:spacing w:val="-2"/>
          <w:lang w:val="en-US"/>
        </w:rPr>
        <w:t xml:space="preserve"> Financing option: Public-private partnership</w:t>
      </w:r>
    </w:p>
    <w:p w:rsidR="003B3D00" w:rsidRPr="005E0411" w:rsidRDefault="005E0411" w:rsidP="005E0411">
      <w:pPr>
        <w:pStyle w:val="SingleTxtG"/>
        <w:ind w:left="0" w:right="11"/>
        <w:jc w:val="center"/>
        <w:rPr>
          <w:lang w:val="en-US"/>
        </w:rPr>
      </w:pPr>
      <w:r w:rsidRPr="005E0411">
        <w:rPr>
          <w:noProof/>
          <w:lang w:eastAsia="en-GB"/>
        </w:rPr>
        <w:drawing>
          <wp:inline distT="0" distB="0" distL="0" distR="0" wp14:anchorId="27ADD0D8" wp14:editId="5231BA12">
            <wp:extent cx="5068800" cy="2894400"/>
            <wp:effectExtent l="0" t="0" r="0" b="127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8800" cy="2894400"/>
                    </a:xfrm>
                    <a:prstGeom prst="rect">
                      <a:avLst/>
                    </a:prstGeom>
                    <a:noFill/>
                    <a:ln>
                      <a:noFill/>
                    </a:ln>
                    <a:effectLst/>
                    <a:extLst/>
                  </pic:spPr>
                </pic:pic>
              </a:graphicData>
            </a:graphic>
          </wp:inline>
        </w:drawing>
      </w:r>
    </w:p>
    <w:p w:rsidR="008E58B5" w:rsidRDefault="006E63C6" w:rsidP="002B6060">
      <w:pPr>
        <w:pStyle w:val="SingleTxtG"/>
        <w:tabs>
          <w:tab w:val="left" w:pos="1134"/>
          <w:tab w:val="left" w:pos="1701"/>
        </w:tabs>
        <w:ind w:right="904"/>
      </w:pPr>
      <w:r>
        <w:t>(d)</w:t>
      </w:r>
      <w:r>
        <w:tab/>
      </w:r>
      <w:r w:rsidR="008E58B5">
        <w:t xml:space="preserve">Financing from one or more Contracting </w:t>
      </w:r>
      <w:proofErr w:type="gramStart"/>
      <w:r w:rsidR="008E58B5">
        <w:t>Party(</w:t>
      </w:r>
      <w:proofErr w:type="spellStart"/>
      <w:proofErr w:type="gramEnd"/>
      <w:r w:rsidR="008E58B5">
        <w:t>ies</w:t>
      </w:r>
      <w:proofErr w:type="spellEnd"/>
      <w:r w:rsidR="008E58B5">
        <w:t>)</w:t>
      </w:r>
    </w:p>
    <w:p w:rsidR="008E58B5" w:rsidRDefault="008E58B5" w:rsidP="002B6060">
      <w:pPr>
        <w:pStyle w:val="SingleTxtG"/>
        <w:tabs>
          <w:tab w:val="left" w:pos="1134"/>
          <w:tab w:val="left" w:pos="1701"/>
        </w:tabs>
        <w:ind w:right="904"/>
      </w:pPr>
      <w:r>
        <w:t>Some Countries already announced that</w:t>
      </w:r>
      <w:r w:rsidR="00E3222E">
        <w:t>,</w:t>
      </w:r>
      <w:r>
        <w:t xml:space="preserve"> in the case UNECE would be </w:t>
      </w:r>
      <w:r w:rsidR="00E3222E">
        <w:t>facing</w:t>
      </w:r>
      <w:r>
        <w:t xml:space="preserve"> </w:t>
      </w:r>
      <w:r w:rsidR="00E3222E">
        <w:t>a</w:t>
      </w:r>
      <w:r>
        <w:t xml:space="preserve"> budget cut </w:t>
      </w:r>
      <w:r w:rsidR="00E3222E">
        <w:t>or</w:t>
      </w:r>
      <w:r>
        <w:t xml:space="preserve"> related difficulties to provide DETA, they would con</w:t>
      </w:r>
      <w:r w:rsidR="00C254D4">
        <w:t>sider offering the DETA hosting</w:t>
      </w:r>
      <w:r w:rsidR="00E3222E">
        <w:t xml:space="preserve">, at least </w:t>
      </w:r>
      <w:r w:rsidR="00C254D4">
        <w:t>for a limited period of time.</w:t>
      </w:r>
    </w:p>
    <w:p w:rsidR="00E307B8" w:rsidRDefault="00E307B8" w:rsidP="000C5831">
      <w:pPr>
        <w:pStyle w:val="SingleTxtG"/>
        <w:keepNext/>
        <w:keepLines/>
        <w:tabs>
          <w:tab w:val="left" w:pos="1701"/>
        </w:tabs>
        <w:ind w:right="828"/>
      </w:pPr>
      <w:r>
        <w:t>(e)</w:t>
      </w:r>
      <w:r>
        <w:tab/>
        <w:t xml:space="preserve">Regular budget </w:t>
      </w:r>
    </w:p>
    <w:p w:rsidR="00E307B8" w:rsidRDefault="00E307B8" w:rsidP="000C5831">
      <w:pPr>
        <w:pStyle w:val="SingleTxtG"/>
        <w:ind w:right="828"/>
      </w:pPr>
      <w:r>
        <w:t xml:space="preserve">The informal working group on DETA had its last meeting in March 2015. It was informed about the recent cut in the UNECE regular budget and that UNECE didn't include in its Regular Budget any financing for DETA. The </w:t>
      </w:r>
      <w:r>
        <w:lastRenderedPageBreak/>
        <w:t>group stressed that the financing should be included in the Regular Budget of the UNECE as agreed by WP.29 in the past.</w:t>
      </w:r>
      <w:r w:rsidR="00EA17A6">
        <w:t xml:space="preserve"> Contracting Parties have the possibility to independently </w:t>
      </w:r>
      <w:r w:rsidR="00B855A8">
        <w:t>request the</w:t>
      </w:r>
      <w:r w:rsidR="00EA17A6">
        <w:t xml:space="preserve"> General Assembly and its subcommittees for a budget increase, as a separate process from the UNECE budget activities.</w:t>
      </w:r>
    </w:p>
    <w:p w:rsidR="00B22501" w:rsidRDefault="00B63439" w:rsidP="00B63439">
      <w:pPr>
        <w:pStyle w:val="HChG"/>
        <w:tabs>
          <w:tab w:val="left" w:pos="1134"/>
        </w:tabs>
        <w:spacing w:before="240" w:after="120" w:line="240" w:lineRule="auto"/>
        <w:ind w:right="902"/>
        <w:rPr>
          <w:lang w:val="en-US"/>
        </w:rPr>
      </w:pPr>
      <w:r>
        <w:rPr>
          <w:lang w:val="en-US"/>
        </w:rPr>
        <w:tab/>
        <w:t>6.</w:t>
      </w:r>
      <w:r>
        <w:rPr>
          <w:lang w:val="en-US"/>
        </w:rPr>
        <w:tab/>
      </w:r>
      <w:r w:rsidR="00B51D9E" w:rsidRPr="00B63439">
        <w:rPr>
          <w:lang w:val="en-US"/>
        </w:rPr>
        <w:t xml:space="preserve">Comparison of </w:t>
      </w:r>
      <w:r w:rsidRPr="00B63439">
        <w:rPr>
          <w:lang w:val="en-US"/>
        </w:rPr>
        <w:t>financi</w:t>
      </w:r>
      <w:r>
        <w:rPr>
          <w:lang w:val="en-US"/>
        </w:rPr>
        <w:t>ng</w:t>
      </w:r>
      <w:r w:rsidRPr="00B63439">
        <w:rPr>
          <w:lang w:val="en-US"/>
        </w:rPr>
        <w:t xml:space="preserve"> </w:t>
      </w:r>
      <w:r>
        <w:rPr>
          <w:lang w:val="en-US"/>
        </w:rPr>
        <w:t>options for DETA</w:t>
      </w:r>
    </w:p>
    <w:p w:rsidR="00B63439" w:rsidRPr="00B63439" w:rsidRDefault="00B63439" w:rsidP="000C5831">
      <w:pPr>
        <w:pStyle w:val="SingleTxtG"/>
        <w:ind w:right="828"/>
      </w:pPr>
      <w:r>
        <w:t xml:space="preserve">The table below presents an assessment of the four </w:t>
      </w:r>
      <w:r w:rsidR="00634015">
        <w:t xml:space="preserve">most feasible </w:t>
      </w:r>
      <w:r>
        <w:t xml:space="preserve">options considered for financing DETA. It compares their ease of establishment, management and additional work load for the secretariat and the Contracting Parties </w:t>
      </w:r>
      <w:r w:rsidR="00074272">
        <w:t>as well as</w:t>
      </w:r>
      <w:r>
        <w:t xml:space="preserve"> possible risks.   </w:t>
      </w:r>
    </w:p>
    <w:p w:rsidR="00B63439" w:rsidRDefault="00074272" w:rsidP="000C5831">
      <w:pPr>
        <w:ind w:left="1134" w:right="828"/>
        <w:rPr>
          <w:lang w:val="en-US"/>
        </w:rPr>
      </w:pPr>
      <w:r>
        <w:rPr>
          <w:lang w:val="en-US"/>
        </w:rPr>
        <w:t>Table 1:</w:t>
      </w:r>
      <w:r w:rsidRPr="00074272">
        <w:rPr>
          <w:lang w:val="en-US"/>
        </w:rPr>
        <w:t xml:space="preserve"> </w:t>
      </w:r>
      <w:r w:rsidRPr="00B63439">
        <w:rPr>
          <w:lang w:val="en-US"/>
        </w:rPr>
        <w:t>Comparison of financi</w:t>
      </w:r>
      <w:r>
        <w:rPr>
          <w:lang w:val="en-US"/>
        </w:rPr>
        <w:t>ng</w:t>
      </w:r>
      <w:r w:rsidRPr="00B63439">
        <w:rPr>
          <w:lang w:val="en-US"/>
        </w:rPr>
        <w:t xml:space="preserve"> </w:t>
      </w:r>
      <w:r>
        <w:rPr>
          <w:lang w:val="en-US"/>
        </w:rPr>
        <w:t>options for DETA</w:t>
      </w:r>
    </w:p>
    <w:p w:rsidR="00B63439" w:rsidRPr="00B63439" w:rsidRDefault="00B63439" w:rsidP="00B63439">
      <w:pPr>
        <w:rPr>
          <w:lang w:val="en-US"/>
        </w:rPr>
      </w:pPr>
    </w:p>
    <w:tbl>
      <w:tblPr>
        <w:tblW w:w="10571" w:type="dxa"/>
        <w:tblInd w:w="93" w:type="dxa"/>
        <w:tblLook w:val="04A0" w:firstRow="1" w:lastRow="0" w:firstColumn="1" w:lastColumn="0" w:noHBand="0" w:noVBand="1"/>
      </w:tblPr>
      <w:tblGrid>
        <w:gridCol w:w="438"/>
        <w:gridCol w:w="2175"/>
        <w:gridCol w:w="1761"/>
        <w:gridCol w:w="1653"/>
        <w:gridCol w:w="1700"/>
        <w:gridCol w:w="1422"/>
        <w:gridCol w:w="1422"/>
      </w:tblGrid>
      <w:tr w:rsidR="00B63439" w:rsidRPr="00B63439" w:rsidTr="00317DE4">
        <w:trPr>
          <w:gridAfter w:val="1"/>
          <w:wAfter w:w="1422" w:type="dxa"/>
          <w:trHeight w:val="600"/>
        </w:trPr>
        <w:tc>
          <w:tcPr>
            <w:tcW w:w="2613" w:type="dxa"/>
            <w:gridSpan w:val="2"/>
            <w:tcBorders>
              <w:top w:val="single" w:sz="8" w:space="0" w:color="auto"/>
              <w:left w:val="single" w:sz="8" w:space="0" w:color="auto"/>
              <w:bottom w:val="single" w:sz="4" w:space="0" w:color="auto"/>
              <w:right w:val="nil"/>
              <w:tl2br w:val="single" w:sz="4" w:space="0" w:color="auto"/>
            </w:tcBorders>
            <w:shd w:val="clear" w:color="auto" w:fill="EEECE1" w:themeFill="background2"/>
            <w:hideMark/>
          </w:tcPr>
          <w:p w:rsidR="00B63439" w:rsidRPr="00B63439" w:rsidRDefault="00B63439" w:rsidP="00B63439">
            <w:pPr>
              <w:suppressAutoHyphens w:val="0"/>
              <w:spacing w:line="240" w:lineRule="auto"/>
              <w:rPr>
                <w:rFonts w:ascii="Calibri" w:hAnsi="Calibri"/>
                <w:b/>
                <w:bCs/>
                <w:color w:val="000000"/>
                <w:sz w:val="22"/>
                <w:szCs w:val="22"/>
                <w:lang w:val="en-US"/>
              </w:rPr>
            </w:pPr>
            <w:r>
              <w:rPr>
                <w:rFonts w:ascii="Calibri" w:hAnsi="Calibri"/>
                <w:b/>
                <w:bCs/>
                <w:color w:val="000000"/>
                <w:sz w:val="22"/>
                <w:szCs w:val="22"/>
                <w:lang w:val="en-US"/>
              </w:rPr>
              <w:t xml:space="preserve">               </w:t>
            </w:r>
            <w:r w:rsidRPr="00B63439">
              <w:rPr>
                <w:rFonts w:ascii="Calibri" w:hAnsi="Calibri"/>
                <w:b/>
                <w:bCs/>
                <w:color w:val="000000"/>
                <w:sz w:val="22"/>
                <w:szCs w:val="22"/>
                <w:lang w:val="en-US"/>
              </w:rPr>
              <w:t>Financing option</w:t>
            </w:r>
            <w:r w:rsidRPr="00B63439">
              <w:rPr>
                <w:rFonts w:ascii="Calibri" w:hAnsi="Calibri"/>
                <w:b/>
                <w:bCs/>
                <w:color w:val="000000"/>
                <w:sz w:val="22"/>
                <w:szCs w:val="22"/>
                <w:lang w:val="en-US"/>
              </w:rPr>
              <w:br/>
            </w:r>
            <w:r>
              <w:rPr>
                <w:rFonts w:ascii="Calibri" w:hAnsi="Calibri"/>
                <w:b/>
                <w:bCs/>
                <w:color w:val="000000"/>
                <w:sz w:val="22"/>
                <w:szCs w:val="22"/>
                <w:lang w:val="en-US"/>
              </w:rPr>
              <w:br/>
            </w:r>
            <w:r w:rsidRPr="00B63439">
              <w:rPr>
                <w:rFonts w:ascii="Calibri" w:hAnsi="Calibri"/>
                <w:b/>
                <w:bCs/>
                <w:color w:val="000000"/>
                <w:sz w:val="22"/>
                <w:szCs w:val="22"/>
                <w:lang w:val="en-US"/>
              </w:rPr>
              <w:t xml:space="preserve">Consideration                                                                                                                                                                                                                                                         </w:t>
            </w:r>
          </w:p>
        </w:tc>
        <w:tc>
          <w:tcPr>
            <w:tcW w:w="1761" w:type="dxa"/>
            <w:tcBorders>
              <w:top w:val="single" w:sz="8" w:space="0" w:color="auto"/>
              <w:left w:val="single" w:sz="4" w:space="0" w:color="auto"/>
              <w:bottom w:val="single" w:sz="4" w:space="0" w:color="auto"/>
              <w:right w:val="nil"/>
            </w:tcBorders>
            <w:shd w:val="clear" w:color="auto" w:fill="EEECE1" w:themeFill="background2"/>
            <w:vAlign w:val="center"/>
            <w:hideMark/>
          </w:tcPr>
          <w:p w:rsidR="00B63439" w:rsidRPr="00B63439" w:rsidRDefault="00B63439" w:rsidP="00B63439">
            <w:pPr>
              <w:suppressAutoHyphens w:val="0"/>
              <w:spacing w:line="240" w:lineRule="auto"/>
              <w:jc w:val="center"/>
              <w:rPr>
                <w:rFonts w:ascii="Calibri" w:hAnsi="Calibri"/>
                <w:b/>
                <w:bCs/>
                <w:color w:val="000000"/>
                <w:sz w:val="22"/>
                <w:szCs w:val="22"/>
                <w:lang w:val="en-US"/>
              </w:rPr>
            </w:pPr>
            <w:r w:rsidRPr="00B63439">
              <w:rPr>
                <w:rFonts w:ascii="Calibri" w:hAnsi="Calibri"/>
                <w:b/>
                <w:bCs/>
                <w:color w:val="000000"/>
                <w:sz w:val="22"/>
                <w:szCs w:val="22"/>
                <w:lang w:val="en-US"/>
              </w:rPr>
              <w:t>Trust Fund</w:t>
            </w:r>
          </w:p>
        </w:tc>
        <w:tc>
          <w:tcPr>
            <w:tcW w:w="1653" w:type="dxa"/>
            <w:tcBorders>
              <w:top w:val="single" w:sz="8" w:space="0" w:color="auto"/>
              <w:left w:val="nil"/>
              <w:bottom w:val="single" w:sz="4" w:space="0" w:color="auto"/>
              <w:right w:val="nil"/>
            </w:tcBorders>
            <w:shd w:val="clear" w:color="auto" w:fill="EEECE1" w:themeFill="background2"/>
            <w:vAlign w:val="center"/>
            <w:hideMark/>
          </w:tcPr>
          <w:p w:rsidR="00B63439" w:rsidRPr="00B63439" w:rsidRDefault="00B63439" w:rsidP="00B63439">
            <w:pPr>
              <w:suppressAutoHyphens w:val="0"/>
              <w:spacing w:line="240" w:lineRule="auto"/>
              <w:jc w:val="center"/>
              <w:rPr>
                <w:rFonts w:ascii="Calibri" w:hAnsi="Calibri"/>
                <w:b/>
                <w:bCs/>
                <w:color w:val="000000"/>
                <w:sz w:val="22"/>
                <w:szCs w:val="22"/>
                <w:lang w:val="en-US"/>
              </w:rPr>
            </w:pPr>
            <w:r w:rsidRPr="00B63439">
              <w:rPr>
                <w:rFonts w:ascii="Calibri" w:hAnsi="Calibri"/>
                <w:b/>
                <w:bCs/>
                <w:color w:val="000000"/>
                <w:sz w:val="22"/>
                <w:szCs w:val="22"/>
                <w:lang w:val="en-US"/>
              </w:rPr>
              <w:t>Public-Private Partnership (PPP)</w:t>
            </w:r>
          </w:p>
        </w:tc>
        <w:tc>
          <w:tcPr>
            <w:tcW w:w="1700" w:type="dxa"/>
            <w:tcBorders>
              <w:top w:val="single" w:sz="8" w:space="0" w:color="auto"/>
              <w:left w:val="nil"/>
              <w:bottom w:val="single" w:sz="4" w:space="0" w:color="auto"/>
              <w:right w:val="nil"/>
            </w:tcBorders>
            <w:shd w:val="clear" w:color="auto" w:fill="EEECE1" w:themeFill="background2"/>
            <w:vAlign w:val="center"/>
            <w:hideMark/>
          </w:tcPr>
          <w:p w:rsidR="00B63439" w:rsidRPr="00B63439" w:rsidRDefault="00B63439" w:rsidP="00B63439">
            <w:pPr>
              <w:suppressAutoHyphens w:val="0"/>
              <w:spacing w:line="240" w:lineRule="auto"/>
              <w:jc w:val="center"/>
              <w:rPr>
                <w:rFonts w:ascii="Calibri" w:hAnsi="Calibri"/>
                <w:b/>
                <w:bCs/>
                <w:color w:val="000000"/>
                <w:sz w:val="22"/>
                <w:szCs w:val="22"/>
                <w:lang w:val="en-US"/>
              </w:rPr>
            </w:pPr>
            <w:r w:rsidRPr="00B63439">
              <w:rPr>
                <w:rFonts w:ascii="Calibri" w:hAnsi="Calibri"/>
                <w:b/>
                <w:bCs/>
                <w:color w:val="000000"/>
                <w:sz w:val="22"/>
                <w:szCs w:val="22"/>
                <w:lang w:val="en-US"/>
              </w:rPr>
              <w:t>Financing by Contracting Party</w:t>
            </w:r>
          </w:p>
        </w:tc>
        <w:tc>
          <w:tcPr>
            <w:tcW w:w="1422" w:type="dxa"/>
            <w:tcBorders>
              <w:top w:val="single" w:sz="8" w:space="0" w:color="auto"/>
              <w:left w:val="nil"/>
              <w:bottom w:val="single" w:sz="4" w:space="0" w:color="auto"/>
              <w:right w:val="single" w:sz="8" w:space="0" w:color="auto"/>
            </w:tcBorders>
            <w:shd w:val="clear" w:color="auto" w:fill="EEECE1" w:themeFill="background2"/>
            <w:vAlign w:val="center"/>
            <w:hideMark/>
          </w:tcPr>
          <w:p w:rsidR="00B63439" w:rsidRPr="00B63439" w:rsidRDefault="00B63439" w:rsidP="00B63439">
            <w:pPr>
              <w:suppressAutoHyphens w:val="0"/>
              <w:spacing w:line="240" w:lineRule="auto"/>
              <w:jc w:val="center"/>
              <w:rPr>
                <w:rFonts w:ascii="Calibri" w:hAnsi="Calibri"/>
                <w:b/>
                <w:bCs/>
                <w:color w:val="000000"/>
                <w:sz w:val="22"/>
                <w:szCs w:val="22"/>
                <w:lang w:val="en-US"/>
              </w:rPr>
            </w:pPr>
            <w:r w:rsidRPr="00B63439">
              <w:rPr>
                <w:rFonts w:ascii="Calibri" w:hAnsi="Calibri"/>
                <w:b/>
                <w:bCs/>
                <w:color w:val="000000"/>
                <w:sz w:val="22"/>
                <w:szCs w:val="22"/>
                <w:lang w:val="en-US"/>
              </w:rPr>
              <w:t>Additional Regular Budget</w:t>
            </w:r>
          </w:p>
        </w:tc>
      </w:tr>
      <w:tr w:rsidR="00B63439" w:rsidRPr="00B63439" w:rsidTr="00317DE4">
        <w:trPr>
          <w:gridAfter w:val="1"/>
          <w:wAfter w:w="1422" w:type="dxa"/>
          <w:trHeight w:val="315"/>
        </w:trPr>
        <w:tc>
          <w:tcPr>
            <w:tcW w:w="2613" w:type="dxa"/>
            <w:gridSpan w:val="2"/>
            <w:tcBorders>
              <w:top w:val="single" w:sz="4" w:space="0" w:color="auto"/>
              <w:left w:val="single" w:sz="8" w:space="0" w:color="auto"/>
              <w:bottom w:val="double" w:sz="6" w:space="0" w:color="auto"/>
              <w:right w:val="single" w:sz="4" w:space="0" w:color="000000"/>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b/>
                <w:bCs/>
                <w:color w:val="000000"/>
                <w:sz w:val="22"/>
                <w:szCs w:val="22"/>
                <w:lang w:val="en-US"/>
              </w:rPr>
            </w:pPr>
            <w:r w:rsidRPr="00B63439">
              <w:rPr>
                <w:rFonts w:ascii="Calibri" w:hAnsi="Calibri"/>
                <w:b/>
                <w:bCs/>
                <w:color w:val="000000"/>
                <w:sz w:val="22"/>
                <w:szCs w:val="22"/>
                <w:lang w:val="en-US"/>
              </w:rPr>
              <w:t>Establishment</w:t>
            </w:r>
          </w:p>
        </w:tc>
        <w:tc>
          <w:tcPr>
            <w:tcW w:w="1761" w:type="dxa"/>
            <w:tcBorders>
              <w:top w:val="nil"/>
              <w:left w:val="nil"/>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sz w:val="22"/>
                <w:szCs w:val="22"/>
                <w:lang w:val="en-US"/>
              </w:rPr>
            </w:pPr>
            <w:r w:rsidRPr="00B63439">
              <w:rPr>
                <w:rFonts w:ascii="Calibri" w:hAnsi="Calibri"/>
                <w:color w:val="000000"/>
                <w:sz w:val="22"/>
                <w:szCs w:val="22"/>
                <w:lang w:val="en-US"/>
              </w:rPr>
              <w:t> </w:t>
            </w:r>
          </w:p>
        </w:tc>
        <w:tc>
          <w:tcPr>
            <w:tcW w:w="1653" w:type="dxa"/>
            <w:tcBorders>
              <w:top w:val="nil"/>
              <w:left w:val="nil"/>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sz w:val="22"/>
                <w:szCs w:val="22"/>
                <w:lang w:val="en-US"/>
              </w:rPr>
            </w:pPr>
            <w:r w:rsidRPr="00B63439">
              <w:rPr>
                <w:rFonts w:ascii="Calibri" w:hAnsi="Calibri"/>
                <w:color w:val="000000"/>
                <w:sz w:val="22"/>
                <w:szCs w:val="22"/>
                <w:lang w:val="en-US"/>
              </w:rPr>
              <w:t> </w:t>
            </w:r>
          </w:p>
        </w:tc>
        <w:tc>
          <w:tcPr>
            <w:tcW w:w="1700" w:type="dxa"/>
            <w:tcBorders>
              <w:top w:val="nil"/>
              <w:left w:val="nil"/>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sz w:val="22"/>
                <w:szCs w:val="22"/>
                <w:lang w:val="en-US"/>
              </w:rPr>
            </w:pPr>
            <w:r w:rsidRPr="00B63439">
              <w:rPr>
                <w:rFonts w:ascii="Calibri" w:hAnsi="Calibri"/>
                <w:color w:val="000000"/>
                <w:sz w:val="22"/>
                <w:szCs w:val="22"/>
                <w:lang w:val="en-US"/>
              </w:rPr>
              <w:t> </w:t>
            </w:r>
          </w:p>
        </w:tc>
        <w:tc>
          <w:tcPr>
            <w:tcW w:w="1422" w:type="dxa"/>
            <w:tcBorders>
              <w:top w:val="nil"/>
              <w:left w:val="nil"/>
              <w:bottom w:val="double" w:sz="6" w:space="0" w:color="auto"/>
              <w:right w:val="single" w:sz="8" w:space="0" w:color="auto"/>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sz w:val="22"/>
                <w:szCs w:val="22"/>
                <w:lang w:val="en-US"/>
              </w:rPr>
            </w:pPr>
            <w:r w:rsidRPr="00B63439">
              <w:rPr>
                <w:rFonts w:ascii="Calibri" w:hAnsi="Calibri"/>
                <w:color w:val="000000"/>
                <w:sz w:val="22"/>
                <w:szCs w:val="22"/>
                <w:lang w:val="en-US"/>
              </w:rPr>
              <w:t> </w:t>
            </w:r>
          </w:p>
        </w:tc>
      </w:tr>
      <w:tr w:rsidR="00B63439" w:rsidRPr="00B63439" w:rsidTr="00317DE4">
        <w:trPr>
          <w:gridAfter w:val="1"/>
          <w:wAfter w:w="1422" w:type="dxa"/>
          <w:trHeight w:val="1035"/>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Ease of establishment</w:t>
            </w:r>
          </w:p>
        </w:tc>
        <w:tc>
          <w:tcPr>
            <w:tcW w:w="1761" w:type="dxa"/>
            <w:tcBorders>
              <w:top w:val="nil"/>
              <w:left w:val="single" w:sz="4" w:space="0" w:color="auto"/>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Medium based on F.238 and review by budget division</w:t>
            </w:r>
          </w:p>
        </w:tc>
        <w:tc>
          <w:tcPr>
            <w:tcW w:w="1653"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Possibly challenging: undefined procedure</w:t>
            </w:r>
          </w:p>
        </w:tc>
        <w:tc>
          <w:tcPr>
            <w:tcW w:w="1700"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Simple: decision by WP.29 and EO</w:t>
            </w:r>
          </w:p>
        </w:tc>
        <w:tc>
          <w:tcPr>
            <w:tcW w:w="1422" w:type="dxa"/>
            <w:tcBorders>
              <w:top w:val="nil"/>
              <w:left w:val="nil"/>
              <w:bottom w:val="nil"/>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Challenging: decision by GA -Depending on CPs action</w:t>
            </w:r>
          </w:p>
        </w:tc>
      </w:tr>
      <w:tr w:rsidR="00B63439" w:rsidRPr="00B63439" w:rsidTr="00317DE4">
        <w:trPr>
          <w:gridAfter w:val="1"/>
          <w:wAfter w:w="1422" w:type="dxa"/>
          <w:trHeight w:val="300"/>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single" w:sz="4" w:space="0" w:color="auto"/>
              <w:right w:val="single" w:sz="4" w:space="0" w:color="auto"/>
            </w:tcBorders>
            <w:shd w:val="clear" w:color="auto" w:fill="EEECE1" w:themeFill="background2"/>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Estimated time to establish</w:t>
            </w:r>
          </w:p>
        </w:tc>
        <w:tc>
          <w:tcPr>
            <w:tcW w:w="1761"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Medium (&lt;1yr)</w:t>
            </w:r>
          </w:p>
        </w:tc>
        <w:tc>
          <w:tcPr>
            <w:tcW w:w="1653"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Long (&gt;1yr)</w:t>
            </w:r>
          </w:p>
        </w:tc>
        <w:tc>
          <w:tcPr>
            <w:tcW w:w="1700"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Medium (&lt;1yr)</w:t>
            </w:r>
          </w:p>
        </w:tc>
        <w:tc>
          <w:tcPr>
            <w:tcW w:w="1422" w:type="dxa"/>
            <w:tcBorders>
              <w:top w:val="nil"/>
              <w:left w:val="nil"/>
              <w:bottom w:val="nil"/>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Long (&gt;1yr)</w:t>
            </w:r>
          </w:p>
        </w:tc>
      </w:tr>
      <w:tr w:rsidR="00B63439" w:rsidRPr="00B63439" w:rsidTr="00317DE4">
        <w:trPr>
          <w:gridAfter w:val="1"/>
          <w:wAfter w:w="1422" w:type="dxa"/>
          <w:trHeight w:val="315"/>
        </w:trPr>
        <w:tc>
          <w:tcPr>
            <w:tcW w:w="2613" w:type="dxa"/>
            <w:gridSpan w:val="2"/>
            <w:tcBorders>
              <w:top w:val="single" w:sz="4" w:space="0" w:color="auto"/>
              <w:left w:val="single" w:sz="8" w:space="0" w:color="auto"/>
              <w:bottom w:val="double" w:sz="6" w:space="0" w:color="auto"/>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b/>
                <w:bCs/>
                <w:color w:val="000000"/>
                <w:sz w:val="22"/>
                <w:szCs w:val="22"/>
                <w:lang w:val="en-US"/>
              </w:rPr>
            </w:pPr>
            <w:r w:rsidRPr="00B63439">
              <w:rPr>
                <w:rFonts w:ascii="Calibri" w:hAnsi="Calibri"/>
                <w:b/>
                <w:bCs/>
                <w:color w:val="000000"/>
                <w:sz w:val="22"/>
                <w:szCs w:val="22"/>
                <w:lang w:val="en-US"/>
              </w:rPr>
              <w:t>Operation/management</w:t>
            </w:r>
          </w:p>
        </w:tc>
        <w:tc>
          <w:tcPr>
            <w:tcW w:w="1761" w:type="dxa"/>
            <w:tcBorders>
              <w:top w:val="single" w:sz="4" w:space="0" w:color="auto"/>
              <w:left w:val="single" w:sz="4" w:space="0" w:color="auto"/>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653" w:type="dxa"/>
            <w:tcBorders>
              <w:top w:val="single" w:sz="4" w:space="0" w:color="auto"/>
              <w:left w:val="nil"/>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700" w:type="dxa"/>
            <w:tcBorders>
              <w:top w:val="single" w:sz="4" w:space="0" w:color="auto"/>
              <w:left w:val="nil"/>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422" w:type="dxa"/>
            <w:tcBorders>
              <w:top w:val="single" w:sz="4" w:space="0" w:color="auto"/>
              <w:left w:val="nil"/>
              <w:bottom w:val="double" w:sz="6" w:space="0" w:color="auto"/>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r>
      <w:tr w:rsidR="00B63439" w:rsidRPr="00B63439" w:rsidTr="00317DE4">
        <w:trPr>
          <w:gridAfter w:val="1"/>
          <w:wAfter w:w="1422" w:type="dxa"/>
          <w:trHeight w:val="315"/>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noWrap/>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Management responsibility</w:t>
            </w:r>
          </w:p>
        </w:tc>
        <w:tc>
          <w:tcPr>
            <w:tcW w:w="1761" w:type="dxa"/>
            <w:tcBorders>
              <w:top w:val="nil"/>
              <w:left w:val="single" w:sz="4" w:space="0" w:color="auto"/>
              <w:bottom w:val="nil"/>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UNECE</w:t>
            </w:r>
          </w:p>
        </w:tc>
        <w:tc>
          <w:tcPr>
            <w:tcW w:w="1653" w:type="dxa"/>
            <w:tcBorders>
              <w:top w:val="nil"/>
              <w:left w:val="nil"/>
              <w:bottom w:val="nil"/>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UNECE/</w:t>
            </w:r>
            <w:r>
              <w:rPr>
                <w:rFonts w:ascii="Calibri" w:hAnsi="Calibri"/>
                <w:color w:val="000000"/>
                <w:lang w:val="en-US"/>
              </w:rPr>
              <w:br/>
            </w:r>
            <w:r w:rsidRPr="00B63439">
              <w:rPr>
                <w:rFonts w:ascii="Calibri" w:hAnsi="Calibri"/>
                <w:color w:val="000000"/>
                <w:lang w:val="en-US"/>
              </w:rPr>
              <w:t>T-Systems</w:t>
            </w:r>
          </w:p>
        </w:tc>
        <w:tc>
          <w:tcPr>
            <w:tcW w:w="1700" w:type="dxa"/>
            <w:tcBorders>
              <w:top w:val="nil"/>
              <w:left w:val="nil"/>
              <w:bottom w:val="nil"/>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UNECE</w:t>
            </w:r>
          </w:p>
        </w:tc>
        <w:tc>
          <w:tcPr>
            <w:tcW w:w="1422" w:type="dxa"/>
            <w:tcBorders>
              <w:top w:val="nil"/>
              <w:left w:val="nil"/>
              <w:bottom w:val="nil"/>
              <w:right w:val="single" w:sz="8" w:space="0" w:color="auto"/>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UNECE</w:t>
            </w:r>
          </w:p>
        </w:tc>
      </w:tr>
      <w:tr w:rsidR="00B63439" w:rsidRPr="00B63439" w:rsidTr="00317DE4">
        <w:trPr>
          <w:gridAfter w:val="1"/>
          <w:wAfter w:w="1422" w:type="dxa"/>
          <w:trHeight w:val="765"/>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noWrap/>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Ease of management</w:t>
            </w:r>
          </w:p>
        </w:tc>
        <w:tc>
          <w:tcPr>
            <w:tcW w:w="1761" w:type="dxa"/>
            <w:tcBorders>
              <w:top w:val="nil"/>
              <w:left w:val="single" w:sz="4" w:space="0" w:color="auto"/>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Special reporting required</w:t>
            </w:r>
          </w:p>
        </w:tc>
        <w:tc>
          <w:tcPr>
            <w:tcW w:w="1653"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Procedures to be agreed</w:t>
            </w:r>
          </w:p>
        </w:tc>
        <w:tc>
          <w:tcPr>
            <w:tcW w:w="1700"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Special reporting required</w:t>
            </w:r>
          </w:p>
        </w:tc>
        <w:tc>
          <w:tcPr>
            <w:tcW w:w="1422" w:type="dxa"/>
            <w:tcBorders>
              <w:top w:val="nil"/>
              <w:left w:val="nil"/>
              <w:bottom w:val="nil"/>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Pr>
                <w:rFonts w:ascii="Calibri" w:hAnsi="Calibri"/>
                <w:color w:val="000000"/>
                <w:lang w:val="en-US"/>
              </w:rPr>
              <w:t>S</w:t>
            </w:r>
            <w:r w:rsidRPr="00B63439">
              <w:rPr>
                <w:rFonts w:ascii="Calibri" w:hAnsi="Calibri"/>
                <w:color w:val="000000"/>
                <w:lang w:val="en-US"/>
              </w:rPr>
              <w:t>imilar to other regular budget activities</w:t>
            </w:r>
          </w:p>
        </w:tc>
      </w:tr>
      <w:tr w:rsidR="00B63439" w:rsidRPr="00B63439" w:rsidTr="00317DE4">
        <w:trPr>
          <w:gridAfter w:val="1"/>
          <w:wAfter w:w="1422" w:type="dxa"/>
          <w:trHeight w:val="300"/>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noWrap/>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 xml:space="preserve">Additional workload </w:t>
            </w:r>
          </w:p>
        </w:tc>
        <w:tc>
          <w:tcPr>
            <w:tcW w:w="1761" w:type="dxa"/>
            <w:tcBorders>
              <w:top w:val="nil"/>
              <w:left w:val="single" w:sz="4" w:space="0" w:color="auto"/>
              <w:bottom w:val="single" w:sz="4"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High</w:t>
            </w:r>
          </w:p>
        </w:tc>
        <w:tc>
          <w:tcPr>
            <w:tcW w:w="1653" w:type="dxa"/>
            <w:tcBorders>
              <w:top w:val="nil"/>
              <w:left w:val="nil"/>
              <w:bottom w:val="single" w:sz="4"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High</w:t>
            </w:r>
          </w:p>
        </w:tc>
        <w:tc>
          <w:tcPr>
            <w:tcW w:w="1700"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Medium</w:t>
            </w:r>
          </w:p>
        </w:tc>
        <w:tc>
          <w:tcPr>
            <w:tcW w:w="1422" w:type="dxa"/>
            <w:tcBorders>
              <w:top w:val="nil"/>
              <w:left w:val="nil"/>
              <w:bottom w:val="nil"/>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Low</w:t>
            </w:r>
          </w:p>
        </w:tc>
      </w:tr>
      <w:tr w:rsidR="00B63439" w:rsidRPr="00B63439" w:rsidTr="00317DE4">
        <w:trPr>
          <w:gridAfter w:val="1"/>
          <w:wAfter w:w="1422" w:type="dxa"/>
          <w:trHeight w:val="315"/>
        </w:trPr>
        <w:tc>
          <w:tcPr>
            <w:tcW w:w="2613" w:type="dxa"/>
            <w:gridSpan w:val="2"/>
            <w:tcBorders>
              <w:top w:val="single" w:sz="4" w:space="0" w:color="auto"/>
              <w:left w:val="single" w:sz="8" w:space="0" w:color="auto"/>
              <w:bottom w:val="double" w:sz="6" w:space="0" w:color="auto"/>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b/>
                <w:bCs/>
                <w:color w:val="000000"/>
                <w:sz w:val="22"/>
                <w:szCs w:val="22"/>
                <w:lang w:val="en-US"/>
              </w:rPr>
            </w:pPr>
            <w:r w:rsidRPr="00B63439">
              <w:rPr>
                <w:rFonts w:ascii="Calibri" w:hAnsi="Calibri"/>
                <w:b/>
                <w:bCs/>
                <w:color w:val="000000"/>
                <w:sz w:val="22"/>
                <w:szCs w:val="22"/>
                <w:lang w:val="en-US"/>
              </w:rPr>
              <w:t>Financing</w:t>
            </w:r>
          </w:p>
        </w:tc>
        <w:tc>
          <w:tcPr>
            <w:tcW w:w="1761" w:type="dxa"/>
            <w:tcBorders>
              <w:top w:val="nil"/>
              <w:left w:val="single" w:sz="4" w:space="0" w:color="auto"/>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653" w:type="dxa"/>
            <w:tcBorders>
              <w:top w:val="nil"/>
              <w:left w:val="nil"/>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700" w:type="dxa"/>
            <w:tcBorders>
              <w:top w:val="single" w:sz="4" w:space="0" w:color="auto"/>
              <w:left w:val="nil"/>
              <w:bottom w:val="double" w:sz="6"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422" w:type="dxa"/>
            <w:tcBorders>
              <w:top w:val="single" w:sz="4" w:space="0" w:color="auto"/>
              <w:left w:val="nil"/>
              <w:bottom w:val="double" w:sz="6" w:space="0" w:color="auto"/>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r>
      <w:tr w:rsidR="00B63439" w:rsidRPr="00B63439" w:rsidTr="00317DE4">
        <w:trPr>
          <w:gridAfter w:val="1"/>
          <w:wAfter w:w="1422" w:type="dxa"/>
          <w:trHeight w:val="525"/>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noWrap/>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Stability of financing</w:t>
            </w:r>
          </w:p>
        </w:tc>
        <w:tc>
          <w:tcPr>
            <w:tcW w:w="1761" w:type="dxa"/>
            <w:tcBorders>
              <w:top w:val="nil"/>
              <w:left w:val="single" w:sz="4" w:space="0" w:color="auto"/>
              <w:bottom w:val="single" w:sz="4"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xml:space="preserve">Slight risk of discontinuing </w:t>
            </w:r>
          </w:p>
        </w:tc>
        <w:tc>
          <w:tcPr>
            <w:tcW w:w="1653" w:type="dxa"/>
            <w:tcBorders>
              <w:top w:val="nil"/>
              <w:left w:val="nil"/>
              <w:bottom w:val="single" w:sz="4" w:space="0" w:color="auto"/>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xml:space="preserve">Slight risk of discontinuing </w:t>
            </w:r>
          </w:p>
        </w:tc>
        <w:tc>
          <w:tcPr>
            <w:tcW w:w="1700"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Risk of discontinuing</w:t>
            </w:r>
          </w:p>
        </w:tc>
        <w:tc>
          <w:tcPr>
            <w:tcW w:w="1422" w:type="dxa"/>
            <w:tcBorders>
              <w:top w:val="nil"/>
              <w:left w:val="nil"/>
              <w:bottom w:val="nil"/>
              <w:right w:val="single" w:sz="8" w:space="0" w:color="auto"/>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Stable</w:t>
            </w:r>
          </w:p>
        </w:tc>
      </w:tr>
      <w:tr w:rsidR="00B63439" w:rsidRPr="00B63439" w:rsidTr="00317DE4">
        <w:trPr>
          <w:gridAfter w:val="1"/>
          <w:wAfter w:w="1422" w:type="dxa"/>
          <w:trHeight w:val="315"/>
        </w:trPr>
        <w:tc>
          <w:tcPr>
            <w:tcW w:w="2613" w:type="dxa"/>
            <w:gridSpan w:val="2"/>
            <w:tcBorders>
              <w:top w:val="single" w:sz="4" w:space="0" w:color="auto"/>
              <w:left w:val="single" w:sz="8" w:space="0" w:color="auto"/>
              <w:bottom w:val="double" w:sz="6" w:space="0" w:color="auto"/>
              <w:right w:val="nil"/>
            </w:tcBorders>
            <w:shd w:val="clear" w:color="auto" w:fill="EEECE1" w:themeFill="background2"/>
            <w:noWrap/>
            <w:vAlign w:val="bottom"/>
            <w:hideMark/>
          </w:tcPr>
          <w:p w:rsidR="00B63439" w:rsidRPr="00B63439" w:rsidRDefault="00B63439" w:rsidP="00B63439">
            <w:pPr>
              <w:suppressAutoHyphens w:val="0"/>
              <w:spacing w:line="240" w:lineRule="auto"/>
              <w:ind w:right="-551"/>
              <w:rPr>
                <w:rFonts w:ascii="Calibri" w:hAnsi="Calibri"/>
                <w:b/>
                <w:bCs/>
                <w:color w:val="000000"/>
                <w:sz w:val="22"/>
                <w:szCs w:val="22"/>
                <w:lang w:val="en-US"/>
              </w:rPr>
            </w:pPr>
            <w:r w:rsidRPr="00B63439">
              <w:rPr>
                <w:rFonts w:ascii="Calibri" w:hAnsi="Calibri"/>
                <w:b/>
                <w:bCs/>
                <w:color w:val="000000"/>
                <w:sz w:val="22"/>
                <w:szCs w:val="22"/>
                <w:lang w:val="en-US"/>
              </w:rPr>
              <w:t>Risks</w:t>
            </w:r>
          </w:p>
        </w:tc>
        <w:tc>
          <w:tcPr>
            <w:tcW w:w="1761" w:type="dxa"/>
            <w:tcBorders>
              <w:top w:val="nil"/>
              <w:left w:val="single" w:sz="4" w:space="0" w:color="auto"/>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653" w:type="dxa"/>
            <w:tcBorders>
              <w:top w:val="nil"/>
              <w:left w:val="nil"/>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700" w:type="dxa"/>
            <w:tcBorders>
              <w:top w:val="single" w:sz="4" w:space="0" w:color="auto"/>
              <w:left w:val="nil"/>
              <w:bottom w:val="double" w:sz="6"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c>
          <w:tcPr>
            <w:tcW w:w="1422" w:type="dxa"/>
            <w:tcBorders>
              <w:top w:val="single" w:sz="4" w:space="0" w:color="auto"/>
              <w:left w:val="nil"/>
              <w:bottom w:val="double" w:sz="6" w:space="0" w:color="auto"/>
              <w:right w:val="single" w:sz="8" w:space="0" w:color="auto"/>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 </w:t>
            </w:r>
          </w:p>
        </w:tc>
      </w:tr>
      <w:tr w:rsidR="00B63439" w:rsidRPr="00B63439" w:rsidTr="00317DE4">
        <w:trPr>
          <w:gridAfter w:val="1"/>
          <w:wAfter w:w="1422" w:type="dxa"/>
          <w:trHeight w:val="525"/>
        </w:trPr>
        <w:tc>
          <w:tcPr>
            <w:tcW w:w="438" w:type="dxa"/>
            <w:tcBorders>
              <w:top w:val="nil"/>
              <w:left w:val="single" w:sz="8" w:space="0" w:color="auto"/>
              <w:bottom w:val="nil"/>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nil"/>
              <w:right w:val="nil"/>
            </w:tcBorders>
            <w:shd w:val="clear" w:color="auto" w:fill="EEECE1" w:themeFill="background2"/>
            <w:noWrap/>
            <w:vAlign w:val="center"/>
            <w:hideMark/>
          </w:tcPr>
          <w:p w:rsidR="00B63439" w:rsidRPr="00B63439" w:rsidRDefault="00B63439" w:rsidP="00B63439">
            <w:pPr>
              <w:suppressAutoHyphens w:val="0"/>
              <w:spacing w:line="240" w:lineRule="auto"/>
              <w:rPr>
                <w:rFonts w:ascii="Calibri" w:hAnsi="Calibri"/>
                <w:color w:val="000000"/>
                <w:lang w:val="en-US"/>
              </w:rPr>
            </w:pPr>
            <w:r w:rsidRPr="00B63439">
              <w:rPr>
                <w:rFonts w:ascii="Calibri" w:hAnsi="Calibri"/>
                <w:color w:val="000000"/>
                <w:lang w:val="en-US"/>
              </w:rPr>
              <w:t>Transparency of operations</w:t>
            </w:r>
          </w:p>
        </w:tc>
        <w:tc>
          <w:tcPr>
            <w:tcW w:w="1761" w:type="dxa"/>
            <w:tcBorders>
              <w:top w:val="nil"/>
              <w:left w:val="single" w:sz="4" w:space="0" w:color="auto"/>
              <w:bottom w:val="nil"/>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Transparent</w:t>
            </w:r>
          </w:p>
        </w:tc>
        <w:tc>
          <w:tcPr>
            <w:tcW w:w="1653" w:type="dxa"/>
            <w:tcBorders>
              <w:top w:val="nil"/>
              <w:left w:val="nil"/>
              <w:bottom w:val="nil"/>
              <w:right w:val="nil"/>
            </w:tcBorders>
            <w:shd w:val="clear" w:color="auto" w:fill="auto"/>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Possibly less transparent</w:t>
            </w:r>
          </w:p>
        </w:tc>
        <w:tc>
          <w:tcPr>
            <w:tcW w:w="1700" w:type="dxa"/>
            <w:tcBorders>
              <w:top w:val="nil"/>
              <w:left w:val="nil"/>
              <w:bottom w:val="nil"/>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Transparent</w:t>
            </w:r>
          </w:p>
        </w:tc>
        <w:tc>
          <w:tcPr>
            <w:tcW w:w="1422" w:type="dxa"/>
            <w:tcBorders>
              <w:top w:val="nil"/>
              <w:left w:val="nil"/>
              <w:bottom w:val="nil"/>
              <w:right w:val="single" w:sz="8" w:space="0" w:color="auto"/>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Transparent</w:t>
            </w:r>
          </w:p>
        </w:tc>
      </w:tr>
      <w:tr w:rsidR="00B63439" w:rsidRPr="00B63439" w:rsidTr="00317DE4">
        <w:trPr>
          <w:gridAfter w:val="1"/>
          <w:wAfter w:w="1422" w:type="dxa"/>
          <w:trHeight w:val="525"/>
        </w:trPr>
        <w:tc>
          <w:tcPr>
            <w:tcW w:w="438" w:type="dxa"/>
            <w:tcBorders>
              <w:top w:val="nil"/>
              <w:left w:val="single" w:sz="8" w:space="0" w:color="auto"/>
              <w:bottom w:val="single" w:sz="8" w:space="0" w:color="auto"/>
              <w:right w:val="nil"/>
            </w:tcBorders>
            <w:shd w:val="clear" w:color="auto" w:fill="EEECE1" w:themeFill="background2"/>
            <w:noWrap/>
            <w:vAlign w:val="bottom"/>
            <w:hideMark/>
          </w:tcPr>
          <w:p w:rsidR="00B63439" w:rsidRPr="00B63439" w:rsidRDefault="00B63439" w:rsidP="00B63439">
            <w:pPr>
              <w:suppressAutoHyphens w:val="0"/>
              <w:spacing w:line="240" w:lineRule="auto"/>
              <w:rPr>
                <w:rFonts w:ascii="Calibri" w:hAnsi="Calibri"/>
                <w:color w:val="000000"/>
                <w:sz w:val="22"/>
                <w:szCs w:val="22"/>
                <w:lang w:val="en-US"/>
              </w:rPr>
            </w:pPr>
            <w:r w:rsidRPr="00B63439">
              <w:rPr>
                <w:rFonts w:ascii="Calibri" w:hAnsi="Calibri"/>
                <w:color w:val="000000"/>
                <w:sz w:val="22"/>
                <w:szCs w:val="22"/>
                <w:lang w:val="en-US"/>
              </w:rPr>
              <w:t> </w:t>
            </w:r>
          </w:p>
        </w:tc>
        <w:tc>
          <w:tcPr>
            <w:tcW w:w="2175" w:type="dxa"/>
            <w:tcBorders>
              <w:top w:val="nil"/>
              <w:left w:val="nil"/>
              <w:bottom w:val="single" w:sz="8" w:space="0" w:color="auto"/>
              <w:right w:val="nil"/>
            </w:tcBorders>
            <w:shd w:val="clear" w:color="auto" w:fill="EEECE1" w:themeFill="background2"/>
            <w:vAlign w:val="center"/>
            <w:hideMark/>
          </w:tcPr>
          <w:p w:rsidR="00B63439" w:rsidRPr="00B63439" w:rsidRDefault="00B63439" w:rsidP="00EF619B">
            <w:pPr>
              <w:suppressAutoHyphens w:val="0"/>
              <w:spacing w:line="240" w:lineRule="auto"/>
              <w:rPr>
                <w:rFonts w:ascii="Calibri" w:hAnsi="Calibri"/>
                <w:color w:val="000000"/>
                <w:lang w:val="en-US"/>
              </w:rPr>
            </w:pPr>
            <w:r w:rsidRPr="00B63439">
              <w:rPr>
                <w:rFonts w:ascii="Calibri" w:hAnsi="Calibri"/>
                <w:color w:val="000000"/>
                <w:lang w:val="en-US"/>
              </w:rPr>
              <w:t xml:space="preserve">Flexibility of financing </w:t>
            </w:r>
            <w:r w:rsidR="00EF619B">
              <w:rPr>
                <w:rFonts w:ascii="Calibri" w:hAnsi="Calibri"/>
                <w:color w:val="000000"/>
                <w:lang w:val="en-US"/>
              </w:rPr>
              <w:t xml:space="preserve"> non-operational costs </w:t>
            </w:r>
            <w:r w:rsidRPr="00B63439">
              <w:rPr>
                <w:rFonts w:ascii="Calibri" w:hAnsi="Calibri"/>
                <w:color w:val="000000"/>
                <w:lang w:val="en-US"/>
              </w:rPr>
              <w:t xml:space="preserve">(e.g. </w:t>
            </w:r>
            <w:r w:rsidR="00EF619B">
              <w:rPr>
                <w:rFonts w:ascii="Calibri" w:hAnsi="Calibri"/>
                <w:color w:val="000000"/>
                <w:lang w:val="en-US"/>
              </w:rPr>
              <w:t>travel</w:t>
            </w:r>
            <w:r w:rsidRPr="00B63439">
              <w:rPr>
                <w:rFonts w:ascii="Calibri" w:hAnsi="Calibri"/>
                <w:color w:val="000000"/>
                <w:lang w:val="en-US"/>
              </w:rPr>
              <w:t xml:space="preserve"> expenses)</w:t>
            </w:r>
          </w:p>
        </w:tc>
        <w:tc>
          <w:tcPr>
            <w:tcW w:w="1761" w:type="dxa"/>
            <w:tcBorders>
              <w:top w:val="nil"/>
              <w:left w:val="single" w:sz="4" w:space="0" w:color="auto"/>
              <w:bottom w:val="single" w:sz="8"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Flexible</w:t>
            </w:r>
          </w:p>
        </w:tc>
        <w:tc>
          <w:tcPr>
            <w:tcW w:w="1653" w:type="dxa"/>
            <w:tcBorders>
              <w:top w:val="nil"/>
              <w:left w:val="nil"/>
              <w:bottom w:val="single" w:sz="8"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Flexible</w:t>
            </w:r>
          </w:p>
        </w:tc>
        <w:tc>
          <w:tcPr>
            <w:tcW w:w="1700" w:type="dxa"/>
            <w:tcBorders>
              <w:top w:val="nil"/>
              <w:left w:val="nil"/>
              <w:bottom w:val="single" w:sz="8" w:space="0" w:color="auto"/>
              <w:right w:val="nil"/>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Flexible</w:t>
            </w:r>
          </w:p>
        </w:tc>
        <w:tc>
          <w:tcPr>
            <w:tcW w:w="1422" w:type="dxa"/>
            <w:tcBorders>
              <w:top w:val="nil"/>
              <w:left w:val="nil"/>
              <w:bottom w:val="single" w:sz="8" w:space="0" w:color="auto"/>
              <w:right w:val="single" w:sz="8" w:space="0" w:color="auto"/>
            </w:tcBorders>
            <w:shd w:val="clear" w:color="auto" w:fill="auto"/>
            <w:noWrap/>
            <w:vAlign w:val="center"/>
            <w:hideMark/>
          </w:tcPr>
          <w:p w:rsidR="00B63439" w:rsidRPr="00B63439" w:rsidRDefault="00B63439" w:rsidP="00B63439">
            <w:pPr>
              <w:suppressAutoHyphens w:val="0"/>
              <w:spacing w:line="240" w:lineRule="auto"/>
              <w:jc w:val="center"/>
              <w:rPr>
                <w:rFonts w:ascii="Calibri" w:hAnsi="Calibri"/>
                <w:color w:val="000000"/>
                <w:lang w:val="en-US"/>
              </w:rPr>
            </w:pPr>
            <w:r w:rsidRPr="00B63439">
              <w:rPr>
                <w:rFonts w:ascii="Calibri" w:hAnsi="Calibri"/>
                <w:color w:val="000000"/>
                <w:lang w:val="en-US"/>
              </w:rPr>
              <w:t>Not flexible</w:t>
            </w:r>
          </w:p>
        </w:tc>
      </w:tr>
      <w:tr w:rsidR="00074272" w:rsidRPr="00B63439" w:rsidTr="006741F8">
        <w:trPr>
          <w:gridAfter w:val="1"/>
          <w:wAfter w:w="1422" w:type="dxa"/>
          <w:trHeight w:val="300"/>
        </w:trPr>
        <w:tc>
          <w:tcPr>
            <w:tcW w:w="438" w:type="dxa"/>
            <w:tcBorders>
              <w:top w:val="nil"/>
              <w:left w:val="nil"/>
              <w:bottom w:val="nil"/>
              <w:right w:val="nil"/>
            </w:tcBorders>
            <w:shd w:val="clear" w:color="auto" w:fill="auto"/>
            <w:noWrap/>
            <w:vAlign w:val="bottom"/>
            <w:hideMark/>
          </w:tcPr>
          <w:p w:rsidR="00074272" w:rsidRPr="00B63439" w:rsidRDefault="00074272" w:rsidP="00B63439">
            <w:pPr>
              <w:suppressAutoHyphens w:val="0"/>
              <w:spacing w:line="240" w:lineRule="auto"/>
              <w:rPr>
                <w:rFonts w:ascii="Calibri" w:hAnsi="Calibri"/>
                <w:color w:val="000000"/>
                <w:sz w:val="22"/>
                <w:szCs w:val="22"/>
                <w:lang w:val="en-US"/>
              </w:rPr>
            </w:pPr>
          </w:p>
        </w:tc>
        <w:tc>
          <w:tcPr>
            <w:tcW w:w="3936" w:type="dxa"/>
            <w:gridSpan w:val="2"/>
            <w:tcBorders>
              <w:top w:val="nil"/>
              <w:left w:val="nil"/>
              <w:bottom w:val="nil"/>
              <w:right w:val="nil"/>
            </w:tcBorders>
            <w:shd w:val="clear" w:color="auto" w:fill="auto"/>
            <w:noWrap/>
            <w:vAlign w:val="bottom"/>
            <w:hideMark/>
          </w:tcPr>
          <w:p w:rsidR="00074272" w:rsidRPr="00B63439" w:rsidRDefault="00074272" w:rsidP="00074272">
            <w:pPr>
              <w:suppressAutoHyphens w:val="0"/>
              <w:spacing w:line="240" w:lineRule="auto"/>
              <w:rPr>
                <w:rFonts w:ascii="Calibri" w:hAnsi="Calibri"/>
                <w:color w:val="000000"/>
                <w:sz w:val="22"/>
                <w:szCs w:val="22"/>
                <w:lang w:val="en-US"/>
              </w:rPr>
            </w:pPr>
            <w:r w:rsidRPr="00B63439">
              <w:rPr>
                <w:rFonts w:ascii="Calibri" w:hAnsi="Calibri"/>
                <w:color w:val="000000"/>
                <w:sz w:val="18"/>
                <w:szCs w:val="18"/>
                <w:lang w:val="en-US"/>
              </w:rPr>
              <w:t>EO= Executive Office of UNECE</w:t>
            </w:r>
          </w:p>
        </w:tc>
        <w:tc>
          <w:tcPr>
            <w:tcW w:w="1653" w:type="dxa"/>
            <w:tcBorders>
              <w:top w:val="nil"/>
              <w:left w:val="nil"/>
              <w:bottom w:val="nil"/>
              <w:right w:val="nil"/>
            </w:tcBorders>
            <w:shd w:val="clear" w:color="auto" w:fill="auto"/>
            <w:noWrap/>
            <w:vAlign w:val="center"/>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700" w:type="dxa"/>
            <w:tcBorders>
              <w:top w:val="nil"/>
              <w:left w:val="nil"/>
              <w:bottom w:val="nil"/>
              <w:right w:val="nil"/>
            </w:tcBorders>
            <w:shd w:val="clear" w:color="auto" w:fill="auto"/>
            <w:noWrap/>
            <w:vAlign w:val="center"/>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422" w:type="dxa"/>
            <w:noWrap/>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r>
      <w:tr w:rsidR="00074272" w:rsidRPr="00B63439" w:rsidTr="00074272">
        <w:trPr>
          <w:trHeight w:val="300"/>
        </w:trPr>
        <w:tc>
          <w:tcPr>
            <w:tcW w:w="438" w:type="dxa"/>
            <w:tcBorders>
              <w:top w:val="nil"/>
              <w:left w:val="nil"/>
              <w:bottom w:val="nil"/>
              <w:right w:val="nil"/>
            </w:tcBorders>
            <w:shd w:val="clear" w:color="auto" w:fill="auto"/>
            <w:noWrap/>
            <w:vAlign w:val="bottom"/>
            <w:hideMark/>
          </w:tcPr>
          <w:p w:rsidR="00074272" w:rsidRPr="00B63439" w:rsidRDefault="00074272" w:rsidP="00B63439">
            <w:pPr>
              <w:suppressAutoHyphens w:val="0"/>
              <w:spacing w:line="240" w:lineRule="auto"/>
              <w:rPr>
                <w:rFonts w:ascii="Calibri" w:hAnsi="Calibri"/>
                <w:color w:val="000000"/>
                <w:sz w:val="22"/>
                <w:szCs w:val="22"/>
                <w:lang w:val="en-US"/>
              </w:rPr>
            </w:pPr>
          </w:p>
        </w:tc>
        <w:tc>
          <w:tcPr>
            <w:tcW w:w="3936" w:type="dxa"/>
            <w:gridSpan w:val="2"/>
            <w:tcBorders>
              <w:top w:val="nil"/>
              <w:left w:val="nil"/>
              <w:bottom w:val="nil"/>
              <w:right w:val="nil"/>
            </w:tcBorders>
            <w:shd w:val="clear" w:color="auto" w:fill="auto"/>
            <w:noWrap/>
            <w:vAlign w:val="bottom"/>
            <w:hideMark/>
          </w:tcPr>
          <w:p w:rsidR="00074272" w:rsidRPr="00B63439" w:rsidRDefault="00074272" w:rsidP="00074272">
            <w:pPr>
              <w:suppressAutoHyphens w:val="0"/>
              <w:spacing w:line="240" w:lineRule="auto"/>
              <w:rPr>
                <w:rFonts w:ascii="Calibri" w:hAnsi="Calibri"/>
                <w:color w:val="000000"/>
                <w:sz w:val="22"/>
                <w:szCs w:val="22"/>
                <w:lang w:val="en-US"/>
              </w:rPr>
            </w:pPr>
            <w:r w:rsidRPr="00B63439">
              <w:rPr>
                <w:rFonts w:ascii="Calibri" w:hAnsi="Calibri"/>
                <w:color w:val="000000"/>
                <w:sz w:val="18"/>
                <w:szCs w:val="18"/>
                <w:lang w:val="en-US"/>
              </w:rPr>
              <w:t xml:space="preserve">GA= General Assembly </w:t>
            </w:r>
          </w:p>
        </w:tc>
        <w:tc>
          <w:tcPr>
            <w:tcW w:w="1653" w:type="dxa"/>
            <w:tcBorders>
              <w:top w:val="nil"/>
              <w:left w:val="nil"/>
              <w:bottom w:val="nil"/>
              <w:right w:val="nil"/>
            </w:tcBorders>
            <w:shd w:val="clear" w:color="auto" w:fill="auto"/>
            <w:noWrap/>
            <w:vAlign w:val="center"/>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700" w:type="dxa"/>
            <w:tcBorders>
              <w:top w:val="nil"/>
              <w:left w:val="nil"/>
              <w:bottom w:val="nil"/>
              <w:right w:val="nil"/>
            </w:tcBorders>
            <w:shd w:val="clear" w:color="auto" w:fill="auto"/>
            <w:noWrap/>
            <w:vAlign w:val="center"/>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422" w:type="dxa"/>
            <w:tcBorders>
              <w:top w:val="nil"/>
              <w:left w:val="nil"/>
              <w:bottom w:val="nil"/>
              <w:right w:val="nil"/>
            </w:tcBorders>
            <w:shd w:val="clear" w:color="auto" w:fill="auto"/>
            <w:noWrap/>
            <w:vAlign w:val="center"/>
            <w:hideMark/>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422" w:type="dxa"/>
            <w:tcBorders>
              <w:top w:val="nil"/>
              <w:left w:val="nil"/>
              <w:bottom w:val="nil"/>
              <w:right w:val="nil"/>
            </w:tcBorders>
            <w:shd w:val="clear" w:color="auto" w:fill="auto"/>
            <w:vAlign w:val="center"/>
          </w:tcPr>
          <w:p w:rsidR="00074272" w:rsidRPr="00B63439" w:rsidRDefault="00074272">
            <w:pPr>
              <w:suppressAutoHyphens w:val="0"/>
              <w:spacing w:line="240" w:lineRule="auto"/>
              <w:rPr>
                <w:lang w:val="en-US"/>
              </w:rPr>
            </w:pPr>
          </w:p>
        </w:tc>
      </w:tr>
      <w:tr w:rsidR="00074272" w:rsidRPr="00B63439" w:rsidTr="00074272">
        <w:trPr>
          <w:gridAfter w:val="1"/>
          <w:wAfter w:w="1422" w:type="dxa"/>
          <w:trHeight w:val="300"/>
        </w:trPr>
        <w:tc>
          <w:tcPr>
            <w:tcW w:w="438" w:type="dxa"/>
            <w:tcBorders>
              <w:top w:val="nil"/>
              <w:left w:val="nil"/>
              <w:bottom w:val="nil"/>
              <w:right w:val="nil"/>
            </w:tcBorders>
            <w:shd w:val="clear" w:color="auto" w:fill="auto"/>
            <w:noWrap/>
            <w:vAlign w:val="bottom"/>
          </w:tcPr>
          <w:p w:rsidR="00074272" w:rsidRPr="00B63439" w:rsidRDefault="00074272" w:rsidP="00B63439">
            <w:pPr>
              <w:suppressAutoHyphens w:val="0"/>
              <w:spacing w:line="240" w:lineRule="auto"/>
              <w:rPr>
                <w:rFonts w:ascii="Calibri" w:hAnsi="Calibri"/>
                <w:color w:val="000000"/>
                <w:sz w:val="22"/>
                <w:szCs w:val="22"/>
                <w:lang w:val="en-US"/>
              </w:rPr>
            </w:pPr>
          </w:p>
        </w:tc>
        <w:tc>
          <w:tcPr>
            <w:tcW w:w="2175" w:type="dxa"/>
            <w:tcBorders>
              <w:top w:val="nil"/>
              <w:left w:val="nil"/>
              <w:bottom w:val="nil"/>
              <w:right w:val="nil"/>
            </w:tcBorders>
            <w:shd w:val="clear" w:color="auto" w:fill="auto"/>
            <w:noWrap/>
            <w:vAlign w:val="bottom"/>
          </w:tcPr>
          <w:p w:rsidR="00074272" w:rsidRPr="00B63439" w:rsidRDefault="00074272" w:rsidP="00B63439">
            <w:pPr>
              <w:suppressAutoHyphens w:val="0"/>
              <w:spacing w:line="240" w:lineRule="auto"/>
              <w:rPr>
                <w:rFonts w:ascii="Calibri" w:hAnsi="Calibri"/>
                <w:color w:val="000000"/>
                <w:sz w:val="18"/>
                <w:szCs w:val="18"/>
                <w:lang w:val="en-US"/>
              </w:rPr>
            </w:pPr>
          </w:p>
        </w:tc>
        <w:tc>
          <w:tcPr>
            <w:tcW w:w="1761" w:type="dxa"/>
            <w:tcBorders>
              <w:top w:val="nil"/>
              <w:left w:val="nil"/>
              <w:bottom w:val="nil"/>
              <w:right w:val="nil"/>
            </w:tcBorders>
            <w:shd w:val="clear" w:color="auto" w:fill="auto"/>
            <w:noWrap/>
            <w:vAlign w:val="center"/>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653" w:type="dxa"/>
            <w:tcBorders>
              <w:top w:val="nil"/>
              <w:left w:val="nil"/>
              <w:bottom w:val="nil"/>
              <w:right w:val="nil"/>
            </w:tcBorders>
            <w:shd w:val="clear" w:color="auto" w:fill="auto"/>
            <w:noWrap/>
            <w:vAlign w:val="center"/>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700" w:type="dxa"/>
            <w:tcBorders>
              <w:top w:val="nil"/>
              <w:left w:val="nil"/>
              <w:bottom w:val="nil"/>
              <w:right w:val="nil"/>
            </w:tcBorders>
            <w:shd w:val="clear" w:color="auto" w:fill="auto"/>
            <w:noWrap/>
            <w:vAlign w:val="center"/>
          </w:tcPr>
          <w:p w:rsidR="00074272" w:rsidRPr="00B63439" w:rsidRDefault="00074272" w:rsidP="00B63439">
            <w:pPr>
              <w:suppressAutoHyphens w:val="0"/>
              <w:spacing w:line="240" w:lineRule="auto"/>
              <w:jc w:val="center"/>
              <w:rPr>
                <w:rFonts w:ascii="Calibri" w:hAnsi="Calibri"/>
                <w:color w:val="000000"/>
                <w:sz w:val="22"/>
                <w:szCs w:val="22"/>
                <w:lang w:val="en-US"/>
              </w:rPr>
            </w:pPr>
          </w:p>
        </w:tc>
        <w:tc>
          <w:tcPr>
            <w:tcW w:w="1422" w:type="dxa"/>
            <w:tcBorders>
              <w:top w:val="nil"/>
              <w:left w:val="nil"/>
              <w:bottom w:val="nil"/>
              <w:right w:val="nil"/>
            </w:tcBorders>
            <w:shd w:val="clear" w:color="auto" w:fill="auto"/>
            <w:noWrap/>
            <w:vAlign w:val="center"/>
          </w:tcPr>
          <w:p w:rsidR="00074272" w:rsidRPr="00B63439" w:rsidRDefault="00074272" w:rsidP="00B63439">
            <w:pPr>
              <w:suppressAutoHyphens w:val="0"/>
              <w:spacing w:line="240" w:lineRule="auto"/>
              <w:jc w:val="center"/>
              <w:rPr>
                <w:rFonts w:ascii="Calibri" w:hAnsi="Calibri"/>
                <w:color w:val="000000"/>
                <w:sz w:val="22"/>
                <w:szCs w:val="22"/>
                <w:lang w:val="en-US"/>
              </w:rPr>
            </w:pPr>
          </w:p>
        </w:tc>
      </w:tr>
    </w:tbl>
    <w:p w:rsidR="00B22501" w:rsidRPr="00EF619B" w:rsidRDefault="00074272" w:rsidP="00825DE3">
      <w:pPr>
        <w:pStyle w:val="SingleTxtG"/>
        <w:spacing w:before="120"/>
        <w:ind w:right="686"/>
        <w:rPr>
          <w:lang w:val="en-US"/>
        </w:rPr>
      </w:pPr>
      <w:r>
        <w:rPr>
          <w:lang w:val="en-US"/>
        </w:rPr>
        <w:t>B</w:t>
      </w:r>
      <w:bookmarkStart w:id="0" w:name="_GoBack"/>
      <w:bookmarkEnd w:id="0"/>
      <w:r>
        <w:rPr>
          <w:lang w:val="en-US"/>
        </w:rPr>
        <w:t xml:space="preserve">ased on the analysis </w:t>
      </w:r>
      <w:r w:rsidR="00C63F29">
        <w:rPr>
          <w:lang w:val="en-US"/>
        </w:rPr>
        <w:t>presented</w:t>
      </w:r>
      <w:r>
        <w:rPr>
          <w:lang w:val="en-US"/>
        </w:rPr>
        <w:t xml:space="preserve"> </w:t>
      </w:r>
      <w:r w:rsidR="00C63F29">
        <w:rPr>
          <w:lang w:val="en-US"/>
        </w:rPr>
        <w:t xml:space="preserve">in </w:t>
      </w:r>
      <w:r>
        <w:rPr>
          <w:lang w:val="en-US"/>
        </w:rPr>
        <w:t>th</w:t>
      </w:r>
      <w:r w:rsidR="00C63F29">
        <w:rPr>
          <w:lang w:val="en-US"/>
        </w:rPr>
        <w:t>e</w:t>
      </w:r>
      <w:r>
        <w:rPr>
          <w:lang w:val="en-US"/>
        </w:rPr>
        <w:t xml:space="preserve"> table</w:t>
      </w:r>
      <w:r w:rsidR="00C63F29">
        <w:rPr>
          <w:lang w:val="en-US"/>
        </w:rPr>
        <w:t xml:space="preserve"> above</w:t>
      </w:r>
      <w:r>
        <w:rPr>
          <w:lang w:val="en-US"/>
        </w:rPr>
        <w:t xml:space="preserve">, it appears that </w:t>
      </w:r>
      <w:r w:rsidR="00C63F29">
        <w:rPr>
          <w:lang w:val="en-US"/>
        </w:rPr>
        <w:t xml:space="preserve">the PPP option presents additional challenges that are not envisioned in the other options. In addition, the </w:t>
      </w:r>
      <w:r w:rsidR="00E3222E">
        <w:rPr>
          <w:lang w:val="en-US"/>
        </w:rPr>
        <w:t xml:space="preserve">UNECE </w:t>
      </w:r>
      <w:r w:rsidR="00C63F29">
        <w:rPr>
          <w:lang w:val="en-US"/>
        </w:rPr>
        <w:t xml:space="preserve">process for establishing PPPs is not as mature. The remaining options seem to be similar in terms of feasibility, although the conditions for the implementation of each option slightly differ and depend on, for example, the willingness of Contracting Parties to pay or to take action to bring about an increase in the UNECE regular </w:t>
      </w:r>
      <w:r w:rsidR="00C254D4">
        <w:rPr>
          <w:lang w:val="en-US"/>
        </w:rPr>
        <w:t xml:space="preserve">budget. </w:t>
      </w:r>
      <w:r w:rsidR="00E3222E">
        <w:rPr>
          <w:lang w:val="en-US"/>
        </w:rPr>
        <w:t xml:space="preserve">The secretariat assesses </w:t>
      </w:r>
      <w:r w:rsidR="00E3222E">
        <w:rPr>
          <w:lang w:val="en-US"/>
        </w:rPr>
        <w:lastRenderedPageBreak/>
        <w:t>the p</w:t>
      </w:r>
      <w:r w:rsidR="00C254D4">
        <w:rPr>
          <w:lang w:val="en-US"/>
        </w:rPr>
        <w:t xml:space="preserve">olitical feasibility for </w:t>
      </w:r>
      <w:r w:rsidR="00E3222E">
        <w:rPr>
          <w:lang w:val="en-US"/>
        </w:rPr>
        <w:t xml:space="preserve">"additional </w:t>
      </w:r>
      <w:r w:rsidR="00C254D4">
        <w:rPr>
          <w:lang w:val="en-US"/>
        </w:rPr>
        <w:t>regular budget</w:t>
      </w:r>
      <w:r w:rsidR="00E3222E">
        <w:rPr>
          <w:lang w:val="en-US"/>
        </w:rPr>
        <w:t>"</w:t>
      </w:r>
      <w:r w:rsidR="00C254D4">
        <w:rPr>
          <w:lang w:val="en-US"/>
        </w:rPr>
        <w:t xml:space="preserve"> option questionable in times of austerity policy.</w:t>
      </w:r>
      <w:r w:rsidR="00C63F29">
        <w:rPr>
          <w:lang w:val="en-US"/>
        </w:rPr>
        <w:t xml:space="preserve"> </w:t>
      </w:r>
    </w:p>
    <w:p w:rsidR="00B22501" w:rsidRPr="00EF619B" w:rsidRDefault="00EF619B" w:rsidP="00EF619B">
      <w:pPr>
        <w:pStyle w:val="HChG"/>
        <w:tabs>
          <w:tab w:val="left" w:pos="1134"/>
        </w:tabs>
        <w:spacing w:before="240" w:after="120" w:line="240" w:lineRule="auto"/>
        <w:ind w:right="902"/>
        <w:rPr>
          <w:lang w:val="en-US"/>
        </w:rPr>
      </w:pPr>
      <w:r>
        <w:rPr>
          <w:lang w:val="en-US"/>
        </w:rPr>
        <w:tab/>
        <w:t>7.</w:t>
      </w:r>
      <w:r>
        <w:rPr>
          <w:lang w:val="en-US"/>
        </w:rPr>
        <w:tab/>
        <w:t>Sources</w:t>
      </w:r>
    </w:p>
    <w:p w:rsidR="00B22501" w:rsidRDefault="00B22501" w:rsidP="00EA17A6">
      <w:pPr>
        <w:pStyle w:val="SingleTxtG"/>
      </w:pPr>
      <w:r>
        <w:t>ECE directive No. 17 (25/11/2014)</w:t>
      </w:r>
    </w:p>
    <w:p w:rsidR="00B22501" w:rsidRDefault="00B22501" w:rsidP="00EA17A6">
      <w:pPr>
        <w:pStyle w:val="SingleTxtG"/>
      </w:pPr>
      <w:r>
        <w:t>ST/AI/284 (</w:t>
      </w:r>
      <w:r w:rsidR="00E4722D">
        <w:t>0</w:t>
      </w:r>
      <w:r>
        <w:t>1/03/1982)</w:t>
      </w:r>
    </w:p>
    <w:p w:rsidR="00B22501" w:rsidRDefault="00B22501" w:rsidP="00B22501">
      <w:pPr>
        <w:pStyle w:val="SingleTxtG"/>
        <w:ind w:left="1440" w:hanging="306"/>
      </w:pPr>
      <w:r>
        <w:t>ST/SGB/188 (</w:t>
      </w:r>
      <w:r w:rsidR="00E4722D">
        <w:t>0</w:t>
      </w:r>
      <w:r>
        <w:t>1/03/</w:t>
      </w:r>
      <w:r w:rsidR="00E4722D">
        <w:t>1982)</w:t>
      </w:r>
    </w:p>
    <w:p w:rsidR="002E3183" w:rsidRDefault="002E3183" w:rsidP="00B22501">
      <w:pPr>
        <w:pStyle w:val="SingleTxtG"/>
        <w:ind w:left="1440" w:hanging="306"/>
      </w:pPr>
      <w:r>
        <w:t>ST/SGB/2013/4</w:t>
      </w:r>
    </w:p>
    <w:p w:rsidR="002A50DF" w:rsidRDefault="002A50DF" w:rsidP="00B22501">
      <w:pPr>
        <w:pStyle w:val="SingleTxtG"/>
        <w:ind w:left="1440" w:hanging="306"/>
      </w:pPr>
      <w:r>
        <w:t xml:space="preserve">Revised UN Business Guidelines ~2009 (From a press release in </w:t>
      </w:r>
      <w:proofErr w:type="spellStart"/>
      <w:r>
        <w:t>iSeek</w:t>
      </w:r>
      <w:proofErr w:type="spellEnd"/>
      <w:r>
        <w:t>)</w:t>
      </w:r>
    </w:p>
    <w:p w:rsidR="001C20A6" w:rsidRPr="00E15055" w:rsidRDefault="00EF619B" w:rsidP="00E15055">
      <w:pPr>
        <w:pStyle w:val="SingleTxtG"/>
        <w:ind w:left="1440" w:hanging="306"/>
        <w:jc w:val="center"/>
        <w:rPr>
          <w:u w:val="single"/>
        </w:rPr>
      </w:pPr>
      <w:r>
        <w:rPr>
          <w:u w:val="single"/>
        </w:rPr>
        <w:tab/>
      </w:r>
      <w:r>
        <w:rPr>
          <w:u w:val="single"/>
        </w:rPr>
        <w:tab/>
      </w:r>
      <w:r>
        <w:rPr>
          <w:u w:val="single"/>
        </w:rPr>
        <w:tab/>
      </w:r>
    </w:p>
    <w:sectPr w:rsidR="001C20A6" w:rsidRPr="00E15055" w:rsidSect="00C65839">
      <w:headerReference w:type="even" r:id="rId12"/>
      <w:headerReference w:type="default" r:id="rId13"/>
      <w:footerReference w:type="even" r:id="rId14"/>
      <w:footerReference w:type="default" r:id="rId15"/>
      <w:headerReference w:type="first" r:id="rId16"/>
      <w:footerReference w:type="first" r:id="rId17"/>
      <w:pgSz w:w="11906" w:h="16838"/>
      <w:pgMar w:top="1276" w:right="18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38" w:rsidRDefault="006D1138" w:rsidP="00034ED0">
      <w:pPr>
        <w:spacing w:line="240" w:lineRule="auto"/>
      </w:pPr>
      <w:r>
        <w:separator/>
      </w:r>
    </w:p>
  </w:endnote>
  <w:endnote w:type="continuationSeparator" w:id="0">
    <w:p w:rsidR="006D1138" w:rsidRDefault="006D1138" w:rsidP="00034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57238"/>
      <w:docPartObj>
        <w:docPartGallery w:val="Page Numbers (Bottom of Page)"/>
        <w:docPartUnique/>
      </w:docPartObj>
    </w:sdtPr>
    <w:sdtEndPr>
      <w:rPr>
        <w:b/>
        <w:noProof/>
        <w:sz w:val="20"/>
      </w:rPr>
    </w:sdtEndPr>
    <w:sdtContent>
      <w:p w:rsidR="00C65839" w:rsidRPr="00C65839" w:rsidRDefault="00C65839" w:rsidP="00C65839">
        <w:pPr>
          <w:pStyle w:val="Footer"/>
          <w:jc w:val="center"/>
          <w:rPr>
            <w:b/>
            <w:sz w:val="20"/>
          </w:rPr>
        </w:pPr>
        <w:r w:rsidRPr="007373FD">
          <w:rPr>
            <w:b/>
            <w:sz w:val="20"/>
          </w:rPr>
          <w:fldChar w:fldCharType="begin"/>
        </w:r>
        <w:r w:rsidRPr="007373FD">
          <w:rPr>
            <w:b/>
            <w:sz w:val="20"/>
          </w:rPr>
          <w:instrText xml:space="preserve"> PAGE   \* MERGEFORMAT </w:instrText>
        </w:r>
        <w:r w:rsidRPr="007373FD">
          <w:rPr>
            <w:b/>
            <w:sz w:val="20"/>
          </w:rPr>
          <w:fldChar w:fldCharType="separate"/>
        </w:r>
        <w:r>
          <w:rPr>
            <w:b/>
            <w:noProof/>
            <w:sz w:val="20"/>
          </w:rPr>
          <w:t>6</w:t>
        </w:r>
        <w:r w:rsidRPr="007373FD">
          <w:rPr>
            <w:b/>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3025"/>
      <w:docPartObj>
        <w:docPartGallery w:val="Page Numbers (Bottom of Page)"/>
        <w:docPartUnique/>
      </w:docPartObj>
    </w:sdtPr>
    <w:sdtEndPr>
      <w:rPr>
        <w:b/>
        <w:noProof/>
        <w:sz w:val="20"/>
      </w:rPr>
    </w:sdtEndPr>
    <w:sdtContent>
      <w:p w:rsidR="006D1138" w:rsidRPr="007373FD" w:rsidRDefault="006D1138" w:rsidP="007373FD">
        <w:pPr>
          <w:pStyle w:val="Footer"/>
          <w:jc w:val="center"/>
          <w:rPr>
            <w:b/>
            <w:sz w:val="20"/>
          </w:rPr>
        </w:pPr>
        <w:r w:rsidRPr="007373FD">
          <w:rPr>
            <w:b/>
            <w:sz w:val="20"/>
          </w:rPr>
          <w:fldChar w:fldCharType="begin"/>
        </w:r>
        <w:r w:rsidRPr="007373FD">
          <w:rPr>
            <w:b/>
            <w:sz w:val="20"/>
          </w:rPr>
          <w:instrText xml:space="preserve"> PAGE   \* MERGEFORMAT </w:instrText>
        </w:r>
        <w:r w:rsidRPr="007373FD">
          <w:rPr>
            <w:b/>
            <w:sz w:val="20"/>
          </w:rPr>
          <w:fldChar w:fldCharType="separate"/>
        </w:r>
        <w:r w:rsidR="00C65839">
          <w:rPr>
            <w:b/>
            <w:noProof/>
            <w:sz w:val="20"/>
          </w:rPr>
          <w:t>5</w:t>
        </w:r>
        <w:r w:rsidRPr="007373FD">
          <w:rPr>
            <w:b/>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161843"/>
      <w:docPartObj>
        <w:docPartGallery w:val="Page Numbers (Bottom of Page)"/>
        <w:docPartUnique/>
      </w:docPartObj>
    </w:sdtPr>
    <w:sdtEndPr>
      <w:rPr>
        <w:b/>
        <w:noProof/>
        <w:sz w:val="20"/>
      </w:rPr>
    </w:sdtEndPr>
    <w:sdtContent>
      <w:p w:rsidR="006D1138" w:rsidRPr="007373FD" w:rsidRDefault="007373FD" w:rsidP="007373FD">
        <w:pPr>
          <w:pStyle w:val="Footer"/>
          <w:jc w:val="center"/>
          <w:rPr>
            <w:b/>
            <w:sz w:val="20"/>
          </w:rPr>
        </w:pPr>
        <w:r w:rsidRPr="007373FD">
          <w:rPr>
            <w:b/>
            <w:sz w:val="20"/>
          </w:rPr>
          <w:fldChar w:fldCharType="begin"/>
        </w:r>
        <w:r w:rsidRPr="007373FD">
          <w:rPr>
            <w:b/>
            <w:sz w:val="20"/>
          </w:rPr>
          <w:instrText xml:space="preserve"> PAGE   \* MERGEFORMAT </w:instrText>
        </w:r>
        <w:r w:rsidRPr="007373FD">
          <w:rPr>
            <w:b/>
            <w:sz w:val="20"/>
          </w:rPr>
          <w:fldChar w:fldCharType="separate"/>
        </w:r>
        <w:r w:rsidR="00C65839">
          <w:rPr>
            <w:b/>
            <w:noProof/>
            <w:sz w:val="20"/>
          </w:rPr>
          <w:t>1</w:t>
        </w:r>
        <w:r w:rsidRPr="007373FD">
          <w:rPr>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38" w:rsidRDefault="006D1138" w:rsidP="00034ED0">
      <w:pPr>
        <w:spacing w:line="240" w:lineRule="auto"/>
      </w:pPr>
      <w:r>
        <w:separator/>
      </w:r>
    </w:p>
  </w:footnote>
  <w:footnote w:type="continuationSeparator" w:id="0">
    <w:p w:rsidR="006D1138" w:rsidRDefault="006D1138" w:rsidP="00034E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39" w:rsidRPr="00C65839" w:rsidRDefault="00C65839" w:rsidP="00C65839">
    <w:pPr>
      <w:pStyle w:val="Header"/>
      <w:pBdr>
        <w:bottom w:val="single" w:sz="4" w:space="1" w:color="auto"/>
      </w:pBdr>
      <w:rPr>
        <w:lang w:val="fr-CH"/>
      </w:rPr>
    </w:pPr>
    <w:r>
      <w:rPr>
        <w:lang w:val="fr-CH"/>
      </w:rPr>
      <w:t>WP.29-166-07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38" w:rsidRPr="00C65839" w:rsidRDefault="00C65839" w:rsidP="00C65839">
    <w:pPr>
      <w:pStyle w:val="Header"/>
      <w:pBdr>
        <w:bottom w:val="single" w:sz="4" w:space="1" w:color="auto"/>
      </w:pBdr>
      <w:jc w:val="right"/>
      <w:rPr>
        <w:lang w:val="fr-CH"/>
      </w:rPr>
    </w:pPr>
    <w:r>
      <w:rPr>
        <w:lang w:val="fr-CH"/>
      </w:rPr>
      <w:t>WP.29-166-07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ook w:val="0000" w:firstRow="0" w:lastRow="0" w:firstColumn="0" w:lastColumn="0" w:noHBand="0" w:noVBand="0"/>
    </w:tblPr>
    <w:tblGrid>
      <w:gridCol w:w="5812"/>
      <w:gridCol w:w="3969"/>
    </w:tblGrid>
    <w:tr w:rsidR="007373FD" w:rsidRPr="0089411E" w:rsidTr="00583434">
      <w:trPr>
        <w:trHeight w:val="141"/>
      </w:trPr>
      <w:tc>
        <w:tcPr>
          <w:tcW w:w="5812" w:type="dxa"/>
        </w:tcPr>
        <w:p w:rsidR="007373FD" w:rsidRPr="005D05E5" w:rsidRDefault="007373FD" w:rsidP="00583434">
          <w:pPr>
            <w:tabs>
              <w:tab w:val="center" w:pos="4153"/>
              <w:tab w:val="right" w:pos="8306"/>
            </w:tabs>
          </w:pPr>
          <w:r>
            <w:t>Note by the secretariat</w:t>
          </w:r>
        </w:p>
      </w:tc>
      <w:tc>
        <w:tcPr>
          <w:tcW w:w="3969" w:type="dxa"/>
        </w:tcPr>
        <w:p w:rsidR="007373FD" w:rsidRPr="005D05E5" w:rsidRDefault="007373FD" w:rsidP="00583434">
          <w:pPr>
            <w:rPr>
              <w:b/>
              <w:bCs/>
              <w:lang w:val="it-IT"/>
            </w:rPr>
          </w:pPr>
          <w:r w:rsidRPr="005D05E5">
            <w:rPr>
              <w:lang w:val="it-IT"/>
            </w:rPr>
            <w:t xml:space="preserve">Informal document </w:t>
          </w:r>
          <w:r w:rsidRPr="005D05E5">
            <w:rPr>
              <w:b/>
              <w:bCs/>
              <w:lang w:val="it-IT"/>
            </w:rPr>
            <w:t>WP.29-16</w:t>
          </w:r>
          <w:r>
            <w:rPr>
              <w:b/>
              <w:bCs/>
              <w:lang w:val="it-IT"/>
            </w:rPr>
            <w:t>6</w:t>
          </w:r>
          <w:r w:rsidRPr="005D05E5">
            <w:rPr>
              <w:b/>
              <w:bCs/>
              <w:lang w:val="it-IT"/>
            </w:rPr>
            <w:t>-</w:t>
          </w:r>
          <w:r>
            <w:rPr>
              <w:b/>
              <w:bCs/>
              <w:lang w:val="it-IT"/>
            </w:rPr>
            <w:t>07</w:t>
          </w:r>
        </w:p>
        <w:p w:rsidR="007373FD" w:rsidRPr="0089411E" w:rsidRDefault="007373FD" w:rsidP="00583434">
          <w:r w:rsidRPr="005D05E5">
            <w:rPr>
              <w:lang w:val="pt-BR"/>
            </w:rPr>
            <w:t>(16</w:t>
          </w:r>
          <w:r>
            <w:rPr>
              <w:lang w:val="pt-BR"/>
            </w:rPr>
            <w:t>6</w:t>
          </w:r>
          <w:r>
            <w:rPr>
              <w:vertAlign w:val="superscript"/>
              <w:lang w:val="pt-BR"/>
            </w:rPr>
            <w:t>th</w:t>
          </w:r>
          <w:r w:rsidRPr="005D05E5">
            <w:rPr>
              <w:lang w:val="pt-BR"/>
            </w:rPr>
            <w:t xml:space="preserve"> WP.29, </w:t>
          </w:r>
          <w:r>
            <w:rPr>
              <w:lang w:val="pt-BR"/>
            </w:rPr>
            <w:t>23-26 June</w:t>
          </w:r>
          <w:r w:rsidRPr="005D05E5">
            <w:rPr>
              <w:lang w:val="pt-BR"/>
            </w:rPr>
            <w:t xml:space="preserve"> 201</w:t>
          </w:r>
          <w:r>
            <w:rPr>
              <w:lang w:val="pt-BR"/>
            </w:rPr>
            <w:t>5</w:t>
          </w:r>
          <w:r w:rsidRPr="005D05E5">
            <w:rPr>
              <w:lang w:val="pt-BR"/>
            </w:rPr>
            <w:t>,</w:t>
          </w:r>
          <w:r w:rsidRPr="005D05E5">
            <w:rPr>
              <w:lang w:val="pt-BR"/>
            </w:rPr>
            <w:br/>
            <w:t>agenda item</w:t>
          </w:r>
          <w:r>
            <w:rPr>
              <w:lang w:val="pt-BR"/>
            </w:rPr>
            <w:t xml:space="preserve"> 4.5</w:t>
          </w:r>
          <w:r w:rsidRPr="005D05E5">
            <w:rPr>
              <w:lang w:val="pt-BR"/>
            </w:rPr>
            <w:t>.)</w:t>
          </w:r>
        </w:p>
      </w:tc>
    </w:tr>
  </w:tbl>
  <w:p w:rsidR="006D1138" w:rsidRDefault="006D1138" w:rsidP="00CB564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CE1"/>
    <w:multiLevelType w:val="hybridMultilevel"/>
    <w:tmpl w:val="BC2A4D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D72F4"/>
    <w:multiLevelType w:val="hybridMultilevel"/>
    <w:tmpl w:val="D48C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F7F76CC"/>
    <w:multiLevelType w:val="hybridMultilevel"/>
    <w:tmpl w:val="77EAC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21"/>
    <w:rsid w:val="000008E7"/>
    <w:rsid w:val="000248DC"/>
    <w:rsid w:val="00031D0C"/>
    <w:rsid w:val="00034ED0"/>
    <w:rsid w:val="00074272"/>
    <w:rsid w:val="000C5831"/>
    <w:rsid w:val="001C20A6"/>
    <w:rsid w:val="00254869"/>
    <w:rsid w:val="00257A56"/>
    <w:rsid w:val="00291CD0"/>
    <w:rsid w:val="002A50DF"/>
    <w:rsid w:val="002B6060"/>
    <w:rsid w:val="002E3183"/>
    <w:rsid w:val="002F1EAC"/>
    <w:rsid w:val="00317DE4"/>
    <w:rsid w:val="00386CBE"/>
    <w:rsid w:val="003B3D00"/>
    <w:rsid w:val="003C10B9"/>
    <w:rsid w:val="00407684"/>
    <w:rsid w:val="004634DC"/>
    <w:rsid w:val="00474127"/>
    <w:rsid w:val="00475E47"/>
    <w:rsid w:val="004B5A77"/>
    <w:rsid w:val="004F3617"/>
    <w:rsid w:val="005701E8"/>
    <w:rsid w:val="005E0411"/>
    <w:rsid w:val="00615AE4"/>
    <w:rsid w:val="00634015"/>
    <w:rsid w:val="00654345"/>
    <w:rsid w:val="006741F8"/>
    <w:rsid w:val="006B7AFF"/>
    <w:rsid w:val="006D1138"/>
    <w:rsid w:val="006E63C6"/>
    <w:rsid w:val="007006B1"/>
    <w:rsid w:val="007373FD"/>
    <w:rsid w:val="007A6B01"/>
    <w:rsid w:val="007E4D93"/>
    <w:rsid w:val="007F117C"/>
    <w:rsid w:val="00801BBB"/>
    <w:rsid w:val="00825DE3"/>
    <w:rsid w:val="00831C47"/>
    <w:rsid w:val="00835E26"/>
    <w:rsid w:val="008A57ED"/>
    <w:rsid w:val="008E58B5"/>
    <w:rsid w:val="008F29D3"/>
    <w:rsid w:val="00930F93"/>
    <w:rsid w:val="00936FB6"/>
    <w:rsid w:val="00947318"/>
    <w:rsid w:val="00955071"/>
    <w:rsid w:val="00AB5AF0"/>
    <w:rsid w:val="00B22501"/>
    <w:rsid w:val="00B232DB"/>
    <w:rsid w:val="00B51D9E"/>
    <w:rsid w:val="00B63439"/>
    <w:rsid w:val="00B84D03"/>
    <w:rsid w:val="00B855A8"/>
    <w:rsid w:val="00C11E9A"/>
    <w:rsid w:val="00C254D4"/>
    <w:rsid w:val="00C26FF1"/>
    <w:rsid w:val="00C63F29"/>
    <w:rsid w:val="00C65283"/>
    <w:rsid w:val="00C65839"/>
    <w:rsid w:val="00C70EE1"/>
    <w:rsid w:val="00CB5649"/>
    <w:rsid w:val="00D01B3A"/>
    <w:rsid w:val="00D077E9"/>
    <w:rsid w:val="00D21F26"/>
    <w:rsid w:val="00D814C9"/>
    <w:rsid w:val="00DA34DA"/>
    <w:rsid w:val="00DA3A21"/>
    <w:rsid w:val="00DD396E"/>
    <w:rsid w:val="00DF5650"/>
    <w:rsid w:val="00E15055"/>
    <w:rsid w:val="00E307B8"/>
    <w:rsid w:val="00E310FA"/>
    <w:rsid w:val="00E3222E"/>
    <w:rsid w:val="00E4722D"/>
    <w:rsid w:val="00EA17A6"/>
    <w:rsid w:val="00EF619B"/>
    <w:rsid w:val="00F0481D"/>
    <w:rsid w:val="00F97CB8"/>
    <w:rsid w:val="00FC7C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DA3A21"/>
    <w:pPr>
      <w:ind w:left="720"/>
      <w:contextualSpacing/>
    </w:pPr>
  </w:style>
  <w:style w:type="character" w:styleId="Hyperlink">
    <w:name w:val="Hyperlink"/>
    <w:basedOn w:val="DefaultParagraphFont"/>
    <w:uiPriority w:val="99"/>
    <w:unhideWhenUsed/>
    <w:rsid w:val="000008E7"/>
    <w:rPr>
      <w:color w:val="0000FF" w:themeColor="hyperlink"/>
      <w:u w:val="single"/>
    </w:rPr>
  </w:style>
  <w:style w:type="paragraph" w:customStyle="1" w:styleId="Txt1">
    <w:name w:val="Txt1"/>
    <w:basedOn w:val="Normal"/>
    <w:rsid w:val="00257A56"/>
    <w:pPr>
      <w:suppressAutoHyphens w:val="0"/>
      <w:spacing w:before="240" w:line="240" w:lineRule="auto"/>
      <w:jc w:val="both"/>
    </w:pPr>
    <w:rPr>
      <w:rFonts w:ascii="Arial" w:hAnsi="Arial"/>
      <w:sz w:val="24"/>
      <w:szCs w:val="24"/>
      <w:lang w:val="en-US" w:eastAsia="de-DE"/>
    </w:rPr>
  </w:style>
  <w:style w:type="character" w:customStyle="1" w:styleId="HChGChar">
    <w:name w:val="_ H _Ch_G Char"/>
    <w:link w:val="HChG"/>
    <w:rsid w:val="002B6060"/>
    <w:rPr>
      <w:b/>
      <w:sz w:val="28"/>
    </w:rPr>
  </w:style>
  <w:style w:type="character" w:customStyle="1" w:styleId="SingleTxtGChar">
    <w:name w:val="_ Single Txt_G Char"/>
    <w:link w:val="SingleTxtG"/>
    <w:rsid w:val="002B6060"/>
  </w:style>
  <w:style w:type="paragraph" w:styleId="BalloonText">
    <w:name w:val="Balloon Text"/>
    <w:basedOn w:val="Normal"/>
    <w:link w:val="BalloonTextChar"/>
    <w:uiPriority w:val="99"/>
    <w:semiHidden/>
    <w:unhideWhenUsed/>
    <w:rsid w:val="00936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DA3A21"/>
    <w:pPr>
      <w:ind w:left="720"/>
      <w:contextualSpacing/>
    </w:pPr>
  </w:style>
  <w:style w:type="character" w:styleId="Hyperlink">
    <w:name w:val="Hyperlink"/>
    <w:basedOn w:val="DefaultParagraphFont"/>
    <w:uiPriority w:val="99"/>
    <w:unhideWhenUsed/>
    <w:rsid w:val="000008E7"/>
    <w:rPr>
      <w:color w:val="0000FF" w:themeColor="hyperlink"/>
      <w:u w:val="single"/>
    </w:rPr>
  </w:style>
  <w:style w:type="paragraph" w:customStyle="1" w:styleId="Txt1">
    <w:name w:val="Txt1"/>
    <w:basedOn w:val="Normal"/>
    <w:rsid w:val="00257A56"/>
    <w:pPr>
      <w:suppressAutoHyphens w:val="0"/>
      <w:spacing w:before="240" w:line="240" w:lineRule="auto"/>
      <w:jc w:val="both"/>
    </w:pPr>
    <w:rPr>
      <w:rFonts w:ascii="Arial" w:hAnsi="Arial"/>
      <w:sz w:val="24"/>
      <w:szCs w:val="24"/>
      <w:lang w:val="en-US" w:eastAsia="de-DE"/>
    </w:rPr>
  </w:style>
  <w:style w:type="character" w:customStyle="1" w:styleId="HChGChar">
    <w:name w:val="_ H _Ch_G Char"/>
    <w:link w:val="HChG"/>
    <w:rsid w:val="002B6060"/>
    <w:rPr>
      <w:b/>
      <w:sz w:val="28"/>
    </w:rPr>
  </w:style>
  <w:style w:type="character" w:customStyle="1" w:styleId="SingleTxtGChar">
    <w:name w:val="_ Single Txt_G Char"/>
    <w:link w:val="SingleTxtG"/>
    <w:rsid w:val="002B6060"/>
  </w:style>
  <w:style w:type="paragraph" w:styleId="BalloonText">
    <w:name w:val="Balloon Text"/>
    <w:basedOn w:val="Normal"/>
    <w:link w:val="BalloonTextChar"/>
    <w:uiPriority w:val="99"/>
    <w:semiHidden/>
    <w:unhideWhenUsed/>
    <w:rsid w:val="00936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5025">
      <w:bodyDiv w:val="1"/>
      <w:marLeft w:val="0"/>
      <w:marRight w:val="0"/>
      <w:marTop w:val="0"/>
      <w:marBottom w:val="0"/>
      <w:divBdr>
        <w:top w:val="none" w:sz="0" w:space="0" w:color="auto"/>
        <w:left w:val="none" w:sz="0" w:space="0" w:color="auto"/>
        <w:bottom w:val="none" w:sz="0" w:space="0" w:color="auto"/>
        <w:right w:val="none" w:sz="0" w:space="0" w:color="auto"/>
      </w:divBdr>
    </w:div>
    <w:div w:id="504982520">
      <w:bodyDiv w:val="1"/>
      <w:marLeft w:val="0"/>
      <w:marRight w:val="0"/>
      <w:marTop w:val="0"/>
      <w:marBottom w:val="0"/>
      <w:divBdr>
        <w:top w:val="none" w:sz="0" w:space="0" w:color="auto"/>
        <w:left w:val="none" w:sz="0" w:space="0" w:color="auto"/>
        <w:bottom w:val="none" w:sz="0" w:space="0" w:color="auto"/>
        <w:right w:val="none" w:sz="0" w:space="0" w:color="auto"/>
      </w:divBdr>
    </w:div>
    <w:div w:id="539124180">
      <w:bodyDiv w:val="1"/>
      <w:marLeft w:val="0"/>
      <w:marRight w:val="0"/>
      <w:marTop w:val="0"/>
      <w:marBottom w:val="0"/>
      <w:divBdr>
        <w:top w:val="none" w:sz="0" w:space="0" w:color="auto"/>
        <w:left w:val="none" w:sz="0" w:space="0" w:color="auto"/>
        <w:bottom w:val="none" w:sz="0" w:space="0" w:color="auto"/>
        <w:right w:val="none" w:sz="0" w:space="0" w:color="auto"/>
      </w:divBdr>
    </w:div>
    <w:div w:id="614672242">
      <w:bodyDiv w:val="1"/>
      <w:marLeft w:val="0"/>
      <w:marRight w:val="0"/>
      <w:marTop w:val="0"/>
      <w:marBottom w:val="0"/>
      <w:divBdr>
        <w:top w:val="none" w:sz="0" w:space="0" w:color="auto"/>
        <w:left w:val="none" w:sz="0" w:space="0" w:color="auto"/>
        <w:bottom w:val="none" w:sz="0" w:space="0" w:color="auto"/>
        <w:right w:val="none" w:sz="0" w:space="0" w:color="auto"/>
      </w:divBdr>
    </w:div>
    <w:div w:id="714349232">
      <w:bodyDiv w:val="1"/>
      <w:marLeft w:val="0"/>
      <w:marRight w:val="0"/>
      <w:marTop w:val="0"/>
      <w:marBottom w:val="0"/>
      <w:divBdr>
        <w:top w:val="none" w:sz="0" w:space="0" w:color="auto"/>
        <w:left w:val="none" w:sz="0" w:space="0" w:color="auto"/>
        <w:bottom w:val="none" w:sz="0" w:space="0" w:color="auto"/>
        <w:right w:val="none" w:sz="0" w:space="0" w:color="auto"/>
      </w:divBdr>
    </w:div>
    <w:div w:id="900795279">
      <w:bodyDiv w:val="1"/>
      <w:marLeft w:val="0"/>
      <w:marRight w:val="0"/>
      <w:marTop w:val="0"/>
      <w:marBottom w:val="0"/>
      <w:divBdr>
        <w:top w:val="none" w:sz="0" w:space="0" w:color="auto"/>
        <w:left w:val="none" w:sz="0" w:space="0" w:color="auto"/>
        <w:bottom w:val="none" w:sz="0" w:space="0" w:color="auto"/>
        <w:right w:val="none" w:sz="0" w:space="0" w:color="auto"/>
      </w:divBdr>
    </w:div>
    <w:div w:id="1020931691">
      <w:bodyDiv w:val="1"/>
      <w:marLeft w:val="0"/>
      <w:marRight w:val="0"/>
      <w:marTop w:val="0"/>
      <w:marBottom w:val="0"/>
      <w:divBdr>
        <w:top w:val="none" w:sz="0" w:space="0" w:color="auto"/>
        <w:left w:val="none" w:sz="0" w:space="0" w:color="auto"/>
        <w:bottom w:val="none" w:sz="0" w:space="0" w:color="auto"/>
        <w:right w:val="none" w:sz="0" w:space="0" w:color="auto"/>
      </w:divBdr>
    </w:div>
    <w:div w:id="1358578533">
      <w:bodyDiv w:val="1"/>
      <w:marLeft w:val="0"/>
      <w:marRight w:val="0"/>
      <w:marTop w:val="0"/>
      <w:marBottom w:val="0"/>
      <w:divBdr>
        <w:top w:val="none" w:sz="0" w:space="0" w:color="auto"/>
        <w:left w:val="none" w:sz="0" w:space="0" w:color="auto"/>
        <w:bottom w:val="none" w:sz="0" w:space="0" w:color="auto"/>
        <w:right w:val="none" w:sz="0" w:space="0" w:color="auto"/>
      </w:divBdr>
    </w:div>
    <w:div w:id="1725451119">
      <w:bodyDiv w:val="1"/>
      <w:marLeft w:val="0"/>
      <w:marRight w:val="0"/>
      <w:marTop w:val="0"/>
      <w:marBottom w:val="0"/>
      <w:divBdr>
        <w:top w:val="none" w:sz="0" w:space="0" w:color="auto"/>
        <w:left w:val="none" w:sz="0" w:space="0" w:color="auto"/>
        <w:bottom w:val="none" w:sz="0" w:space="0" w:color="auto"/>
        <w:right w:val="none" w:sz="0" w:space="0" w:color="auto"/>
      </w:divBdr>
    </w:div>
    <w:div w:id="1932466306">
      <w:bodyDiv w:val="1"/>
      <w:marLeft w:val="0"/>
      <w:marRight w:val="0"/>
      <w:marTop w:val="0"/>
      <w:marBottom w:val="0"/>
      <w:divBdr>
        <w:top w:val="none" w:sz="0" w:space="0" w:color="auto"/>
        <w:left w:val="none" w:sz="0" w:space="0" w:color="auto"/>
        <w:bottom w:val="none" w:sz="0" w:space="0" w:color="auto"/>
        <w:right w:val="none" w:sz="0" w:space="0" w:color="auto"/>
      </w:divBdr>
    </w:div>
    <w:div w:id="2000889032">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 w:id="21460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ido.org/en/resources/statistics/statistical-databases/how-to-purchase-unido-databas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54C4-BA1C-43DC-B050-07FF5C3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Salonen</dc:creator>
  <cp:lastModifiedBy>Luciolle</cp:lastModifiedBy>
  <cp:revision>7</cp:revision>
  <cp:lastPrinted>2015-06-18T15:04:00Z</cp:lastPrinted>
  <dcterms:created xsi:type="dcterms:W3CDTF">2015-06-15T14:32:00Z</dcterms:created>
  <dcterms:modified xsi:type="dcterms:W3CDTF">2015-06-18T15:34:00Z</dcterms:modified>
</cp:coreProperties>
</file>