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0753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/>
              <w:jc w:val="both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9075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3938" w:rsidRPr="00907534" w:rsidRDefault="00923752" w:rsidP="00186E0D">
            <w:pPr>
              <w:ind w:left="2693"/>
              <w:jc w:val="right"/>
            </w:pPr>
            <w:r w:rsidRPr="00907534">
              <w:rPr>
                <w:sz w:val="40"/>
              </w:rPr>
              <w:t>ECE</w:t>
            </w:r>
            <w:r w:rsidRPr="00907534">
              <w:t>/TRANS/WP.29/GRRF/201</w:t>
            </w:r>
            <w:r w:rsidR="00F87B5E" w:rsidRPr="00907534">
              <w:t>5</w:t>
            </w:r>
            <w:r w:rsidRPr="00907534">
              <w:t>/</w:t>
            </w:r>
            <w:r w:rsidR="00773938">
              <w:t>31</w:t>
            </w:r>
          </w:p>
        </w:tc>
      </w:tr>
      <w:tr w:rsidR="00B56E9C" w:rsidRPr="0090753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EF5C56" w:rsidP="007A309D">
            <w:pPr>
              <w:spacing w:before="120"/>
              <w:jc w:val="both"/>
            </w:pPr>
            <w:r w:rsidRPr="00907534"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1905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9075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07534" w:rsidRDefault="00923752" w:rsidP="007A309D">
            <w:pPr>
              <w:spacing w:before="240" w:line="240" w:lineRule="exact"/>
              <w:jc w:val="both"/>
            </w:pPr>
            <w:r w:rsidRPr="00907534">
              <w:t>Distr.: General</w:t>
            </w:r>
          </w:p>
          <w:p w:rsidR="00923752" w:rsidRPr="00907534" w:rsidRDefault="006E2C04" w:rsidP="007A309D">
            <w:pPr>
              <w:spacing w:line="240" w:lineRule="exact"/>
              <w:jc w:val="both"/>
            </w:pPr>
            <w:r>
              <w:t xml:space="preserve">3 </w:t>
            </w:r>
            <w:r w:rsidR="00EF5C56" w:rsidRPr="00907534">
              <w:t>Ju</w:t>
            </w:r>
            <w:r>
              <w:t>ly</w:t>
            </w:r>
            <w:r w:rsidR="00EF5C56" w:rsidRPr="00907534">
              <w:t xml:space="preserve"> 2015</w:t>
            </w:r>
          </w:p>
          <w:p w:rsidR="00923752" w:rsidRPr="00907534" w:rsidRDefault="00923752" w:rsidP="007A309D">
            <w:pPr>
              <w:spacing w:line="240" w:lineRule="exact"/>
              <w:jc w:val="both"/>
            </w:pPr>
          </w:p>
          <w:p w:rsidR="00923752" w:rsidRPr="00907534" w:rsidRDefault="00923752" w:rsidP="007A309D">
            <w:pPr>
              <w:spacing w:line="240" w:lineRule="exact"/>
              <w:jc w:val="both"/>
            </w:pPr>
            <w:r w:rsidRPr="00907534">
              <w:t>Original: English</w:t>
            </w:r>
          </w:p>
        </w:tc>
      </w:tr>
    </w:tbl>
    <w:p w:rsidR="00442A83" w:rsidRPr="00907534" w:rsidRDefault="00C96DF2" w:rsidP="007A309D">
      <w:pPr>
        <w:spacing w:before="120"/>
        <w:jc w:val="both"/>
        <w:rPr>
          <w:b/>
          <w:sz w:val="28"/>
          <w:szCs w:val="28"/>
        </w:rPr>
      </w:pPr>
      <w:r w:rsidRPr="00907534">
        <w:rPr>
          <w:b/>
          <w:sz w:val="28"/>
          <w:szCs w:val="28"/>
        </w:rPr>
        <w:t>Economic Commission for Europe</w:t>
      </w:r>
    </w:p>
    <w:p w:rsidR="00C96DF2" w:rsidRPr="00907534" w:rsidRDefault="008F31D2" w:rsidP="007A309D">
      <w:pPr>
        <w:spacing w:before="120"/>
        <w:jc w:val="both"/>
        <w:rPr>
          <w:sz w:val="28"/>
          <w:szCs w:val="28"/>
        </w:rPr>
      </w:pPr>
      <w:r w:rsidRPr="00907534">
        <w:rPr>
          <w:sz w:val="28"/>
          <w:szCs w:val="28"/>
        </w:rPr>
        <w:t>Inland Transport Committee</w:t>
      </w:r>
    </w:p>
    <w:p w:rsidR="00EA2A77" w:rsidRPr="00907534" w:rsidRDefault="00EA2A77" w:rsidP="007A309D">
      <w:pPr>
        <w:spacing w:before="120"/>
        <w:jc w:val="both"/>
        <w:rPr>
          <w:b/>
          <w:sz w:val="24"/>
          <w:szCs w:val="24"/>
        </w:rPr>
      </w:pPr>
      <w:r w:rsidRPr="00907534">
        <w:rPr>
          <w:b/>
          <w:sz w:val="24"/>
          <w:szCs w:val="24"/>
        </w:rPr>
        <w:t xml:space="preserve">World Forum for Harmonization of Vehicle </w:t>
      </w:r>
      <w:r w:rsidR="00D26E07" w:rsidRPr="00907534">
        <w:rPr>
          <w:b/>
          <w:sz w:val="24"/>
          <w:szCs w:val="24"/>
        </w:rPr>
        <w:t>Regulation</w:t>
      </w:r>
      <w:r w:rsidRPr="00907534">
        <w:rPr>
          <w:b/>
          <w:sz w:val="24"/>
          <w:szCs w:val="24"/>
        </w:rPr>
        <w:t>s</w:t>
      </w:r>
    </w:p>
    <w:p w:rsidR="00AB1C8B" w:rsidRPr="00907534" w:rsidRDefault="00AB1C8B" w:rsidP="007A309D">
      <w:pPr>
        <w:spacing w:before="120"/>
        <w:jc w:val="both"/>
        <w:rPr>
          <w:b/>
        </w:rPr>
      </w:pPr>
      <w:r w:rsidRPr="00907534">
        <w:rPr>
          <w:b/>
        </w:rPr>
        <w:t>Working Party on Brakes and Running Gear</w:t>
      </w:r>
    </w:p>
    <w:p w:rsidR="00AB1C8B" w:rsidRPr="00907534" w:rsidRDefault="002F0868" w:rsidP="007A309D">
      <w:pPr>
        <w:spacing w:before="120"/>
        <w:jc w:val="both"/>
        <w:rPr>
          <w:b/>
        </w:rPr>
      </w:pPr>
      <w:r>
        <w:rPr>
          <w:b/>
        </w:rPr>
        <w:t>Eightieth</w:t>
      </w:r>
      <w:r w:rsidR="00AB1C8B" w:rsidRPr="00907534">
        <w:rPr>
          <w:b/>
        </w:rPr>
        <w:t xml:space="preserve"> session</w:t>
      </w:r>
    </w:p>
    <w:p w:rsidR="00AB1C8B" w:rsidRPr="00907534" w:rsidRDefault="00AB1C8B" w:rsidP="007A309D">
      <w:pPr>
        <w:jc w:val="both"/>
      </w:pPr>
      <w:r w:rsidRPr="00907534">
        <w:t xml:space="preserve">Geneva, </w:t>
      </w:r>
      <w:r w:rsidR="00094407" w:rsidRPr="00907534">
        <w:t>1</w:t>
      </w:r>
      <w:r w:rsidR="00512606">
        <w:t>5</w:t>
      </w:r>
      <w:r w:rsidR="00094407" w:rsidRPr="00907534">
        <w:t>-</w:t>
      </w:r>
      <w:r w:rsidR="00512606">
        <w:t>18</w:t>
      </w:r>
      <w:r w:rsidR="00BD2EAE" w:rsidRPr="00907534">
        <w:rPr>
          <w:lang w:eastAsia="ja-JP"/>
        </w:rPr>
        <w:t xml:space="preserve"> </w:t>
      </w:r>
      <w:r w:rsidR="002F0868">
        <w:rPr>
          <w:lang w:eastAsia="ja-JP"/>
        </w:rPr>
        <w:t>September</w:t>
      </w:r>
      <w:r w:rsidR="00E33887" w:rsidRPr="00907534">
        <w:rPr>
          <w:lang w:eastAsia="ja-JP"/>
        </w:rPr>
        <w:t xml:space="preserve"> </w:t>
      </w:r>
      <w:r w:rsidRPr="00907534">
        <w:t>201</w:t>
      </w:r>
      <w:r w:rsidR="003F060F" w:rsidRPr="00907534">
        <w:rPr>
          <w:lang w:eastAsia="ja-JP"/>
        </w:rPr>
        <w:t>5</w:t>
      </w:r>
    </w:p>
    <w:p w:rsidR="00AB1C8B" w:rsidRPr="00907534" w:rsidRDefault="00AB1C8B" w:rsidP="007A309D">
      <w:pPr>
        <w:jc w:val="both"/>
      </w:pPr>
      <w:r w:rsidRPr="00907534">
        <w:t xml:space="preserve">Item </w:t>
      </w:r>
      <w:r w:rsidR="001A1658" w:rsidRPr="00907534">
        <w:t>7(</w:t>
      </w:r>
      <w:r w:rsidR="00DA7708">
        <w:t>e</w:t>
      </w:r>
      <w:r w:rsidR="001A1658" w:rsidRPr="00907534">
        <w:t>)</w:t>
      </w:r>
      <w:r w:rsidRPr="00907534">
        <w:t xml:space="preserve"> of the provisional agenda</w:t>
      </w:r>
    </w:p>
    <w:p w:rsidR="00AB1C8B" w:rsidRPr="00907534" w:rsidRDefault="001A1658" w:rsidP="007A309D">
      <w:pPr>
        <w:jc w:val="both"/>
        <w:rPr>
          <w:b/>
        </w:rPr>
      </w:pPr>
      <w:r w:rsidRPr="00907534">
        <w:rPr>
          <w:b/>
        </w:rPr>
        <w:t xml:space="preserve">Tyres – </w:t>
      </w:r>
      <w:r w:rsidR="0071190E" w:rsidRPr="00907534">
        <w:rPr>
          <w:b/>
        </w:rPr>
        <w:t xml:space="preserve">Regulation No. </w:t>
      </w:r>
      <w:r w:rsidR="003D30F6">
        <w:rPr>
          <w:b/>
        </w:rPr>
        <w:t>106</w:t>
      </w:r>
    </w:p>
    <w:p w:rsidR="00866E93" w:rsidRPr="00907534" w:rsidRDefault="008C2F5C" w:rsidP="00866E93">
      <w:pPr>
        <w:pStyle w:val="HChG"/>
        <w:jc w:val="both"/>
      </w:pPr>
      <w:r w:rsidRPr="00907534">
        <w:tab/>
      </w:r>
      <w:r w:rsidRPr="00907534">
        <w:tab/>
      </w:r>
      <w:r w:rsidR="00866E93" w:rsidRPr="00907534">
        <w:t>Proposal for amendment</w:t>
      </w:r>
      <w:r w:rsidR="00AB2F0B">
        <w:t>s</w:t>
      </w:r>
      <w:r w:rsidR="00866E93" w:rsidRPr="00907534">
        <w:t xml:space="preserve"> to Regulation No. </w:t>
      </w:r>
      <w:r w:rsidR="003D30F6">
        <w:t>106</w:t>
      </w:r>
      <w:r w:rsidR="00866E93" w:rsidRPr="00907534">
        <w:t xml:space="preserve"> </w:t>
      </w:r>
      <w:r w:rsidR="003D30F6" w:rsidRPr="003D30F6">
        <w:t xml:space="preserve">(Tyres for </w:t>
      </w:r>
      <w:r w:rsidR="007D3C91">
        <w:t>A</w:t>
      </w:r>
      <w:r w:rsidR="003D30F6" w:rsidRPr="003D30F6">
        <w:t xml:space="preserve">gricultural </w:t>
      </w:r>
      <w:r w:rsidR="007D3C91">
        <w:t>V</w:t>
      </w:r>
      <w:r w:rsidR="003D30F6" w:rsidRPr="003D30F6">
        <w:t>ehicles)</w:t>
      </w:r>
    </w:p>
    <w:p w:rsidR="00AB1C8B" w:rsidRPr="00907534" w:rsidRDefault="00AB1C8B" w:rsidP="00866E93">
      <w:pPr>
        <w:pStyle w:val="HChG"/>
        <w:jc w:val="both"/>
        <w:rPr>
          <w:b w:val="0"/>
          <w:sz w:val="24"/>
          <w:szCs w:val="24"/>
        </w:rPr>
      </w:pPr>
      <w:r w:rsidRPr="00907534">
        <w:rPr>
          <w:sz w:val="24"/>
          <w:szCs w:val="24"/>
        </w:rPr>
        <w:tab/>
      </w:r>
      <w:r w:rsidRPr="00907534">
        <w:rPr>
          <w:sz w:val="24"/>
          <w:szCs w:val="24"/>
        </w:rPr>
        <w:tab/>
      </w:r>
      <w:r w:rsidR="00866E93" w:rsidRPr="00907534">
        <w:rPr>
          <w:bCs/>
          <w:sz w:val="24"/>
          <w:szCs w:val="24"/>
        </w:rPr>
        <w:t xml:space="preserve">Submitted by the experts from the </w:t>
      </w:r>
      <w:r w:rsidR="00866E93" w:rsidRPr="00907534">
        <w:rPr>
          <w:rStyle w:val="Emphasis"/>
          <w:i w:val="0"/>
          <w:sz w:val="24"/>
          <w:szCs w:val="24"/>
        </w:rPr>
        <w:t>European Tyre and Rim Technical Organisation</w:t>
      </w:r>
      <w:r w:rsidR="00866E93" w:rsidRPr="00907534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AB1C8B" w:rsidRPr="00907534" w:rsidRDefault="00866E93" w:rsidP="00CF384A">
      <w:pPr>
        <w:keepNext/>
        <w:keepLines/>
        <w:spacing w:line="240" w:lineRule="auto"/>
        <w:ind w:left="1134" w:right="1134" w:firstLine="567"/>
        <w:jc w:val="both"/>
      </w:pPr>
      <w:r w:rsidRPr="00907534">
        <w:t xml:space="preserve">The text reproduced below was prepared by the experts from the </w:t>
      </w:r>
      <w:r w:rsidRPr="00907534">
        <w:rPr>
          <w:rStyle w:val="Emphasis"/>
          <w:i w:val="0"/>
        </w:rPr>
        <w:t>European Tyre and Rim Technical Organisation</w:t>
      </w:r>
      <w:r w:rsidRPr="00907534">
        <w:t xml:space="preserve"> (ETRTO) </w:t>
      </w:r>
      <w:r w:rsidR="0020554F" w:rsidRPr="00907534">
        <w:t xml:space="preserve">amending </w:t>
      </w:r>
      <w:r w:rsidR="006E2C04">
        <w:t>A</w:t>
      </w:r>
      <w:r w:rsidR="00DF702F">
        <w:t xml:space="preserve">nnex 5 and </w:t>
      </w:r>
      <w:r w:rsidR="006E2C04">
        <w:t>A</w:t>
      </w:r>
      <w:r w:rsidR="00DF702F">
        <w:t xml:space="preserve">nnex 7 as far as </w:t>
      </w:r>
      <w:r w:rsidR="00CF384A" w:rsidRPr="00CF384A">
        <w:t xml:space="preserve">Improved </w:t>
      </w:r>
      <w:r w:rsidR="007D3C91">
        <w:t>F</w:t>
      </w:r>
      <w:r w:rsidR="00CF384A" w:rsidRPr="00CF384A">
        <w:t xml:space="preserve">lexion </w:t>
      </w:r>
      <w:r w:rsidR="00CF384A">
        <w:t>(</w:t>
      </w:r>
      <w:r w:rsidR="00DF702F">
        <w:t>IF</w:t>
      </w:r>
      <w:r w:rsidR="00CF384A">
        <w:t>)</w:t>
      </w:r>
      <w:r w:rsidR="00DF702F">
        <w:t xml:space="preserve"> </w:t>
      </w:r>
      <w:r w:rsidR="007D3C91" w:rsidRPr="00CF384A">
        <w:t xml:space="preserve">tyres </w:t>
      </w:r>
      <w:r w:rsidR="00DF702F">
        <w:t xml:space="preserve">and </w:t>
      </w:r>
      <w:r w:rsidR="00CF384A" w:rsidRPr="00CF384A">
        <w:t xml:space="preserve">Very high </w:t>
      </w:r>
      <w:r w:rsidR="007D3C91">
        <w:t>F</w:t>
      </w:r>
      <w:r w:rsidR="00CF384A" w:rsidRPr="00CF384A">
        <w:t xml:space="preserve">lexion </w:t>
      </w:r>
      <w:r w:rsidR="00CF384A">
        <w:t>(</w:t>
      </w:r>
      <w:r w:rsidR="00DF702F">
        <w:t>VF</w:t>
      </w:r>
      <w:r w:rsidR="00CF384A">
        <w:t>)</w:t>
      </w:r>
      <w:r w:rsidR="00DF702F">
        <w:t xml:space="preserve"> </w:t>
      </w:r>
      <w:r w:rsidR="007D3C91" w:rsidRPr="00CF384A">
        <w:t xml:space="preserve">tyres </w:t>
      </w:r>
      <w:r w:rsidR="00DF702F">
        <w:t>are concerned</w:t>
      </w:r>
      <w:r w:rsidR="00F87B5E" w:rsidRPr="00907534">
        <w:t>.</w:t>
      </w:r>
      <w:r w:rsidR="00175B5A" w:rsidRPr="00907534">
        <w:t xml:space="preserve"> The modifications to the existing text of the Regulation are marked in bold for new or strikethrough for deleted characters.</w:t>
      </w:r>
    </w:p>
    <w:p w:rsidR="009854F7" w:rsidRPr="00907534" w:rsidRDefault="00AB1C8B" w:rsidP="00344F05">
      <w:pPr>
        <w:pStyle w:val="HChG"/>
        <w:ind w:hanging="567"/>
      </w:pPr>
      <w:r w:rsidRPr="00907534">
        <w:br w:type="page"/>
      </w:r>
      <w:r w:rsidR="00AD504E" w:rsidRPr="00907534">
        <w:lastRenderedPageBreak/>
        <w:tab/>
        <w:t>I.</w:t>
      </w:r>
      <w:r w:rsidR="00AD504E" w:rsidRPr="00907534">
        <w:tab/>
      </w:r>
      <w:r w:rsidR="009854F7" w:rsidRPr="00907534">
        <w:t>Proposal</w:t>
      </w:r>
    </w:p>
    <w:p w:rsidR="003D30F6" w:rsidRPr="003D30F6" w:rsidRDefault="003D30F6" w:rsidP="00944C95">
      <w:pPr>
        <w:pStyle w:val="para"/>
        <w:ind w:left="1134" w:firstLine="0"/>
      </w:pPr>
      <w:r w:rsidRPr="003D30F6">
        <w:rPr>
          <w:i/>
        </w:rPr>
        <w:t>Annex 5, table 4</w:t>
      </w:r>
      <w:r>
        <w:t>, amend to read:</w:t>
      </w:r>
    </w:p>
    <w:p w:rsidR="003D30F6" w:rsidRPr="003D30F6" w:rsidRDefault="007D3C91" w:rsidP="003D30F6">
      <w:pPr>
        <w:spacing w:after="120" w:line="240" w:lineRule="auto"/>
        <w:ind w:left="1134"/>
        <w:outlineLvl w:val="0"/>
        <w:rPr>
          <w:b/>
        </w:rPr>
      </w:pPr>
      <w:bookmarkStart w:id="1" w:name="_Toc365964508"/>
      <w:r>
        <w:rPr>
          <w:b/>
        </w:rPr>
        <w:t>"</w:t>
      </w:r>
      <w:r w:rsidR="003D30F6" w:rsidRPr="003D30F6">
        <w:t xml:space="preserve">Drive wheel tyres for agricultural tractors - Low </w:t>
      </w:r>
      <w:bookmarkEnd w:id="1"/>
      <w:r w:rsidR="003D30F6" w:rsidRPr="003D30F6">
        <w:t>section series</w:t>
      </w:r>
    </w:p>
    <w:tbl>
      <w:tblPr>
        <w:tblW w:w="737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523"/>
        <w:gridCol w:w="1447"/>
        <w:gridCol w:w="1454"/>
        <w:gridCol w:w="1454"/>
      </w:tblGrid>
      <w:tr w:rsidR="003D30F6" w:rsidRPr="003D30F6" w:rsidTr="003D30F6">
        <w:trPr>
          <w:tblHeader/>
        </w:trPr>
        <w:tc>
          <w:tcPr>
            <w:tcW w:w="14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  <w:r w:rsidRPr="003D30F6">
              <w:rPr>
                <w:i/>
                <w:sz w:val="16"/>
                <w:szCs w:val="16"/>
              </w:rPr>
              <w:t>Tyre size</w:t>
            </w:r>
            <w:r w:rsidRPr="003D30F6">
              <w:rPr>
                <w:i/>
                <w:sz w:val="16"/>
                <w:szCs w:val="16"/>
              </w:rPr>
              <w:br/>
              <w:t>designation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D30F6">
              <w:rPr>
                <w:b/>
                <w:i/>
                <w:sz w:val="16"/>
                <w:szCs w:val="16"/>
              </w:rPr>
              <w:t>(1)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3D30F6">
              <w:rPr>
                <w:i/>
                <w:sz w:val="16"/>
                <w:szCs w:val="16"/>
              </w:rPr>
              <w:t>Theoretical rim width code (A1)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3D30F6">
              <w:rPr>
                <w:i/>
                <w:sz w:val="16"/>
                <w:szCs w:val="16"/>
              </w:rPr>
              <w:t>Nominal section</w:t>
            </w:r>
            <w:r w:rsidRPr="003D30F6">
              <w:rPr>
                <w:i/>
                <w:sz w:val="16"/>
                <w:szCs w:val="16"/>
              </w:rPr>
              <w:br/>
              <w:t>width (S1) (mm)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3D30F6">
              <w:rPr>
                <w:i/>
                <w:sz w:val="16"/>
                <w:szCs w:val="16"/>
              </w:rPr>
              <w:t>Overall diameter (D) (mm)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3D30F6">
              <w:rPr>
                <w:i/>
                <w:sz w:val="16"/>
                <w:szCs w:val="16"/>
              </w:rPr>
              <w:t>Nominal rim</w:t>
            </w:r>
            <w:r w:rsidRPr="003D30F6">
              <w:rPr>
                <w:i/>
                <w:sz w:val="16"/>
                <w:szCs w:val="16"/>
              </w:rPr>
              <w:br/>
              <w:t>diameter (d)</w:t>
            </w:r>
            <w:r w:rsidRPr="003D30F6">
              <w:rPr>
                <w:i/>
                <w:sz w:val="16"/>
                <w:szCs w:val="16"/>
              </w:rPr>
              <w:br/>
              <w:t>(mm)</w:t>
            </w:r>
          </w:p>
        </w:tc>
      </w:tr>
      <w:tr w:rsidR="003D30F6" w:rsidRPr="003D30F6" w:rsidTr="003D30F6">
        <w:tc>
          <w:tcPr>
            <w:tcW w:w="149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300/70R20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9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295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952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508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320/70R20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10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319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982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508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320/70R24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10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319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1 094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610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320/70R28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10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319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1 189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711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360/70R20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11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357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1 042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508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360/70R24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11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357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1 152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610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360/70R28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11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357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1 251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711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380/70R20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380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1 082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508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380/70R24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380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1 190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610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380/70R28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380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1 293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711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420/70R24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418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1 248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610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420/70R28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418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1 349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711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420/70R30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13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418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1 398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762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480/70R24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1 316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610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480/70R26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1 372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660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480/70R28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1 421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711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480/70R30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1 478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762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480/70R34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1 580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864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480/70R38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15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479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1 681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965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520/70R26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16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516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1 456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660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520/70R30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16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516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1 536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762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520/70R34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16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516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1 640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864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520/70R38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16</w:t>
            </w:r>
          </w:p>
        </w:tc>
        <w:tc>
          <w:tcPr>
            <w:tcW w:w="14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516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1 749</w:t>
            </w: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965</w:t>
            </w:r>
          </w:p>
        </w:tc>
      </w:tr>
      <w:tr w:rsidR="003D30F6" w:rsidRPr="003D30F6" w:rsidTr="003D30F6">
        <w:tc>
          <w:tcPr>
            <w:tcW w:w="149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580/70R38</w:t>
            </w:r>
          </w:p>
        </w:tc>
        <w:tc>
          <w:tcPr>
            <w:tcW w:w="152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18</w:t>
            </w:r>
          </w:p>
        </w:tc>
        <w:tc>
          <w:tcPr>
            <w:tcW w:w="144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577</w:t>
            </w:r>
          </w:p>
        </w:tc>
        <w:tc>
          <w:tcPr>
            <w:tcW w:w="145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1 827</w:t>
            </w:r>
          </w:p>
        </w:tc>
        <w:tc>
          <w:tcPr>
            <w:tcW w:w="145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D30F6" w:rsidRPr="003D30F6" w:rsidRDefault="003D30F6" w:rsidP="003D30F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965</w:t>
            </w:r>
          </w:p>
        </w:tc>
      </w:tr>
    </w:tbl>
    <w:p w:rsidR="003D30F6" w:rsidRPr="003D30F6" w:rsidRDefault="003D30F6" w:rsidP="003D30F6">
      <w:pPr>
        <w:widowControl w:val="0"/>
        <w:tabs>
          <w:tab w:val="left" w:pos="720"/>
          <w:tab w:val="left" w:pos="1440"/>
        </w:tabs>
        <w:suppressAutoHyphens w:val="0"/>
        <w:autoSpaceDE w:val="0"/>
        <w:autoSpaceDN w:val="0"/>
        <w:adjustRightInd w:val="0"/>
        <w:spacing w:before="20" w:after="20" w:line="240" w:lineRule="auto"/>
        <w:rPr>
          <w:sz w:val="24"/>
          <w:szCs w:val="24"/>
        </w:rPr>
      </w:pPr>
    </w:p>
    <w:p w:rsidR="00DF702F" w:rsidRPr="006E2C04" w:rsidRDefault="003D30F6" w:rsidP="006E2C04">
      <w:pPr>
        <w:pStyle w:val="para"/>
        <w:ind w:left="1134" w:firstLine="0"/>
        <w:rPr>
          <w:b/>
        </w:rPr>
      </w:pPr>
      <w:r w:rsidRPr="003D30F6">
        <w:rPr>
          <w:rFonts w:eastAsia="Times New Roman"/>
          <w:b/>
        </w:rPr>
        <w:t xml:space="preserve">(1) </w:t>
      </w:r>
      <w:r w:rsidR="007D3C91">
        <w:rPr>
          <w:rFonts w:eastAsia="Times New Roman"/>
          <w:b/>
        </w:rPr>
        <w:t>"</w:t>
      </w:r>
      <w:r w:rsidRPr="003D30F6">
        <w:rPr>
          <w:rFonts w:eastAsia="Times New Roman"/>
          <w:b/>
        </w:rPr>
        <w:t>Improved flexion tyres</w:t>
      </w:r>
      <w:r w:rsidR="007D3C91">
        <w:rPr>
          <w:rFonts w:eastAsia="Times New Roman"/>
          <w:b/>
        </w:rPr>
        <w:t>"</w:t>
      </w:r>
      <w:r w:rsidRPr="003D30F6">
        <w:rPr>
          <w:rFonts w:eastAsia="Times New Roman"/>
          <w:b/>
        </w:rPr>
        <w:t xml:space="preserve"> are identified by means of the letters </w:t>
      </w:r>
      <w:r w:rsidR="007D3C91">
        <w:rPr>
          <w:rFonts w:eastAsia="Times New Roman"/>
          <w:b/>
        </w:rPr>
        <w:t>"</w:t>
      </w:r>
      <w:r w:rsidRPr="003D30F6">
        <w:rPr>
          <w:rFonts w:eastAsia="Times New Roman"/>
          <w:b/>
        </w:rPr>
        <w:t>IF</w:t>
      </w:r>
      <w:r w:rsidR="007D3C91">
        <w:rPr>
          <w:rFonts w:eastAsia="Times New Roman"/>
          <w:b/>
        </w:rPr>
        <w:t>"</w:t>
      </w:r>
      <w:r w:rsidRPr="003D30F6">
        <w:rPr>
          <w:rFonts w:eastAsia="Times New Roman"/>
          <w:b/>
        </w:rPr>
        <w:t xml:space="preserve"> added in front of the size designation (e.g. IF480/70R38) ; </w:t>
      </w:r>
      <w:r w:rsidR="007D3C91">
        <w:rPr>
          <w:rFonts w:eastAsia="Times New Roman"/>
          <w:b/>
        </w:rPr>
        <w:t>"</w:t>
      </w:r>
      <w:r w:rsidRPr="003D30F6">
        <w:rPr>
          <w:rFonts w:eastAsia="Times New Roman"/>
          <w:b/>
        </w:rPr>
        <w:t>Very high flexion tyres</w:t>
      </w:r>
      <w:r w:rsidR="007D3C91">
        <w:rPr>
          <w:rFonts w:eastAsia="Times New Roman"/>
          <w:b/>
        </w:rPr>
        <w:t>"</w:t>
      </w:r>
      <w:r w:rsidRPr="003D30F6">
        <w:rPr>
          <w:rFonts w:eastAsia="Times New Roman"/>
          <w:b/>
        </w:rPr>
        <w:t xml:space="preserve"> are identified by means of the letters </w:t>
      </w:r>
      <w:r w:rsidR="007D3C91">
        <w:rPr>
          <w:rFonts w:eastAsia="Times New Roman"/>
          <w:b/>
        </w:rPr>
        <w:t>"</w:t>
      </w:r>
      <w:r w:rsidRPr="003D30F6">
        <w:rPr>
          <w:rFonts w:eastAsia="Times New Roman"/>
          <w:b/>
        </w:rPr>
        <w:t>VF</w:t>
      </w:r>
      <w:r w:rsidR="007D3C91">
        <w:rPr>
          <w:rFonts w:eastAsia="Times New Roman"/>
          <w:b/>
        </w:rPr>
        <w:t>"</w:t>
      </w:r>
      <w:r w:rsidRPr="003D30F6">
        <w:rPr>
          <w:rFonts w:eastAsia="Times New Roman"/>
          <w:b/>
        </w:rPr>
        <w:t xml:space="preserve"> added in front of the size designation (e.g. VF480/70R38) – see paragraph 3.1.12. of this Regulation.</w:t>
      </w:r>
      <w:r w:rsidR="007D3C91">
        <w:rPr>
          <w:rFonts w:eastAsia="Times New Roman"/>
        </w:rPr>
        <w:t>"</w:t>
      </w:r>
    </w:p>
    <w:p w:rsidR="00DF702F" w:rsidRDefault="00DF702F" w:rsidP="003D30F6">
      <w:pPr>
        <w:spacing w:after="120"/>
        <w:ind w:left="1134" w:right="1134"/>
        <w:jc w:val="both"/>
        <w:rPr>
          <w:rFonts w:eastAsia="MS Mincho"/>
          <w:i/>
        </w:rPr>
      </w:pPr>
      <w:r w:rsidRPr="00DF702F">
        <w:rPr>
          <w:rFonts w:eastAsia="MS Mincho"/>
          <w:i/>
        </w:rPr>
        <w:t xml:space="preserve">Annex 7- Variation of load capacity with speed, </w:t>
      </w:r>
      <w:r w:rsidRPr="00DF702F">
        <w:rPr>
          <w:rFonts w:eastAsia="MS Mincho"/>
        </w:rPr>
        <w:t>amend to read:</w:t>
      </w:r>
      <w:r w:rsidRPr="00DF702F">
        <w:rPr>
          <w:rFonts w:eastAsia="MS Mincho"/>
          <w:i/>
        </w:rPr>
        <w:t xml:space="preserve"> </w:t>
      </w:r>
    </w:p>
    <w:p w:rsidR="003D30F6" w:rsidRPr="003D30F6" w:rsidRDefault="007D3C91" w:rsidP="003D30F6">
      <w:pPr>
        <w:spacing w:after="120"/>
        <w:ind w:left="1134" w:right="1134"/>
        <w:jc w:val="both"/>
      </w:pPr>
      <w:r>
        <w:t>"</w:t>
      </w:r>
      <w:r w:rsidR="003D30F6" w:rsidRPr="003D30F6">
        <w:t>Part A: Drive wheel tyres for agricultural tractors</w:t>
      </w:r>
    </w:p>
    <w:p w:rsidR="006E2C04" w:rsidRDefault="003D30F6" w:rsidP="003D30F6">
      <w:pPr>
        <w:spacing w:after="120"/>
        <w:ind w:left="2268" w:right="1134"/>
        <w:jc w:val="both"/>
      </w:pPr>
      <w:r w:rsidRPr="003D30F6">
        <w:t xml:space="preserve">Applicable to tyres classified with categories of use: </w:t>
      </w:r>
      <w:r w:rsidR="007D3C91">
        <w:t>"</w:t>
      </w:r>
      <w:r w:rsidRPr="003D30F6">
        <w:t>Tractor drive wheel</w:t>
      </w:r>
      <w:r w:rsidR="007D3C91">
        <w:t>"</w:t>
      </w:r>
      <w:r w:rsidRPr="003D30F6">
        <w:t xml:space="preserve"> (see paragraph 2.20. of this Regulation) </w:t>
      </w:r>
    </w:p>
    <w:p w:rsidR="006E2C04" w:rsidRDefault="006E2C04">
      <w:pPr>
        <w:suppressAutoHyphens w:val="0"/>
        <w:spacing w:line="240" w:lineRule="auto"/>
      </w:pPr>
      <w:r>
        <w:br w:type="page"/>
      </w:r>
    </w:p>
    <w:p w:rsidR="003D30F6" w:rsidRPr="003D30F6" w:rsidRDefault="003D30F6" w:rsidP="006E2C04">
      <w:pPr>
        <w:spacing w:after="120" w:line="240" w:lineRule="auto"/>
        <w:ind w:left="567" w:firstLine="567"/>
        <w:outlineLvl w:val="0"/>
      </w:pPr>
      <w:bookmarkStart w:id="2" w:name="_Toc365964533"/>
      <w:r w:rsidRPr="003D30F6">
        <w:lastRenderedPageBreak/>
        <w:t>Variation of load carrying capacity (per cent)</w:t>
      </w:r>
      <w:bookmarkEnd w:id="2"/>
    </w:p>
    <w:tbl>
      <w:tblPr>
        <w:tblW w:w="736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697"/>
        <w:gridCol w:w="993"/>
        <w:gridCol w:w="992"/>
        <w:gridCol w:w="992"/>
        <w:gridCol w:w="992"/>
        <w:gridCol w:w="851"/>
        <w:gridCol w:w="850"/>
        <w:gridCol w:w="284"/>
        <w:gridCol w:w="709"/>
      </w:tblGrid>
      <w:tr w:rsidR="003D30F6" w:rsidRPr="003D30F6" w:rsidTr="000D16EF">
        <w:tc>
          <w:tcPr>
            <w:tcW w:w="697" w:type="dxa"/>
            <w:vMerge w:val="restart"/>
            <w:vAlign w:val="bottom"/>
          </w:tcPr>
          <w:p w:rsidR="003D30F6" w:rsidRPr="003D30F6" w:rsidRDefault="003D30F6" w:rsidP="003D30F6">
            <w:pPr>
              <w:widowControl w:val="0"/>
              <w:tabs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left="-130" w:right="-76"/>
              <w:rPr>
                <w:bCs/>
                <w:i/>
                <w:sz w:val="16"/>
                <w:szCs w:val="16"/>
              </w:rPr>
            </w:pPr>
            <w:r w:rsidRPr="003D30F6">
              <w:rPr>
                <w:bCs/>
                <w:i/>
                <w:sz w:val="16"/>
                <w:szCs w:val="16"/>
              </w:rPr>
              <w:t>Speed</w:t>
            </w:r>
          </w:p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i/>
                <w:sz w:val="16"/>
                <w:szCs w:val="16"/>
              </w:rPr>
            </w:pPr>
            <w:r w:rsidRPr="003D30F6">
              <w:rPr>
                <w:bCs/>
                <w:i/>
                <w:sz w:val="16"/>
                <w:szCs w:val="16"/>
              </w:rPr>
              <w:t>(km/h)</w:t>
            </w:r>
          </w:p>
        </w:tc>
        <w:tc>
          <w:tcPr>
            <w:tcW w:w="5670" w:type="dxa"/>
            <w:gridSpan w:val="6"/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i/>
                <w:sz w:val="16"/>
                <w:szCs w:val="16"/>
              </w:rPr>
            </w:pPr>
            <w:r w:rsidRPr="003D30F6">
              <w:rPr>
                <w:bCs/>
                <w:i/>
                <w:sz w:val="16"/>
                <w:szCs w:val="16"/>
              </w:rPr>
              <w:t>Speed category symbol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3D30F6" w:rsidRPr="003D30F6" w:rsidTr="00186E0D">
        <w:tc>
          <w:tcPr>
            <w:tcW w:w="697" w:type="dxa"/>
            <w:vMerge/>
            <w:tcBorders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i/>
                <w:sz w:val="16"/>
                <w:szCs w:val="16"/>
              </w:rPr>
            </w:pPr>
            <w:r w:rsidRPr="003D30F6">
              <w:rPr>
                <w:bCs/>
                <w:i/>
                <w:sz w:val="16"/>
                <w:szCs w:val="16"/>
              </w:rPr>
              <w:t>A2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i/>
                <w:sz w:val="16"/>
                <w:szCs w:val="16"/>
              </w:rPr>
            </w:pPr>
            <w:r w:rsidRPr="003D30F6">
              <w:rPr>
                <w:bCs/>
                <w:i/>
                <w:sz w:val="16"/>
                <w:szCs w:val="16"/>
              </w:rPr>
              <w:t>A6 (+)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i/>
                <w:sz w:val="16"/>
                <w:szCs w:val="16"/>
              </w:rPr>
            </w:pPr>
            <w:r w:rsidRPr="003D30F6">
              <w:rPr>
                <w:bCs/>
                <w:i/>
                <w:sz w:val="16"/>
                <w:szCs w:val="16"/>
              </w:rPr>
              <w:t>A8 (+)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i/>
                <w:sz w:val="16"/>
                <w:szCs w:val="16"/>
              </w:rPr>
            </w:pPr>
            <w:r w:rsidRPr="003D30F6">
              <w:rPr>
                <w:bCs/>
                <w:i/>
                <w:sz w:val="16"/>
                <w:szCs w:val="16"/>
              </w:rPr>
              <w:t>D (+)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i/>
                <w:sz w:val="16"/>
                <w:szCs w:val="16"/>
              </w:rPr>
            </w:pPr>
            <w:r w:rsidRPr="003D30F6">
              <w:rPr>
                <w:b/>
                <w:i/>
                <w:sz w:val="16"/>
                <w:szCs w:val="16"/>
              </w:rPr>
              <w:t>A8 (2)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i/>
                <w:sz w:val="16"/>
                <w:szCs w:val="16"/>
              </w:rPr>
            </w:pPr>
            <w:r w:rsidRPr="003D30F6">
              <w:rPr>
                <w:b/>
                <w:i/>
                <w:sz w:val="16"/>
                <w:szCs w:val="16"/>
              </w:rPr>
              <w:t>D (2)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i/>
                <w:sz w:val="16"/>
                <w:szCs w:val="16"/>
              </w:rPr>
            </w:pPr>
            <w:r w:rsidRPr="003D30F6">
              <w:rPr>
                <w:bCs/>
                <w:i/>
                <w:sz w:val="16"/>
                <w:szCs w:val="16"/>
              </w:rPr>
              <w:t>(1)</w:t>
            </w:r>
          </w:p>
        </w:tc>
      </w:tr>
      <w:tr w:rsidR="003D30F6" w:rsidRPr="003D30F6" w:rsidTr="00186E0D">
        <w:tc>
          <w:tcPr>
            <w:tcW w:w="697" w:type="dxa"/>
            <w:tcBorders>
              <w:top w:val="single" w:sz="12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bCs/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sz w:val="18"/>
                <w:szCs w:val="18"/>
              </w:rPr>
            </w:pPr>
            <w:r w:rsidRPr="003D30F6">
              <w:rPr>
                <w:bCs/>
                <w:sz w:val="18"/>
                <w:szCs w:val="18"/>
              </w:rPr>
              <w:t>[0]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+40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+50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+50</w:t>
            </w:r>
          </w:p>
        </w:tc>
        <w:tc>
          <w:tcPr>
            <w:tcW w:w="851" w:type="dxa"/>
            <w:tcBorders>
              <w:top w:val="single" w:sz="12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+ 58</w:t>
            </w:r>
          </w:p>
        </w:tc>
      </w:tr>
      <w:tr w:rsidR="003D30F6" w:rsidRPr="003D30F6" w:rsidTr="000D16EF"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+30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+34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+34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+ 32</w:t>
            </w:r>
          </w:p>
        </w:tc>
      </w:tr>
      <w:tr w:rsidR="003D30F6" w:rsidRPr="003D30F6" w:rsidTr="000D16EF"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-11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+23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+23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+ 26</w:t>
            </w:r>
          </w:p>
        </w:tc>
      </w:tr>
      <w:tr w:rsidR="003D30F6" w:rsidRPr="003D30F6" w:rsidTr="000D16EF"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-16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+11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+18,5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+ 19</w:t>
            </w:r>
          </w:p>
        </w:tc>
      </w:tr>
      <w:tr w:rsidR="003D30F6" w:rsidRPr="003D30F6" w:rsidTr="000D16EF"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</w:rPr>
            </w:pPr>
            <w:r w:rsidRPr="003D30F6">
              <w:rPr>
                <w:bCs/>
                <w:sz w:val="18"/>
                <w:szCs w:val="18"/>
              </w:rPr>
              <w:t>[0]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+15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+ 12</w:t>
            </w:r>
          </w:p>
        </w:tc>
      </w:tr>
      <w:tr w:rsidR="003D30F6" w:rsidRPr="003D30F6" w:rsidTr="000D16EF"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-24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-5</w:t>
            </w:r>
            <w:r w:rsidR="0001132C" w:rsidRPr="0001132C">
              <w:rPr>
                <w:strike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+12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+ 10</w:t>
            </w:r>
          </w:p>
        </w:tc>
      </w:tr>
      <w:tr w:rsidR="003D30F6" w:rsidRPr="003D30F6" w:rsidTr="000D16EF"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-27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-10</w:t>
            </w:r>
            <w:r w:rsidR="0001132C" w:rsidRPr="0001132C">
              <w:rPr>
                <w:strike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</w:rPr>
            </w:pPr>
            <w:r w:rsidRPr="003D30F6">
              <w:rPr>
                <w:bCs/>
                <w:sz w:val="18"/>
                <w:szCs w:val="18"/>
              </w:rPr>
              <w:t>[0]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+9,5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[0]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+ 6</w:t>
            </w:r>
          </w:p>
        </w:tc>
      </w:tr>
      <w:tr w:rsidR="003D30F6" w:rsidRPr="003D30F6" w:rsidTr="000D16EF"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-4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+ 2</w:t>
            </w:r>
          </w:p>
        </w:tc>
      </w:tr>
      <w:tr w:rsidR="003D30F6" w:rsidRPr="003D30F6" w:rsidTr="000D16EF"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-9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-9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[0]</w:t>
            </w:r>
          </w:p>
        </w:tc>
      </w:tr>
      <w:tr w:rsidR="003D30F6" w:rsidRPr="003D30F6" w:rsidTr="000D16EF"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color w:val="FF0000"/>
                <w:sz w:val="18"/>
                <w:szCs w:val="18"/>
              </w:rPr>
            </w:pPr>
            <w:r w:rsidRPr="003D30F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</w:tr>
      <w:tr w:rsidR="003D30F6" w:rsidRPr="003D30F6" w:rsidTr="000D16EF"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+1,5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color w:val="FF0000"/>
                <w:sz w:val="18"/>
                <w:szCs w:val="18"/>
              </w:rPr>
            </w:pPr>
            <w:r w:rsidRPr="003D30F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</w:tr>
      <w:tr w:rsidR="003D30F6" w:rsidRPr="003D30F6" w:rsidTr="000D16EF">
        <w:tc>
          <w:tcPr>
            <w:tcW w:w="697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Cs/>
                <w:sz w:val="18"/>
                <w:szCs w:val="18"/>
              </w:rPr>
            </w:pPr>
            <w:r w:rsidRPr="003D30F6">
              <w:rPr>
                <w:bCs/>
                <w:sz w:val="18"/>
                <w:szCs w:val="18"/>
              </w:rPr>
              <w:t>[0]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color w:val="FF0000"/>
                <w:sz w:val="18"/>
                <w:szCs w:val="18"/>
              </w:rPr>
            </w:pPr>
            <w:r w:rsidRPr="003D30F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[0]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color w:val="FF0000"/>
                <w:sz w:val="18"/>
                <w:szCs w:val="18"/>
              </w:rPr>
            </w:pPr>
            <w:r w:rsidRPr="003D30F6">
              <w:rPr>
                <w:color w:val="FF0000"/>
                <w:sz w:val="18"/>
                <w:szCs w:val="18"/>
              </w:rPr>
              <w:t>-</w:t>
            </w:r>
          </w:p>
        </w:tc>
      </w:tr>
      <w:tr w:rsidR="003D30F6" w:rsidRPr="003D30F6" w:rsidTr="00186E0D">
        <w:tc>
          <w:tcPr>
            <w:tcW w:w="697" w:type="dxa"/>
            <w:tcBorders>
              <w:top w:val="dotted" w:sz="4" w:space="0" w:color="auto"/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rPr>
                <w:bCs/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-9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color w:val="FF0000"/>
                <w:sz w:val="18"/>
                <w:szCs w:val="18"/>
              </w:rPr>
            </w:pPr>
            <w:r w:rsidRPr="003D30F6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b/>
                <w:sz w:val="18"/>
                <w:szCs w:val="18"/>
              </w:rPr>
            </w:pPr>
            <w:r w:rsidRPr="003D30F6">
              <w:rPr>
                <w:b/>
                <w:sz w:val="18"/>
                <w:szCs w:val="18"/>
              </w:rPr>
              <w:t>-9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auto"/>
            </w:tcBorders>
          </w:tcPr>
          <w:p w:rsidR="003D30F6" w:rsidRPr="003D30F6" w:rsidRDefault="003D30F6" w:rsidP="003D30F6">
            <w:pPr>
              <w:widowControl w:val="0"/>
              <w:tabs>
                <w:tab w:val="left" w:pos="0"/>
                <w:tab w:val="left" w:pos="962"/>
                <w:tab w:val="left" w:pos="1586"/>
              </w:tabs>
              <w:suppressAutoHyphens w:val="0"/>
              <w:autoSpaceDE w:val="0"/>
              <w:autoSpaceDN w:val="0"/>
              <w:adjustRightInd w:val="0"/>
              <w:spacing w:before="40" w:after="40" w:line="240" w:lineRule="auto"/>
              <w:ind w:hanging="1"/>
              <w:jc w:val="center"/>
              <w:rPr>
                <w:sz w:val="18"/>
                <w:szCs w:val="18"/>
              </w:rPr>
            </w:pPr>
            <w:r w:rsidRPr="003D30F6">
              <w:rPr>
                <w:sz w:val="18"/>
                <w:szCs w:val="18"/>
              </w:rPr>
              <w:t>-</w:t>
            </w:r>
          </w:p>
        </w:tc>
      </w:tr>
    </w:tbl>
    <w:p w:rsidR="006543E7" w:rsidRDefault="006543E7" w:rsidP="003D30F6">
      <w:pPr>
        <w:spacing w:after="120"/>
        <w:ind w:left="1134" w:right="1134"/>
        <w:jc w:val="both"/>
        <w:rPr>
          <w:highlight w:val="yellow"/>
        </w:rPr>
      </w:pPr>
    </w:p>
    <w:p w:rsidR="003D30F6" w:rsidRPr="003D30F6" w:rsidRDefault="003D30F6" w:rsidP="003D30F6">
      <w:pPr>
        <w:spacing w:after="120"/>
        <w:ind w:left="1134" w:right="1134"/>
        <w:jc w:val="both"/>
      </w:pPr>
      <w:r w:rsidRPr="006543E7">
        <w:t>The above load/speed variations apply when the tyre is not subjected to sustained high torque service.</w:t>
      </w:r>
    </w:p>
    <w:p w:rsidR="003D30F6" w:rsidRPr="003D30F6" w:rsidRDefault="003D30F6" w:rsidP="006543E7">
      <w:pPr>
        <w:spacing w:after="120"/>
        <w:ind w:left="1701" w:right="1134" w:hanging="567"/>
        <w:jc w:val="both"/>
      </w:pPr>
      <w:r w:rsidRPr="003D30F6">
        <w:t>(+)</w:t>
      </w:r>
      <w:r w:rsidRPr="003D30F6">
        <w:tab/>
        <w:t>For field applications with sustained high torque service the values shown in the line 30 km/h apply.</w:t>
      </w:r>
    </w:p>
    <w:p w:rsidR="003D30F6" w:rsidRPr="003D30F6" w:rsidRDefault="003D30F6" w:rsidP="006543E7">
      <w:pPr>
        <w:spacing w:after="120"/>
        <w:ind w:left="1701" w:right="1134" w:hanging="567"/>
        <w:jc w:val="both"/>
      </w:pPr>
      <w:r w:rsidRPr="003D30F6">
        <w:t>(1)</w:t>
      </w:r>
      <w:r w:rsidRPr="003D30F6">
        <w:tab/>
        <w:t xml:space="preserve">These percentages apply only in case of tyres listed in Annex 5, Table 7, with nominal rim diameter (d) 381 mm and above, marked with speed symbol </w:t>
      </w:r>
      <w:r w:rsidR="007D3C91">
        <w:t>"</w:t>
      </w:r>
      <w:r w:rsidRPr="003D30F6">
        <w:t>B</w:t>
      </w:r>
      <w:r w:rsidR="007D3C91">
        <w:t>"</w:t>
      </w:r>
    </w:p>
    <w:p w:rsidR="003D30F6" w:rsidRDefault="003D30F6" w:rsidP="006E2C04">
      <w:pPr>
        <w:tabs>
          <w:tab w:val="left" w:pos="1701"/>
        </w:tabs>
        <w:spacing w:before="120" w:after="120"/>
        <w:ind w:left="1134" w:right="1134"/>
        <w:jc w:val="both"/>
      </w:pPr>
      <w:r w:rsidRPr="003D30F6">
        <w:rPr>
          <w:b/>
        </w:rPr>
        <w:t>(2)</w:t>
      </w:r>
      <w:r w:rsidRPr="003D30F6">
        <w:t xml:space="preserve"> </w:t>
      </w:r>
      <w:r w:rsidR="006543E7">
        <w:tab/>
      </w:r>
      <w:r w:rsidRPr="003D30F6">
        <w:t>The</w:t>
      </w:r>
      <w:r w:rsidRPr="003D30F6">
        <w:rPr>
          <w:b/>
        </w:rPr>
        <w:t>se</w:t>
      </w:r>
      <w:r w:rsidRPr="003D30F6">
        <w:t xml:space="preserve"> </w:t>
      </w:r>
      <w:r w:rsidRPr="003D30F6">
        <w:rPr>
          <w:strike/>
        </w:rPr>
        <w:t>above</w:t>
      </w:r>
      <w:r w:rsidRPr="003D30F6">
        <w:t xml:space="preserve"> load/speed variations </w:t>
      </w:r>
      <w:r w:rsidRPr="003D30F6">
        <w:rPr>
          <w:strike/>
        </w:rPr>
        <w:t>table</w:t>
      </w:r>
      <w:r w:rsidRPr="003D30F6">
        <w:t xml:space="preserve"> </w:t>
      </w:r>
      <w:r w:rsidRPr="003D30F6">
        <w:rPr>
          <w:strike/>
        </w:rPr>
        <w:t>does not</w:t>
      </w:r>
      <w:r w:rsidRPr="003D30F6">
        <w:t xml:space="preserve"> apply to IF and VF Tyres.</w:t>
      </w:r>
      <w:r w:rsidR="007D3C91">
        <w:t>"</w:t>
      </w:r>
    </w:p>
    <w:p w:rsidR="0020554F" w:rsidRDefault="0020554F" w:rsidP="0020554F">
      <w:pPr>
        <w:pStyle w:val="HChG"/>
        <w:ind w:hanging="567"/>
      </w:pPr>
      <w:r w:rsidRPr="00907534">
        <w:t>II.</w:t>
      </w:r>
      <w:r w:rsidRPr="00907534">
        <w:tab/>
        <w:t>Justification</w:t>
      </w:r>
    </w:p>
    <w:p w:rsidR="0001132C" w:rsidRDefault="006E2C04" w:rsidP="006E2C04">
      <w:pPr>
        <w:spacing w:after="120"/>
        <w:ind w:left="1134" w:right="1134"/>
        <w:jc w:val="both"/>
      </w:pPr>
      <w:r>
        <w:t>1.</w:t>
      </w:r>
      <w:r>
        <w:tab/>
      </w:r>
      <w:r w:rsidR="0001132C" w:rsidRPr="0001132C">
        <w:t xml:space="preserve">In order to permit interchangeability and to properly identify the tyre family the note </w:t>
      </w:r>
      <w:r w:rsidR="0001132C">
        <w:t xml:space="preserve">below table 4 of </w:t>
      </w:r>
      <w:r w:rsidR="007D3C91">
        <w:t>A</w:t>
      </w:r>
      <w:r w:rsidR="0001132C">
        <w:t xml:space="preserve">nnex 5 </w:t>
      </w:r>
      <w:r w:rsidR="0001132C" w:rsidRPr="0001132C">
        <w:t xml:space="preserve">clarifies that the table applies also to IF and VF tyres; in that case the appropriate size designation is </w:t>
      </w:r>
      <w:r w:rsidR="007D3C91" w:rsidRPr="0001132C">
        <w:t>clear</w:t>
      </w:r>
      <w:r w:rsidR="007D3C91">
        <w:t>ly</w:t>
      </w:r>
      <w:r w:rsidR="007D3C91" w:rsidRPr="0001132C">
        <w:t xml:space="preserve"> </w:t>
      </w:r>
      <w:r w:rsidR="0001132C" w:rsidRPr="0001132C">
        <w:t>explained.</w:t>
      </w:r>
    </w:p>
    <w:p w:rsidR="0001132C" w:rsidRDefault="006E2C04" w:rsidP="006E2C04">
      <w:pPr>
        <w:spacing w:after="120"/>
        <w:ind w:left="1134" w:right="1134"/>
        <w:jc w:val="both"/>
      </w:pPr>
      <w:r>
        <w:t>2.</w:t>
      </w:r>
      <w:r>
        <w:tab/>
      </w:r>
      <w:r w:rsidR="0001132C">
        <w:t xml:space="preserve">The revision of the table in </w:t>
      </w:r>
      <w:r w:rsidR="007D3C91">
        <w:t>A</w:t>
      </w:r>
      <w:r w:rsidR="0001132C">
        <w:t>nnex 7 is in accordance to Interna</w:t>
      </w:r>
      <w:r w:rsidR="00DF702F">
        <w:t>tional standards (e.g. ETRTO,</w:t>
      </w:r>
      <w:r w:rsidR="0001132C">
        <w:t xml:space="preserve"> T&amp;RA</w:t>
      </w:r>
      <w:r w:rsidR="00DF702F">
        <w:t xml:space="preserve"> </w:t>
      </w:r>
      <w:r w:rsidR="00DF702F" w:rsidRPr="00DF702F">
        <w:t>and ISO 4351-2 table 2</w:t>
      </w:r>
      <w:r w:rsidR="0001132C">
        <w:t xml:space="preserve">) as far as it concerns IF and VF tyres. </w:t>
      </w:r>
      <w:r w:rsidR="00DF702F" w:rsidRPr="00DF702F">
        <w:t>This proposal will also avoid any possible misunderstanding for the application of the EC Regulation 167/2013 that refers to Reg</w:t>
      </w:r>
      <w:r w:rsidR="007D3C91">
        <w:t>ulation No</w:t>
      </w:r>
      <w:r w:rsidR="00DF702F" w:rsidRPr="00DF702F">
        <w:t>. 106.</w:t>
      </w:r>
      <w:r w:rsidR="00DF702F">
        <w:t xml:space="preserve"> </w:t>
      </w:r>
      <w:r w:rsidR="0001132C">
        <w:t xml:space="preserve">Such revision is also needed for conformity with the EC Reg. 2015/208 – Annex XXX. </w:t>
      </w:r>
    </w:p>
    <w:p w:rsidR="003D30F6" w:rsidRPr="003D30F6" w:rsidRDefault="006E2C04" w:rsidP="006E2C04">
      <w:pPr>
        <w:spacing w:after="120"/>
        <w:ind w:left="1134" w:right="1134"/>
      </w:pPr>
      <w:r>
        <w:t>3.</w:t>
      </w:r>
      <w:r>
        <w:tab/>
      </w:r>
      <w:r w:rsidR="0001132C">
        <w:t>This document supersedes and replaces Informal document GRRF-79-32.</w:t>
      </w:r>
    </w:p>
    <w:p w:rsidR="005A198E" w:rsidRPr="00907534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 w:rsidRPr="00907534">
        <w:rPr>
          <w:u w:val="single"/>
        </w:rPr>
        <w:tab/>
      </w:r>
      <w:r w:rsidRPr="00907534">
        <w:rPr>
          <w:u w:val="single"/>
        </w:rPr>
        <w:tab/>
      </w:r>
      <w:r w:rsidRPr="00907534">
        <w:rPr>
          <w:u w:val="single"/>
        </w:rPr>
        <w:tab/>
      </w:r>
    </w:p>
    <w:sectPr w:rsidR="005A198E" w:rsidRPr="00907534" w:rsidSect="00DB225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58" w:rsidRDefault="003C0A58"/>
  </w:endnote>
  <w:endnote w:type="continuationSeparator" w:id="0">
    <w:p w:rsidR="003C0A58" w:rsidRDefault="003C0A58"/>
  </w:endnote>
  <w:endnote w:type="continuationNotice" w:id="1">
    <w:p w:rsidR="003C0A58" w:rsidRDefault="003C0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906DB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26093F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390F94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26093F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2906DB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2906DB" w:rsidRPr="00923752">
      <w:rPr>
        <w:b/>
        <w:sz w:val="18"/>
      </w:rPr>
      <w:fldChar w:fldCharType="separate"/>
    </w:r>
    <w:r w:rsidR="00390F94">
      <w:rPr>
        <w:b/>
        <w:noProof/>
        <w:sz w:val="18"/>
      </w:rPr>
      <w:t>3</w:t>
    </w:r>
    <w:r w:rsidR="002906DB"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1905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>GE.1</w:t>
    </w:r>
    <w:r w:rsidR="009B7B80">
      <w:rPr>
        <w:sz w:val="20"/>
      </w:rPr>
      <w:t>5</w:t>
    </w:r>
    <w:r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58" w:rsidRPr="000B175B" w:rsidRDefault="003C0A5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C0A58" w:rsidRPr="00FC68B7" w:rsidRDefault="003C0A5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C0A58" w:rsidRDefault="003C0A58"/>
  </w:footnote>
  <w:footnote w:id="2">
    <w:p w:rsidR="0026093F" w:rsidRPr="002232AF" w:rsidRDefault="0026093F" w:rsidP="00866E93">
      <w:pPr>
        <w:pStyle w:val="FootnoteText"/>
        <w:jc w:val="both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>programme activity 02.4), the World Forum will</w:t>
      </w:r>
      <w:r>
        <w:rPr>
          <w:szCs w:val="18"/>
          <w:lang w:val="en-US"/>
        </w:rPr>
        <w:t xml:space="preserve"> develop, harmonize and update R</w:t>
      </w:r>
      <w:r w:rsidRPr="00C04C5C">
        <w:rPr>
          <w:szCs w:val="18"/>
          <w:lang w:val="en-US"/>
        </w:rPr>
        <w:t xml:space="preserve">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>
    <w:pPr>
      <w:pStyle w:val="Header"/>
    </w:pPr>
    <w:r>
      <w:t>ECE/TRANS/WP.29/GRRF/2015/</w:t>
    </w:r>
    <w:r w:rsidR="006E2C04">
      <w:t>31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Header"/>
      <w:jc w:val="right"/>
    </w:pPr>
    <w:r>
      <w:t>ECE/TRANS/WP.29/GRRF/2015/</w:t>
    </w:r>
    <w:r w:rsidR="006E2C04"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4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6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7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>
    <w:nsid w:val="34927F5A"/>
    <w:multiLevelType w:val="hybridMultilevel"/>
    <w:tmpl w:val="4C8C05BE"/>
    <w:lvl w:ilvl="0" w:tplc="E0D86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0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1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5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7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9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3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5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7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8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0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0"/>
  </w:num>
  <w:num w:numId="12">
    <w:abstractNumId w:val="19"/>
  </w:num>
  <w:num w:numId="13">
    <w:abstractNumId w:val="14"/>
  </w:num>
  <w:num w:numId="14">
    <w:abstractNumId w:val="41"/>
  </w:num>
  <w:num w:numId="15">
    <w:abstractNumId w:val="45"/>
  </w:num>
  <w:num w:numId="16">
    <w:abstractNumId w:val="51"/>
  </w:num>
  <w:num w:numId="17">
    <w:abstractNumId w:val="26"/>
  </w:num>
  <w:num w:numId="18">
    <w:abstractNumId w:val="31"/>
  </w:num>
  <w:num w:numId="19">
    <w:abstractNumId w:val="33"/>
  </w:num>
  <w:num w:numId="20">
    <w:abstractNumId w:val="49"/>
  </w:num>
  <w:num w:numId="21">
    <w:abstractNumId w:val="20"/>
  </w:num>
  <w:num w:numId="22">
    <w:abstractNumId w:val="24"/>
  </w:num>
  <w:num w:numId="23">
    <w:abstractNumId w:val="21"/>
  </w:num>
  <w:num w:numId="24">
    <w:abstractNumId w:val="29"/>
  </w:num>
  <w:num w:numId="25">
    <w:abstractNumId w:val="15"/>
  </w:num>
  <w:num w:numId="26">
    <w:abstractNumId w:val="32"/>
  </w:num>
  <w:num w:numId="27">
    <w:abstractNumId w:val="50"/>
  </w:num>
  <w:num w:numId="28">
    <w:abstractNumId w:val="52"/>
  </w:num>
  <w:num w:numId="29">
    <w:abstractNumId w:val="37"/>
  </w:num>
  <w:num w:numId="30">
    <w:abstractNumId w:val="34"/>
  </w:num>
  <w:num w:numId="31">
    <w:abstractNumId w:val="22"/>
  </w:num>
  <w:num w:numId="32">
    <w:abstractNumId w:val="47"/>
  </w:num>
  <w:num w:numId="33">
    <w:abstractNumId w:val="25"/>
  </w:num>
  <w:num w:numId="34">
    <w:abstractNumId w:val="30"/>
  </w:num>
  <w:num w:numId="35">
    <w:abstractNumId w:val="39"/>
  </w:num>
  <w:num w:numId="36">
    <w:abstractNumId w:val="36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7"/>
  </w:num>
  <w:num w:numId="42">
    <w:abstractNumId w:val="38"/>
  </w:num>
  <w:num w:numId="43">
    <w:abstractNumId w:val="42"/>
  </w:num>
  <w:num w:numId="44">
    <w:abstractNumId w:val="44"/>
  </w:num>
  <w:num w:numId="45">
    <w:abstractNumId w:val="43"/>
  </w:num>
  <w:num w:numId="46">
    <w:abstractNumId w:val="46"/>
  </w:num>
  <w:num w:numId="47">
    <w:abstractNumId w:val="23"/>
  </w:num>
  <w:num w:numId="48">
    <w:abstractNumId w:val="48"/>
  </w:num>
  <w:num w:numId="49">
    <w:abstractNumId w:val="35"/>
  </w:num>
  <w:num w:numId="50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ctiveWritingStyle w:appName="MSWord" w:lang="fr-B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32C"/>
    <w:rsid w:val="00011EBE"/>
    <w:rsid w:val="00030044"/>
    <w:rsid w:val="00046B1F"/>
    <w:rsid w:val="00050F6B"/>
    <w:rsid w:val="00052635"/>
    <w:rsid w:val="00057E97"/>
    <w:rsid w:val="000646F4"/>
    <w:rsid w:val="00072C8C"/>
    <w:rsid w:val="000733B5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C23F4"/>
    <w:rsid w:val="000C2C03"/>
    <w:rsid w:val="000C2D2E"/>
    <w:rsid w:val="000C4C94"/>
    <w:rsid w:val="000E0415"/>
    <w:rsid w:val="000E4C15"/>
    <w:rsid w:val="000F46F4"/>
    <w:rsid w:val="000F6BE3"/>
    <w:rsid w:val="000F7775"/>
    <w:rsid w:val="00100B40"/>
    <w:rsid w:val="00103477"/>
    <w:rsid w:val="00103A07"/>
    <w:rsid w:val="00103A1A"/>
    <w:rsid w:val="001103AA"/>
    <w:rsid w:val="00112E6A"/>
    <w:rsid w:val="0011666B"/>
    <w:rsid w:val="00121464"/>
    <w:rsid w:val="00133987"/>
    <w:rsid w:val="00135B68"/>
    <w:rsid w:val="00165F3A"/>
    <w:rsid w:val="00175B5A"/>
    <w:rsid w:val="00182290"/>
    <w:rsid w:val="001832FB"/>
    <w:rsid w:val="00186E0D"/>
    <w:rsid w:val="001A1658"/>
    <w:rsid w:val="001A3955"/>
    <w:rsid w:val="001B4B04"/>
    <w:rsid w:val="001C1B80"/>
    <w:rsid w:val="001C2258"/>
    <w:rsid w:val="001C5872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249B1"/>
    <w:rsid w:val="00231067"/>
    <w:rsid w:val="0023295E"/>
    <w:rsid w:val="00232EF4"/>
    <w:rsid w:val="0023387C"/>
    <w:rsid w:val="00245197"/>
    <w:rsid w:val="0024772E"/>
    <w:rsid w:val="0026093F"/>
    <w:rsid w:val="00267F5F"/>
    <w:rsid w:val="002807CC"/>
    <w:rsid w:val="00282B54"/>
    <w:rsid w:val="00286B4D"/>
    <w:rsid w:val="002906DB"/>
    <w:rsid w:val="00293AFC"/>
    <w:rsid w:val="002A0C1A"/>
    <w:rsid w:val="002B2CEE"/>
    <w:rsid w:val="002C554D"/>
    <w:rsid w:val="002D102B"/>
    <w:rsid w:val="002D1460"/>
    <w:rsid w:val="002D40C1"/>
    <w:rsid w:val="002D4643"/>
    <w:rsid w:val="002F0868"/>
    <w:rsid w:val="002F175C"/>
    <w:rsid w:val="002F2821"/>
    <w:rsid w:val="002F7DE0"/>
    <w:rsid w:val="00302E18"/>
    <w:rsid w:val="003068A3"/>
    <w:rsid w:val="003229D8"/>
    <w:rsid w:val="003264C1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763"/>
    <w:rsid w:val="003659D8"/>
    <w:rsid w:val="003701D8"/>
    <w:rsid w:val="00371178"/>
    <w:rsid w:val="003721E2"/>
    <w:rsid w:val="00380480"/>
    <w:rsid w:val="00385977"/>
    <w:rsid w:val="00390F94"/>
    <w:rsid w:val="00392E47"/>
    <w:rsid w:val="003A19B5"/>
    <w:rsid w:val="003A6321"/>
    <w:rsid w:val="003A6810"/>
    <w:rsid w:val="003C0787"/>
    <w:rsid w:val="003C0A58"/>
    <w:rsid w:val="003C2CC4"/>
    <w:rsid w:val="003C534D"/>
    <w:rsid w:val="003C5E69"/>
    <w:rsid w:val="003D30F6"/>
    <w:rsid w:val="003D4646"/>
    <w:rsid w:val="003D4B23"/>
    <w:rsid w:val="003E130E"/>
    <w:rsid w:val="003E751F"/>
    <w:rsid w:val="003F060F"/>
    <w:rsid w:val="003F2D5A"/>
    <w:rsid w:val="003F5B08"/>
    <w:rsid w:val="003F5CFD"/>
    <w:rsid w:val="00407436"/>
    <w:rsid w:val="00410C89"/>
    <w:rsid w:val="00413EE4"/>
    <w:rsid w:val="00417AB7"/>
    <w:rsid w:val="00422E03"/>
    <w:rsid w:val="00426B9B"/>
    <w:rsid w:val="00431C30"/>
    <w:rsid w:val="004325CB"/>
    <w:rsid w:val="00434D7E"/>
    <w:rsid w:val="00437F32"/>
    <w:rsid w:val="0044130A"/>
    <w:rsid w:val="00442A83"/>
    <w:rsid w:val="00452D12"/>
    <w:rsid w:val="0045495B"/>
    <w:rsid w:val="004561E5"/>
    <w:rsid w:val="004579CF"/>
    <w:rsid w:val="00466423"/>
    <w:rsid w:val="00471B1E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B6C29"/>
    <w:rsid w:val="004C0977"/>
    <w:rsid w:val="004C2461"/>
    <w:rsid w:val="004C3897"/>
    <w:rsid w:val="004C7462"/>
    <w:rsid w:val="004E5C76"/>
    <w:rsid w:val="004E6A8B"/>
    <w:rsid w:val="004E77B2"/>
    <w:rsid w:val="004F2B31"/>
    <w:rsid w:val="004F33B3"/>
    <w:rsid w:val="00504B2D"/>
    <w:rsid w:val="00512606"/>
    <w:rsid w:val="00515214"/>
    <w:rsid w:val="00515314"/>
    <w:rsid w:val="00517F61"/>
    <w:rsid w:val="0052136D"/>
    <w:rsid w:val="0052775E"/>
    <w:rsid w:val="005420F2"/>
    <w:rsid w:val="0054349A"/>
    <w:rsid w:val="0055647C"/>
    <w:rsid w:val="0056209A"/>
    <w:rsid w:val="005628B6"/>
    <w:rsid w:val="00570087"/>
    <w:rsid w:val="0058660B"/>
    <w:rsid w:val="005941EC"/>
    <w:rsid w:val="0059724D"/>
    <w:rsid w:val="005A198E"/>
    <w:rsid w:val="005A796A"/>
    <w:rsid w:val="005A7E6C"/>
    <w:rsid w:val="005B1468"/>
    <w:rsid w:val="005B320C"/>
    <w:rsid w:val="005B3DB3"/>
    <w:rsid w:val="005B40C4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F4882"/>
    <w:rsid w:val="005F5B8D"/>
    <w:rsid w:val="005F7B75"/>
    <w:rsid w:val="0060008F"/>
    <w:rsid w:val="006001EE"/>
    <w:rsid w:val="00605042"/>
    <w:rsid w:val="00611FC4"/>
    <w:rsid w:val="006176FB"/>
    <w:rsid w:val="00620F30"/>
    <w:rsid w:val="00633C1B"/>
    <w:rsid w:val="00640B26"/>
    <w:rsid w:val="00641EB1"/>
    <w:rsid w:val="00642099"/>
    <w:rsid w:val="006423D9"/>
    <w:rsid w:val="006438A8"/>
    <w:rsid w:val="00650739"/>
    <w:rsid w:val="00652D0A"/>
    <w:rsid w:val="006543E7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A2530"/>
    <w:rsid w:val="006A38AC"/>
    <w:rsid w:val="006B664D"/>
    <w:rsid w:val="006B6707"/>
    <w:rsid w:val="006C3589"/>
    <w:rsid w:val="006C3B77"/>
    <w:rsid w:val="006D010D"/>
    <w:rsid w:val="006D37AF"/>
    <w:rsid w:val="006D51D0"/>
    <w:rsid w:val="006D5CDE"/>
    <w:rsid w:val="006D5FB9"/>
    <w:rsid w:val="006D658E"/>
    <w:rsid w:val="006E2C04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63F0"/>
    <w:rsid w:val="0074277F"/>
    <w:rsid w:val="00750230"/>
    <w:rsid w:val="00755113"/>
    <w:rsid w:val="00760184"/>
    <w:rsid w:val="0076036E"/>
    <w:rsid w:val="007629C8"/>
    <w:rsid w:val="00764D11"/>
    <w:rsid w:val="0077047D"/>
    <w:rsid w:val="00773938"/>
    <w:rsid w:val="007935BF"/>
    <w:rsid w:val="007939B6"/>
    <w:rsid w:val="00794AC5"/>
    <w:rsid w:val="0079503E"/>
    <w:rsid w:val="00795653"/>
    <w:rsid w:val="007A1B90"/>
    <w:rsid w:val="007A309D"/>
    <w:rsid w:val="007A3A71"/>
    <w:rsid w:val="007A4ECC"/>
    <w:rsid w:val="007B0806"/>
    <w:rsid w:val="007B67CF"/>
    <w:rsid w:val="007B6BA5"/>
    <w:rsid w:val="007C3390"/>
    <w:rsid w:val="007C3474"/>
    <w:rsid w:val="007C4F4B"/>
    <w:rsid w:val="007C5BDC"/>
    <w:rsid w:val="007D0567"/>
    <w:rsid w:val="007D3C91"/>
    <w:rsid w:val="007D6462"/>
    <w:rsid w:val="007E01E9"/>
    <w:rsid w:val="007E049A"/>
    <w:rsid w:val="007E5A27"/>
    <w:rsid w:val="007E63F3"/>
    <w:rsid w:val="007F3B0C"/>
    <w:rsid w:val="007F6611"/>
    <w:rsid w:val="00807027"/>
    <w:rsid w:val="00811920"/>
    <w:rsid w:val="00815AD0"/>
    <w:rsid w:val="00815EDB"/>
    <w:rsid w:val="0082426B"/>
    <w:rsid w:val="008242D7"/>
    <w:rsid w:val="008257B1"/>
    <w:rsid w:val="00826D49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A7CB0"/>
    <w:rsid w:val="008B04F4"/>
    <w:rsid w:val="008B09A4"/>
    <w:rsid w:val="008B2335"/>
    <w:rsid w:val="008B2E36"/>
    <w:rsid w:val="008B4702"/>
    <w:rsid w:val="008C2F5C"/>
    <w:rsid w:val="008D0B2B"/>
    <w:rsid w:val="008D52AC"/>
    <w:rsid w:val="008E0678"/>
    <w:rsid w:val="008E103D"/>
    <w:rsid w:val="008E136C"/>
    <w:rsid w:val="008F31D2"/>
    <w:rsid w:val="00905CD3"/>
    <w:rsid w:val="00907534"/>
    <w:rsid w:val="00915EF6"/>
    <w:rsid w:val="009223CA"/>
    <w:rsid w:val="00923752"/>
    <w:rsid w:val="00925664"/>
    <w:rsid w:val="00927489"/>
    <w:rsid w:val="00932C6B"/>
    <w:rsid w:val="009354C2"/>
    <w:rsid w:val="00940F93"/>
    <w:rsid w:val="009439AE"/>
    <w:rsid w:val="009448C3"/>
    <w:rsid w:val="00944C95"/>
    <w:rsid w:val="009544D4"/>
    <w:rsid w:val="0095525F"/>
    <w:rsid w:val="00960B13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B7B80"/>
    <w:rsid w:val="009C0593"/>
    <w:rsid w:val="009C0877"/>
    <w:rsid w:val="009C30DA"/>
    <w:rsid w:val="009D3358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3026E"/>
    <w:rsid w:val="00A338F1"/>
    <w:rsid w:val="00A35BE0"/>
    <w:rsid w:val="00A40C1F"/>
    <w:rsid w:val="00A541F4"/>
    <w:rsid w:val="00A6129C"/>
    <w:rsid w:val="00A6681A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A6B1C"/>
    <w:rsid w:val="00AB1C8B"/>
    <w:rsid w:val="00AB25DF"/>
    <w:rsid w:val="00AB2F0B"/>
    <w:rsid w:val="00AC2BF5"/>
    <w:rsid w:val="00AD0F83"/>
    <w:rsid w:val="00AD504E"/>
    <w:rsid w:val="00AD5904"/>
    <w:rsid w:val="00AE2A97"/>
    <w:rsid w:val="00AF44D0"/>
    <w:rsid w:val="00B026A9"/>
    <w:rsid w:val="00B03569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1206"/>
    <w:rsid w:val="00B81E12"/>
    <w:rsid w:val="00B875D5"/>
    <w:rsid w:val="00B94C56"/>
    <w:rsid w:val="00B969CE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11A03"/>
    <w:rsid w:val="00C145D2"/>
    <w:rsid w:val="00C14FBF"/>
    <w:rsid w:val="00C177A9"/>
    <w:rsid w:val="00C22C0C"/>
    <w:rsid w:val="00C27032"/>
    <w:rsid w:val="00C31401"/>
    <w:rsid w:val="00C408AE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B2E29"/>
    <w:rsid w:val="00CB3E03"/>
    <w:rsid w:val="00CB5FFB"/>
    <w:rsid w:val="00CC4F22"/>
    <w:rsid w:val="00CD22A1"/>
    <w:rsid w:val="00CD4AA6"/>
    <w:rsid w:val="00CE4A8F"/>
    <w:rsid w:val="00CF20B1"/>
    <w:rsid w:val="00CF384A"/>
    <w:rsid w:val="00D01544"/>
    <w:rsid w:val="00D10E2D"/>
    <w:rsid w:val="00D2031B"/>
    <w:rsid w:val="00D248B6"/>
    <w:rsid w:val="00D25C23"/>
    <w:rsid w:val="00D25FE2"/>
    <w:rsid w:val="00D26E07"/>
    <w:rsid w:val="00D35F6B"/>
    <w:rsid w:val="00D36E50"/>
    <w:rsid w:val="00D43252"/>
    <w:rsid w:val="00D466D6"/>
    <w:rsid w:val="00D47EEA"/>
    <w:rsid w:val="00D57ECB"/>
    <w:rsid w:val="00D67EB2"/>
    <w:rsid w:val="00D70325"/>
    <w:rsid w:val="00D71A5E"/>
    <w:rsid w:val="00D7306C"/>
    <w:rsid w:val="00D73933"/>
    <w:rsid w:val="00D769DB"/>
    <w:rsid w:val="00D773DF"/>
    <w:rsid w:val="00D86A1D"/>
    <w:rsid w:val="00D91CE7"/>
    <w:rsid w:val="00D95303"/>
    <w:rsid w:val="00D978C6"/>
    <w:rsid w:val="00DA3C1C"/>
    <w:rsid w:val="00DA7708"/>
    <w:rsid w:val="00DA7B18"/>
    <w:rsid w:val="00DB225E"/>
    <w:rsid w:val="00DB5483"/>
    <w:rsid w:val="00DC6D39"/>
    <w:rsid w:val="00DF0429"/>
    <w:rsid w:val="00DF37B7"/>
    <w:rsid w:val="00DF636C"/>
    <w:rsid w:val="00DF6D92"/>
    <w:rsid w:val="00DF702F"/>
    <w:rsid w:val="00E046DF"/>
    <w:rsid w:val="00E22780"/>
    <w:rsid w:val="00E22B0C"/>
    <w:rsid w:val="00E27346"/>
    <w:rsid w:val="00E27BB0"/>
    <w:rsid w:val="00E33887"/>
    <w:rsid w:val="00E40A45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96630"/>
    <w:rsid w:val="00E9785E"/>
    <w:rsid w:val="00EA2A77"/>
    <w:rsid w:val="00EA3961"/>
    <w:rsid w:val="00EB3A57"/>
    <w:rsid w:val="00EB7920"/>
    <w:rsid w:val="00EC0A5B"/>
    <w:rsid w:val="00EC0C03"/>
    <w:rsid w:val="00EC10BA"/>
    <w:rsid w:val="00EC74F9"/>
    <w:rsid w:val="00ED02A7"/>
    <w:rsid w:val="00ED228F"/>
    <w:rsid w:val="00ED4DF6"/>
    <w:rsid w:val="00ED7978"/>
    <w:rsid w:val="00ED7A2A"/>
    <w:rsid w:val="00EE1A48"/>
    <w:rsid w:val="00EF1D7F"/>
    <w:rsid w:val="00EF5C56"/>
    <w:rsid w:val="00F03C32"/>
    <w:rsid w:val="00F0480F"/>
    <w:rsid w:val="00F243E1"/>
    <w:rsid w:val="00F31E5F"/>
    <w:rsid w:val="00F342BF"/>
    <w:rsid w:val="00F42969"/>
    <w:rsid w:val="00F518BA"/>
    <w:rsid w:val="00F57A62"/>
    <w:rsid w:val="00F6100A"/>
    <w:rsid w:val="00F6124B"/>
    <w:rsid w:val="00F61740"/>
    <w:rsid w:val="00F6615A"/>
    <w:rsid w:val="00F75A7F"/>
    <w:rsid w:val="00F87B5E"/>
    <w:rsid w:val="00F93781"/>
    <w:rsid w:val="00F9526F"/>
    <w:rsid w:val="00FA2414"/>
    <w:rsid w:val="00FA6945"/>
    <w:rsid w:val="00FB321F"/>
    <w:rsid w:val="00FB613B"/>
    <w:rsid w:val="00FC68B7"/>
    <w:rsid w:val="00FD0CCA"/>
    <w:rsid w:val="00FD3F98"/>
    <w:rsid w:val="00FD4699"/>
    <w:rsid w:val="00FD755A"/>
    <w:rsid w:val="00FE106A"/>
    <w:rsid w:val="00FE1804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4579CF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4579CF"/>
  </w:style>
  <w:style w:type="paragraph" w:styleId="BodyTextIndent">
    <w:name w:val="Body Text Indent"/>
    <w:basedOn w:val="Normal"/>
    <w:link w:val="BodyTextIndentChar"/>
    <w:semiHidden/>
    <w:rsid w:val="004579CF"/>
    <w:pPr>
      <w:spacing w:after="120"/>
      <w:ind w:left="283"/>
    </w:pPr>
  </w:style>
  <w:style w:type="paragraph" w:styleId="BlockText">
    <w:name w:val="Block Text"/>
    <w:basedOn w:val="Normal"/>
    <w:semiHidden/>
    <w:rsid w:val="004579CF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4579CF"/>
    <w:rPr>
      <w:sz w:val="6"/>
    </w:rPr>
  </w:style>
  <w:style w:type="paragraph" w:styleId="CommentText">
    <w:name w:val="annotation text"/>
    <w:basedOn w:val="Normal"/>
    <w:link w:val="CommentTextChar"/>
    <w:semiHidden/>
    <w:rsid w:val="004579CF"/>
  </w:style>
  <w:style w:type="character" w:styleId="LineNumber">
    <w:name w:val="line number"/>
    <w:semiHidden/>
    <w:rsid w:val="004579CF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4579CF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4579CF"/>
  </w:style>
  <w:style w:type="paragraph" w:styleId="BodyTextIndent">
    <w:name w:val="Body Text Indent"/>
    <w:basedOn w:val="Normal"/>
    <w:link w:val="BodyTextIndentChar"/>
    <w:semiHidden/>
    <w:rsid w:val="004579CF"/>
    <w:pPr>
      <w:spacing w:after="120"/>
      <w:ind w:left="283"/>
    </w:pPr>
  </w:style>
  <w:style w:type="paragraph" w:styleId="BlockText">
    <w:name w:val="Block Text"/>
    <w:basedOn w:val="Normal"/>
    <w:semiHidden/>
    <w:rsid w:val="004579CF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4579CF"/>
    <w:rPr>
      <w:sz w:val="6"/>
    </w:rPr>
  </w:style>
  <w:style w:type="paragraph" w:styleId="CommentText">
    <w:name w:val="annotation text"/>
    <w:basedOn w:val="Normal"/>
    <w:link w:val="CommentTextChar"/>
    <w:semiHidden/>
    <w:rsid w:val="004579CF"/>
  </w:style>
  <w:style w:type="character" w:styleId="LineNumber">
    <w:name w:val="line number"/>
    <w:semiHidden/>
    <w:rsid w:val="004579CF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9D3E-AA03-43CA-B6D9-238326D9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Benedicte Boudol</cp:lastModifiedBy>
  <cp:revision>2</cp:revision>
  <cp:lastPrinted>2015-05-07T08:36:00Z</cp:lastPrinted>
  <dcterms:created xsi:type="dcterms:W3CDTF">2015-07-03T13:10:00Z</dcterms:created>
  <dcterms:modified xsi:type="dcterms:W3CDTF">2015-07-03T13:10:00Z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