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7" w:rsidRDefault="00510507" w:rsidP="00510507">
      <w:pPr>
        <w:spacing w:line="60" w:lineRule="exact"/>
        <w:rPr>
          <w:color w:val="010000"/>
          <w:sz w:val="6"/>
        </w:rPr>
        <w:sectPr w:rsidR="00510507" w:rsidSect="00510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E23368" w:rsidRPr="00E23368" w:rsidRDefault="00E23368" w:rsidP="00E23368">
      <w:pPr>
        <w:rPr>
          <w:b/>
          <w:sz w:val="28"/>
          <w:szCs w:val="28"/>
        </w:rPr>
      </w:pPr>
      <w:r w:rsidRPr="00E23368">
        <w:rPr>
          <w:b/>
          <w:sz w:val="28"/>
          <w:szCs w:val="28"/>
        </w:rPr>
        <w:lastRenderedPageBreak/>
        <w:t>Европейская экономическая комиссия</w:t>
      </w:r>
    </w:p>
    <w:p w:rsidR="00E23368" w:rsidRPr="00E23368" w:rsidRDefault="00E23368" w:rsidP="00E23368">
      <w:pPr>
        <w:spacing w:line="120" w:lineRule="exact"/>
        <w:rPr>
          <w:sz w:val="10"/>
        </w:rPr>
      </w:pPr>
    </w:p>
    <w:p w:rsidR="00E23368" w:rsidRPr="00E23368" w:rsidRDefault="00E23368" w:rsidP="00E23368">
      <w:pPr>
        <w:rPr>
          <w:sz w:val="28"/>
          <w:szCs w:val="28"/>
        </w:rPr>
      </w:pPr>
      <w:r w:rsidRPr="00E23368">
        <w:rPr>
          <w:sz w:val="28"/>
          <w:szCs w:val="28"/>
        </w:rPr>
        <w:t>Комитет по внутреннему транспорту</w:t>
      </w:r>
    </w:p>
    <w:p w:rsidR="00E23368" w:rsidRPr="00E23368" w:rsidRDefault="00E23368" w:rsidP="00E23368">
      <w:pPr>
        <w:spacing w:line="120" w:lineRule="exact"/>
        <w:rPr>
          <w:sz w:val="10"/>
        </w:rPr>
      </w:pPr>
    </w:p>
    <w:p w:rsidR="00E23368" w:rsidRPr="00E23368" w:rsidRDefault="00E23368" w:rsidP="00E23368">
      <w:pPr>
        <w:rPr>
          <w:b/>
          <w:sz w:val="24"/>
          <w:szCs w:val="24"/>
        </w:rPr>
      </w:pPr>
      <w:r w:rsidRPr="00E23368">
        <w:rPr>
          <w:b/>
          <w:sz w:val="24"/>
          <w:szCs w:val="24"/>
        </w:rPr>
        <w:t>Всемирный форум для согласования правил</w:t>
      </w:r>
      <w:r w:rsidRPr="00E23368">
        <w:rPr>
          <w:b/>
          <w:sz w:val="24"/>
          <w:szCs w:val="24"/>
        </w:rPr>
        <w:br/>
        <w:t>в области транспортных средств</w:t>
      </w:r>
    </w:p>
    <w:p w:rsidR="00E23368" w:rsidRPr="00E23368" w:rsidRDefault="00E23368" w:rsidP="00E23368">
      <w:pPr>
        <w:spacing w:line="120" w:lineRule="exact"/>
        <w:rPr>
          <w:sz w:val="10"/>
        </w:rPr>
      </w:pPr>
    </w:p>
    <w:p w:rsidR="00E23368" w:rsidRPr="00E23368" w:rsidRDefault="00E23368" w:rsidP="00E23368">
      <w:pPr>
        <w:rPr>
          <w:b/>
        </w:rPr>
      </w:pPr>
      <w:r w:rsidRPr="00E23368">
        <w:rPr>
          <w:b/>
        </w:rPr>
        <w:t>Рабочая группа по вопросам торможения и ходовой части</w:t>
      </w:r>
    </w:p>
    <w:p w:rsidR="00E23368" w:rsidRPr="00E23368" w:rsidRDefault="00E23368" w:rsidP="00E23368">
      <w:pPr>
        <w:spacing w:line="120" w:lineRule="exact"/>
        <w:rPr>
          <w:sz w:val="10"/>
        </w:rPr>
      </w:pPr>
    </w:p>
    <w:p w:rsidR="00E23368" w:rsidRPr="00E23368" w:rsidRDefault="00E23368" w:rsidP="00E23368">
      <w:pPr>
        <w:rPr>
          <w:b/>
        </w:rPr>
      </w:pPr>
      <w:r w:rsidRPr="00E23368">
        <w:rPr>
          <w:b/>
        </w:rPr>
        <w:t>Восьмидесятая сессия</w:t>
      </w:r>
    </w:p>
    <w:p w:rsidR="00E23368" w:rsidRPr="00E23368" w:rsidRDefault="00E23368" w:rsidP="00E23368">
      <w:r>
        <w:t>Женева, 15</w:t>
      </w:r>
      <w:r>
        <w:rPr>
          <w:lang w:val="en-US"/>
        </w:rPr>
        <w:t>–</w:t>
      </w:r>
      <w:r w:rsidRPr="00E23368">
        <w:t>18 сентября 2015 года</w:t>
      </w:r>
    </w:p>
    <w:p w:rsidR="00E23368" w:rsidRPr="00E23368" w:rsidRDefault="00E23368" w:rsidP="00E23368">
      <w:r w:rsidRPr="00E23368">
        <w:t>Пункт 5 a) предварительной повестки дня</w:t>
      </w:r>
    </w:p>
    <w:p w:rsidR="00E23368" w:rsidRPr="00117305" w:rsidRDefault="00E23368" w:rsidP="00E23368">
      <w:pPr>
        <w:rPr>
          <w:b/>
        </w:rPr>
      </w:pPr>
      <w:r w:rsidRPr="00117305">
        <w:rPr>
          <w:b/>
        </w:rPr>
        <w:t xml:space="preserve">Торможение мотоциклов </w:t>
      </w:r>
      <w:r w:rsidRPr="00117305">
        <w:rPr>
          <w:b/>
          <w:lang w:val="en-US"/>
        </w:rPr>
        <w:t>–</w:t>
      </w:r>
      <w:r w:rsidRPr="00117305">
        <w:rPr>
          <w:b/>
        </w:rPr>
        <w:t xml:space="preserve"> Правила № 78</w:t>
      </w:r>
    </w:p>
    <w:p w:rsidR="00E23368" w:rsidRPr="00E23368" w:rsidRDefault="00E23368" w:rsidP="00E23368">
      <w:pPr>
        <w:pStyle w:val="SingleTxt"/>
        <w:spacing w:after="0" w:line="120" w:lineRule="exact"/>
        <w:rPr>
          <w:b/>
          <w:sz w:val="10"/>
        </w:rPr>
      </w:pPr>
    </w:p>
    <w:p w:rsidR="00E23368" w:rsidRPr="00E23368" w:rsidRDefault="00E23368" w:rsidP="00E23368">
      <w:pPr>
        <w:pStyle w:val="SingleTxt"/>
        <w:spacing w:after="0" w:line="120" w:lineRule="exact"/>
        <w:rPr>
          <w:b/>
          <w:sz w:val="10"/>
        </w:rPr>
      </w:pPr>
    </w:p>
    <w:p w:rsidR="00E23368" w:rsidRPr="00E23368" w:rsidRDefault="00E23368" w:rsidP="00E23368">
      <w:pPr>
        <w:pStyle w:val="SingleTxt"/>
        <w:spacing w:after="0" w:line="120" w:lineRule="exact"/>
        <w:rPr>
          <w:b/>
          <w:sz w:val="10"/>
        </w:rPr>
      </w:pPr>
    </w:p>
    <w:p w:rsidR="00E23368" w:rsidRPr="00E23368" w:rsidRDefault="00E23368" w:rsidP="00E233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E23368">
        <w:t xml:space="preserve">Предложение по поправке к Правилам № 78 (Единообразные предписания, касающиеся официального утверждения транспортных средств категории </w:t>
      </w:r>
      <w:r w:rsidRPr="00E23368">
        <w:rPr>
          <w:lang w:val="en-GB"/>
        </w:rPr>
        <w:t>L</w:t>
      </w:r>
      <w:r w:rsidRPr="00E23368">
        <w:t xml:space="preserve">1, </w:t>
      </w:r>
      <w:r w:rsidRPr="00E23368">
        <w:rPr>
          <w:lang w:val="en-GB"/>
        </w:rPr>
        <w:t>L</w:t>
      </w:r>
      <w:r w:rsidRPr="00E23368">
        <w:t xml:space="preserve">2, </w:t>
      </w:r>
      <w:r w:rsidRPr="00E23368">
        <w:rPr>
          <w:lang w:val="en-GB"/>
        </w:rPr>
        <w:t>L</w:t>
      </w:r>
      <w:r w:rsidRPr="00E23368">
        <w:t xml:space="preserve">3, </w:t>
      </w:r>
      <w:r w:rsidRPr="00E23368">
        <w:rPr>
          <w:lang w:val="en-GB"/>
        </w:rPr>
        <w:t>L</w:t>
      </w:r>
      <w:r w:rsidRPr="00E23368">
        <w:t xml:space="preserve">4 и </w:t>
      </w:r>
      <w:r w:rsidRPr="00E23368">
        <w:rPr>
          <w:lang w:val="en-GB"/>
        </w:rPr>
        <w:t>L</w:t>
      </w:r>
      <w:r w:rsidRPr="00E23368">
        <w:t>5 в отношении торможения)</w:t>
      </w:r>
    </w:p>
    <w:p w:rsidR="00E23368" w:rsidRPr="00E23368" w:rsidRDefault="00E23368" w:rsidP="00E23368">
      <w:pPr>
        <w:pStyle w:val="SingleTxt"/>
        <w:spacing w:after="0" w:line="120" w:lineRule="exact"/>
        <w:rPr>
          <w:b/>
          <w:sz w:val="10"/>
        </w:rPr>
      </w:pPr>
    </w:p>
    <w:p w:rsidR="00E23368" w:rsidRPr="00E23368" w:rsidRDefault="00E23368" w:rsidP="00E23368">
      <w:pPr>
        <w:pStyle w:val="SingleTxt"/>
        <w:spacing w:after="0" w:line="120" w:lineRule="exact"/>
        <w:rPr>
          <w:b/>
          <w:sz w:val="10"/>
        </w:rPr>
      </w:pPr>
    </w:p>
    <w:p w:rsidR="00E23368" w:rsidRPr="00E23368" w:rsidRDefault="00E23368" w:rsidP="00E233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E23368">
        <w:t>Представлено экспертом от Европейской комиссии</w:t>
      </w:r>
      <w:r w:rsidRPr="00E23368">
        <w:rPr>
          <w:b w:val="0"/>
          <w:sz w:val="20"/>
          <w:szCs w:val="20"/>
        </w:rPr>
        <w:footnoteReference w:customMarkFollows="1" w:id="1"/>
        <w:t>*</w:t>
      </w:r>
    </w:p>
    <w:p w:rsidR="00E23368" w:rsidRPr="00E23368" w:rsidRDefault="00E23368" w:rsidP="00E23368">
      <w:pPr>
        <w:pStyle w:val="SingleTxt"/>
        <w:spacing w:after="0" w:line="120" w:lineRule="exact"/>
        <w:rPr>
          <w:sz w:val="10"/>
        </w:rPr>
      </w:pPr>
    </w:p>
    <w:p w:rsidR="00E23368" w:rsidRPr="00E23368" w:rsidRDefault="00E23368" w:rsidP="00E23368">
      <w:pPr>
        <w:pStyle w:val="SingleTxt"/>
        <w:spacing w:after="0" w:line="120" w:lineRule="exact"/>
        <w:rPr>
          <w:sz w:val="10"/>
        </w:rPr>
      </w:pPr>
    </w:p>
    <w:p w:rsidR="00E23368" w:rsidRPr="00E23368" w:rsidRDefault="00E23368" w:rsidP="00E23368">
      <w:pPr>
        <w:pStyle w:val="SingleTxt"/>
      </w:pPr>
      <w:r>
        <w:rPr>
          <w:lang w:val="en-US"/>
        </w:rPr>
        <w:tab/>
      </w:r>
      <w:r w:rsidRPr="00E23368">
        <w:t>Воспроизведенный ниже текст был подготовлен экспертом от Европейской комиссии в целях обеспечения последовательного подхода ко всем автотран</w:t>
      </w:r>
      <w:r w:rsidRPr="00E23368">
        <w:t>с</w:t>
      </w:r>
      <w:r w:rsidRPr="00E23368">
        <w:t>портным средствам, оснащенным антиблокировочными тормозными системами, в том числе к конкретным исключениям для некоторых внедорожных транспор</w:t>
      </w:r>
      <w:r w:rsidRPr="00E23368">
        <w:t>т</w:t>
      </w:r>
      <w:r w:rsidRPr="00E23368">
        <w:t>ных средств, включенных в Правила ООН № 13. Изменения к существующему тексту Правил выделены жирным шрифтом, а текст, подлежащий исключению, − зачеркнут.</w:t>
      </w:r>
    </w:p>
    <w:p w:rsidR="00E23368" w:rsidRPr="00E23368" w:rsidRDefault="00E23368" w:rsidP="00E233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br w:type="page"/>
      </w:r>
      <w:r w:rsidRPr="00E23368">
        <w:lastRenderedPageBreak/>
        <w:tab/>
      </w:r>
      <w:r w:rsidRPr="00E23368">
        <w:rPr>
          <w:lang w:val="en-GB"/>
        </w:rPr>
        <w:t>I</w:t>
      </w:r>
      <w:r w:rsidRPr="00E23368">
        <w:t>.</w:t>
      </w:r>
      <w:r w:rsidRPr="00E23368">
        <w:tab/>
        <w:t>Предложение</w:t>
      </w:r>
    </w:p>
    <w:p w:rsidR="00E23368" w:rsidRPr="00E23368" w:rsidRDefault="00E23368" w:rsidP="00E23368">
      <w:pPr>
        <w:pStyle w:val="SingleTxt"/>
        <w:spacing w:after="0" w:line="120" w:lineRule="exact"/>
        <w:rPr>
          <w:i/>
          <w:iCs/>
          <w:sz w:val="10"/>
        </w:rPr>
      </w:pPr>
    </w:p>
    <w:p w:rsidR="00E23368" w:rsidRPr="00E23368" w:rsidRDefault="00E23368" w:rsidP="00E23368">
      <w:pPr>
        <w:pStyle w:val="SingleTxt"/>
        <w:spacing w:after="0" w:line="120" w:lineRule="exact"/>
        <w:rPr>
          <w:i/>
          <w:iCs/>
          <w:sz w:val="10"/>
        </w:rPr>
      </w:pPr>
    </w:p>
    <w:p w:rsidR="00E23368" w:rsidRPr="00E23368" w:rsidRDefault="00E23368" w:rsidP="00E23368">
      <w:pPr>
        <w:pStyle w:val="SingleTxt"/>
      </w:pPr>
      <w:r w:rsidRPr="00E23368">
        <w:rPr>
          <w:i/>
          <w:iCs/>
        </w:rPr>
        <w:t>Включить новый пункт 5.1.14</w:t>
      </w:r>
      <w:r w:rsidRPr="00E23368">
        <w:rPr>
          <w:iCs/>
        </w:rPr>
        <w:t xml:space="preserve"> следующего содержания</w:t>
      </w:r>
      <w:r w:rsidRPr="00E23368">
        <w:t>:</w:t>
      </w:r>
    </w:p>
    <w:p w:rsidR="00E23368" w:rsidRPr="00E23368" w:rsidRDefault="0051523E" w:rsidP="00E23368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  <w:rPr>
          <w:b/>
          <w:bCs/>
        </w:rPr>
      </w:pPr>
      <w:r>
        <w:rPr>
          <w:bCs/>
        </w:rPr>
        <w:t>«</w:t>
      </w:r>
      <w:r w:rsidR="00E23368" w:rsidRPr="00E23368">
        <w:rPr>
          <w:b/>
          <w:bCs/>
        </w:rPr>
        <w:t>5.1.14</w:t>
      </w:r>
      <w:r w:rsidR="00E23368">
        <w:rPr>
          <w:b/>
          <w:bCs/>
        </w:rPr>
        <w:t xml:space="preserve"> </w:t>
      </w:r>
      <w:r w:rsidR="00E23368" w:rsidRPr="00E23368">
        <w:rPr>
          <w:b/>
          <w:bCs/>
        </w:rPr>
        <w:tab/>
      </w:r>
      <w:r w:rsidR="00E23368" w:rsidRPr="000C2A74">
        <w:rPr>
          <w:b/>
          <w:bCs/>
        </w:rPr>
        <w:tab/>
      </w:r>
      <w:r w:rsidR="00E23368" w:rsidRPr="00E23368">
        <w:rPr>
          <w:b/>
          <w:bCs/>
        </w:rPr>
        <w:t>Транспортные средства, оснащенные антиблокировочной тормо</w:t>
      </w:r>
      <w:r w:rsidR="00E23368" w:rsidRPr="00E23368">
        <w:rPr>
          <w:b/>
          <w:bCs/>
        </w:rPr>
        <w:t>з</w:t>
      </w:r>
      <w:r w:rsidR="00E23368" w:rsidRPr="00E23368">
        <w:rPr>
          <w:b/>
          <w:bCs/>
        </w:rPr>
        <w:t>ной системой, могут оснащаться каким-либо одним органом управления (например, переключателем, рычагом, кнопкой, поз</w:t>
      </w:r>
      <w:r w:rsidR="00E23368" w:rsidRPr="00E23368">
        <w:rPr>
          <w:b/>
          <w:bCs/>
        </w:rPr>
        <w:t>и</w:t>
      </w:r>
      <w:r w:rsidR="00E23368" w:rsidRPr="00E23368">
        <w:rPr>
          <w:b/>
          <w:bCs/>
        </w:rPr>
        <w:t>цией меню) для временного ограничения или дезактивации фун</w:t>
      </w:r>
      <w:r w:rsidR="00E23368" w:rsidRPr="00E23368">
        <w:rPr>
          <w:b/>
          <w:bCs/>
        </w:rPr>
        <w:t>к</w:t>
      </w:r>
      <w:r w:rsidR="00E23368" w:rsidRPr="00E23368">
        <w:rPr>
          <w:b/>
          <w:bCs/>
        </w:rPr>
        <w:t>ции антиблокировочной тормозной системы, который допускается только в следующих условиях:</w:t>
      </w:r>
    </w:p>
    <w:p w:rsidR="00E23368" w:rsidRPr="00E23368" w:rsidRDefault="00E23368" w:rsidP="00E23368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 w:rsidRPr="000C2A74">
        <w:rPr>
          <w:b/>
          <w:bCs/>
        </w:rPr>
        <w:tab/>
      </w:r>
      <w:r w:rsidRPr="000C2A74">
        <w:rPr>
          <w:b/>
          <w:bCs/>
        </w:rPr>
        <w:tab/>
      </w:r>
      <w:r w:rsidRPr="00E23368">
        <w:rPr>
          <w:b/>
          <w:bCs/>
          <w:lang w:val="en-GB"/>
        </w:rPr>
        <w:t>a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>транспортное средство находится в неподвижном состоянии; и</w:t>
      </w:r>
    </w:p>
    <w:p w:rsidR="00E23368" w:rsidRPr="00E23368" w:rsidRDefault="00E23368" w:rsidP="00E23368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E23368">
        <w:rPr>
          <w:b/>
          <w:bCs/>
          <w:lang w:val="en-GB"/>
        </w:rPr>
        <w:t>b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>временное ограничение или дезактивация функции антибл</w:t>
      </w:r>
      <w:r w:rsidRPr="00E23368">
        <w:rPr>
          <w:b/>
          <w:bCs/>
        </w:rPr>
        <w:t>о</w:t>
      </w:r>
      <w:r w:rsidRPr="00E23368">
        <w:rPr>
          <w:b/>
          <w:bCs/>
        </w:rPr>
        <w:t>кировочной тормозной системы является результатом преднам</w:t>
      </w:r>
      <w:r w:rsidRPr="00E23368">
        <w:rPr>
          <w:b/>
          <w:bCs/>
        </w:rPr>
        <w:t>е</w:t>
      </w:r>
      <w:r w:rsidRPr="00E23368">
        <w:rPr>
          <w:b/>
          <w:bCs/>
        </w:rPr>
        <w:t>ренного действия со стороны водителя в соответствии с одним из следующих методов:</w:t>
      </w:r>
    </w:p>
    <w:p w:rsidR="00E23368" w:rsidRPr="00E23368" w:rsidRDefault="00E23368" w:rsidP="00E23368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 w:rsidRPr="00E23368">
        <w:rPr>
          <w:b/>
          <w:bCs/>
        </w:rPr>
        <w:tab/>
      </w:r>
      <w:r w:rsidRPr="00E23368">
        <w:rPr>
          <w:b/>
          <w:bCs/>
        </w:rPr>
        <w:tab/>
      </w:r>
      <w:r>
        <w:rPr>
          <w:b/>
          <w:bCs/>
          <w:lang w:val="en-US"/>
        </w:rPr>
        <w:tab/>
      </w:r>
      <w:r w:rsidRPr="00E23368">
        <w:rPr>
          <w:b/>
          <w:bCs/>
          <w:lang w:val="en-GB"/>
        </w:rPr>
        <w:t>i</w:t>
      </w:r>
      <w:r w:rsidRPr="00E23368">
        <w:rPr>
          <w:b/>
          <w:bCs/>
        </w:rPr>
        <w:t>)</w:t>
      </w:r>
      <w:r w:rsidRPr="002F266E">
        <w:rPr>
          <w:b/>
          <w:bCs/>
        </w:rPr>
        <w:tab/>
      </w:r>
      <w:r w:rsidRPr="00E23368">
        <w:rPr>
          <w:b/>
          <w:bCs/>
        </w:rPr>
        <w:tab/>
        <w:t>одновременное приведение в действие переключателя антиблокировочной тормозной системы и органа управления (р</w:t>
      </w:r>
      <w:r w:rsidRPr="00E23368">
        <w:rPr>
          <w:b/>
          <w:bCs/>
        </w:rPr>
        <w:t>ы</w:t>
      </w:r>
      <w:r w:rsidRPr="00E23368">
        <w:rPr>
          <w:b/>
          <w:bCs/>
        </w:rPr>
        <w:t>чага тормоза или педали) системы передних или задних тормозов или комбинированной тормозной системы; или</w:t>
      </w:r>
    </w:p>
    <w:p w:rsidR="00E23368" w:rsidRPr="00E23368" w:rsidRDefault="00E23368" w:rsidP="00E23368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 w:rsidRPr="00E23368">
        <w:rPr>
          <w:b/>
          <w:bCs/>
        </w:rPr>
        <w:tab/>
      </w:r>
      <w:r w:rsidRPr="00E23368">
        <w:rPr>
          <w:b/>
          <w:bCs/>
        </w:rPr>
        <w:tab/>
      </w:r>
      <w:r w:rsidRPr="002F266E">
        <w:rPr>
          <w:b/>
          <w:bCs/>
        </w:rPr>
        <w:tab/>
      </w:r>
      <w:r w:rsidRPr="00E23368">
        <w:rPr>
          <w:b/>
          <w:bCs/>
          <w:lang w:val="en-GB"/>
        </w:rPr>
        <w:t>ii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>приведение в действие переключателя антиблокир</w:t>
      </w:r>
      <w:r w:rsidRPr="00E23368">
        <w:rPr>
          <w:b/>
          <w:bCs/>
        </w:rPr>
        <w:t>о</w:t>
      </w:r>
      <w:r w:rsidRPr="00E23368">
        <w:rPr>
          <w:b/>
          <w:bCs/>
        </w:rPr>
        <w:t xml:space="preserve">вочной тормозной системы в течение не менее 2 секунд; или </w:t>
      </w:r>
    </w:p>
    <w:p w:rsidR="00E23368" w:rsidRPr="00E23368" w:rsidRDefault="00E23368" w:rsidP="00E23368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 w:rsidRPr="00E23368">
        <w:rPr>
          <w:b/>
          <w:bCs/>
        </w:rPr>
        <w:tab/>
      </w:r>
      <w:r w:rsidRPr="00E23368">
        <w:rPr>
          <w:b/>
          <w:bCs/>
        </w:rPr>
        <w:tab/>
      </w:r>
      <w:r>
        <w:rPr>
          <w:b/>
          <w:bCs/>
          <w:lang w:val="en-US"/>
        </w:rPr>
        <w:tab/>
      </w:r>
      <w:r w:rsidRPr="00E23368">
        <w:rPr>
          <w:b/>
          <w:bCs/>
          <w:lang w:val="en-GB"/>
        </w:rPr>
        <w:t>iii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>переход не менее чем через 2 деления или уровня рег</w:t>
      </w:r>
      <w:r w:rsidRPr="00E23368">
        <w:rPr>
          <w:b/>
          <w:bCs/>
        </w:rPr>
        <w:t>у</w:t>
      </w:r>
      <w:r w:rsidRPr="00E23368">
        <w:rPr>
          <w:b/>
          <w:bCs/>
        </w:rPr>
        <w:t>лировки режима работы с помощью поворотной кнопки, перекл</w:t>
      </w:r>
      <w:r w:rsidRPr="00E23368">
        <w:rPr>
          <w:b/>
          <w:bCs/>
        </w:rPr>
        <w:t>ю</w:t>
      </w:r>
      <w:r w:rsidRPr="00E23368">
        <w:rPr>
          <w:b/>
          <w:bCs/>
        </w:rPr>
        <w:t>чателя на сенсорной панели или селектора позиции меню;</w:t>
      </w:r>
    </w:p>
    <w:p w:rsidR="00E23368" w:rsidRPr="00E23368" w:rsidRDefault="00E23368" w:rsidP="0051523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>
        <w:rPr>
          <w:b/>
          <w:bCs/>
          <w:lang w:val="en-GB"/>
        </w:rPr>
        <w:tab/>
      </w:r>
      <w:r w:rsidR="0051523E">
        <w:rPr>
          <w:b/>
          <w:bCs/>
          <w:lang w:val="en-GB"/>
        </w:rPr>
        <w:tab/>
      </w:r>
      <w:r w:rsidRPr="00E23368">
        <w:rPr>
          <w:b/>
          <w:bCs/>
          <w:lang w:val="en-GB"/>
        </w:rPr>
        <w:t>c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>если мотоцикл оснащен функцией выбора режима вождения, которая позволяет переходить на режим</w:t>
      </w:r>
      <w:r w:rsidR="000C2A74">
        <w:rPr>
          <w:b/>
          <w:bCs/>
        </w:rPr>
        <w:t xml:space="preserve"> «</w:t>
      </w:r>
      <w:r w:rsidRPr="00E23368">
        <w:rPr>
          <w:b/>
          <w:bCs/>
        </w:rPr>
        <w:t>вне дороги</w:t>
      </w:r>
      <w:r w:rsidR="000C2A74">
        <w:rPr>
          <w:b/>
          <w:bCs/>
        </w:rPr>
        <w:t>» или «</w:t>
      </w:r>
      <w:r w:rsidRPr="00E23368">
        <w:rPr>
          <w:b/>
          <w:bCs/>
        </w:rPr>
        <w:t>пов</w:t>
      </w:r>
      <w:r w:rsidRPr="00E23368">
        <w:rPr>
          <w:b/>
          <w:bCs/>
        </w:rPr>
        <w:t>ы</w:t>
      </w:r>
      <w:r w:rsidRPr="00E23368">
        <w:rPr>
          <w:b/>
          <w:bCs/>
        </w:rPr>
        <w:t>шенной проходимости</w:t>
      </w:r>
      <w:r w:rsidR="000C2A74">
        <w:rPr>
          <w:b/>
          <w:bCs/>
        </w:rPr>
        <w:t>»</w:t>
      </w:r>
      <w:r w:rsidRPr="00E23368">
        <w:rPr>
          <w:b/>
          <w:bCs/>
        </w:rPr>
        <w:t xml:space="preserve"> или любой иной режим вождения и кот</w:t>
      </w:r>
      <w:r w:rsidRPr="00E23368">
        <w:rPr>
          <w:b/>
          <w:bCs/>
        </w:rPr>
        <w:t>о</w:t>
      </w:r>
      <w:r w:rsidRPr="00E23368">
        <w:rPr>
          <w:b/>
          <w:bCs/>
        </w:rPr>
        <w:t>рая предусматривает подготовку транспортного средства к перех</w:t>
      </w:r>
      <w:r w:rsidRPr="00E23368">
        <w:rPr>
          <w:b/>
          <w:bCs/>
        </w:rPr>
        <w:t>о</w:t>
      </w:r>
      <w:r w:rsidRPr="00E23368">
        <w:rPr>
          <w:b/>
          <w:bCs/>
        </w:rPr>
        <w:t>ду на режим использования в условиях бездорожья электронным способом, временное ограничение или дезактивация функции а</w:t>
      </w:r>
      <w:r w:rsidRPr="00E23368">
        <w:rPr>
          <w:b/>
          <w:bCs/>
        </w:rPr>
        <w:t>н</w:t>
      </w:r>
      <w:r w:rsidRPr="00E23368">
        <w:rPr>
          <w:b/>
          <w:bCs/>
        </w:rPr>
        <w:t>тиблокировочной тормозной системы допускается только в данном конкретном режиме вождения; и</w:t>
      </w:r>
    </w:p>
    <w:p w:rsidR="00E23368" w:rsidRPr="00E23368" w:rsidRDefault="00E23368" w:rsidP="0051523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 w:rsidRPr="0051523E">
        <w:rPr>
          <w:b/>
          <w:bCs/>
        </w:rPr>
        <w:tab/>
      </w:r>
      <w:r w:rsidR="0051523E" w:rsidRPr="0051523E">
        <w:rPr>
          <w:b/>
          <w:bCs/>
        </w:rPr>
        <w:tab/>
      </w:r>
      <w:r w:rsidRPr="00E23368">
        <w:rPr>
          <w:b/>
          <w:bCs/>
          <w:lang w:val="en-GB"/>
        </w:rPr>
        <w:t>d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>функция антиблокировочной тормозной системы активируе</w:t>
      </w:r>
      <w:r w:rsidRPr="00E23368">
        <w:rPr>
          <w:b/>
          <w:bCs/>
        </w:rPr>
        <w:t>т</w:t>
      </w:r>
      <w:r w:rsidRPr="00E23368">
        <w:rPr>
          <w:b/>
          <w:bCs/>
        </w:rPr>
        <w:t>ся автоматически после каждого запуска двигателя транспортного средства, за исключением повторного запуска после непреднам</w:t>
      </w:r>
      <w:r w:rsidRPr="00E23368">
        <w:rPr>
          <w:b/>
          <w:bCs/>
        </w:rPr>
        <w:t>е</w:t>
      </w:r>
      <w:r w:rsidRPr="00E23368">
        <w:rPr>
          <w:b/>
          <w:bCs/>
        </w:rPr>
        <w:t>ренной остановки двигателя; и</w:t>
      </w:r>
    </w:p>
    <w:p w:rsidR="00E23368" w:rsidRPr="00E23368" w:rsidRDefault="00E23368" w:rsidP="0051523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 w:rsidRPr="0051523E">
        <w:rPr>
          <w:b/>
          <w:bCs/>
        </w:rPr>
        <w:tab/>
      </w:r>
      <w:r w:rsidR="0051523E" w:rsidRPr="0051523E">
        <w:rPr>
          <w:b/>
          <w:bCs/>
        </w:rPr>
        <w:tab/>
      </w:r>
      <w:r w:rsidRPr="00E23368">
        <w:rPr>
          <w:b/>
          <w:bCs/>
          <w:lang w:val="en-GB"/>
        </w:rPr>
        <w:t>e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>временное ограничение или дезактивация функции антибл</w:t>
      </w:r>
      <w:r w:rsidRPr="00E23368">
        <w:rPr>
          <w:b/>
          <w:bCs/>
        </w:rPr>
        <w:t>о</w:t>
      </w:r>
      <w:r w:rsidRPr="00E23368">
        <w:rPr>
          <w:b/>
          <w:bCs/>
        </w:rPr>
        <w:t xml:space="preserve">кировочной тормозной системы сигнализируется путем активации индекса B.18, указанного в стандарте </w:t>
      </w:r>
      <w:r w:rsidRPr="00E23368">
        <w:rPr>
          <w:b/>
          <w:bCs/>
          <w:lang w:val="en-GB"/>
        </w:rPr>
        <w:t>ISO</w:t>
      </w:r>
      <w:r w:rsidRPr="00E23368">
        <w:rPr>
          <w:b/>
          <w:bCs/>
        </w:rPr>
        <w:t xml:space="preserve"> 2575:2010/</w:t>
      </w:r>
      <w:r w:rsidRPr="00E23368">
        <w:rPr>
          <w:b/>
          <w:bCs/>
          <w:lang w:val="en-GB"/>
        </w:rPr>
        <w:t>Amd</w:t>
      </w:r>
      <w:r w:rsidRPr="00E23368">
        <w:rPr>
          <w:b/>
          <w:bCs/>
        </w:rPr>
        <w:t>1:2011 (</w:t>
      </w:r>
      <w:r w:rsidRPr="00E23368">
        <w:rPr>
          <w:b/>
          <w:bCs/>
          <w:lang w:val="en-GB"/>
        </w:rPr>
        <w:t>ISO</w:t>
      </w:r>
      <w:r w:rsidRPr="00E23368">
        <w:rPr>
          <w:b/>
          <w:bCs/>
        </w:rPr>
        <w:t xml:space="preserve"> 7000-2623), или с помощью любого иного эквивалентного сп</w:t>
      </w:r>
      <w:r w:rsidRPr="00E23368">
        <w:rPr>
          <w:b/>
          <w:bCs/>
        </w:rPr>
        <w:t>о</w:t>
      </w:r>
      <w:r w:rsidRPr="00E23368">
        <w:rPr>
          <w:b/>
          <w:bCs/>
        </w:rPr>
        <w:t>соба однозначной индикации, указывающей на то, что антиблок</w:t>
      </w:r>
      <w:r w:rsidRPr="00E23368">
        <w:rPr>
          <w:b/>
          <w:bCs/>
        </w:rPr>
        <w:t>и</w:t>
      </w:r>
      <w:r w:rsidRPr="00E23368">
        <w:rPr>
          <w:b/>
          <w:bCs/>
        </w:rPr>
        <w:t>ровочная тормозная система дезактивирована. В качестве вариа</w:t>
      </w:r>
      <w:r w:rsidRPr="00E23368">
        <w:rPr>
          <w:b/>
          <w:bCs/>
        </w:rPr>
        <w:t>н</w:t>
      </w:r>
      <w:r w:rsidRPr="00E23368">
        <w:rPr>
          <w:b/>
          <w:bCs/>
        </w:rPr>
        <w:t>та, световой сигнализатор, указанный в пункте 3.1.13, должен р</w:t>
      </w:r>
      <w:r w:rsidRPr="00E23368">
        <w:rPr>
          <w:b/>
          <w:bCs/>
        </w:rPr>
        <w:t>а</w:t>
      </w:r>
      <w:r w:rsidRPr="00E23368">
        <w:rPr>
          <w:b/>
          <w:bCs/>
        </w:rPr>
        <w:t>ботать непрерывно (в режиме постоянного свечения или мигания); и</w:t>
      </w:r>
    </w:p>
    <w:p w:rsidR="00E23368" w:rsidRPr="00E23368" w:rsidRDefault="00E23368" w:rsidP="0051523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>
        <w:rPr>
          <w:b/>
          <w:bCs/>
          <w:lang w:val="en-GB"/>
        </w:rPr>
        <w:tab/>
      </w:r>
      <w:r w:rsidR="0051523E">
        <w:rPr>
          <w:b/>
          <w:bCs/>
          <w:lang w:val="en-GB"/>
        </w:rPr>
        <w:tab/>
      </w:r>
      <w:r w:rsidRPr="00E23368">
        <w:rPr>
          <w:b/>
          <w:bCs/>
          <w:lang w:val="en-GB"/>
        </w:rPr>
        <w:t>f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</w:r>
      <w:r w:rsidR="0051523E" w:rsidRPr="00E23368">
        <w:rPr>
          <w:b/>
          <w:bCs/>
        </w:rPr>
        <w:t xml:space="preserve">если </w:t>
      </w:r>
      <w:r w:rsidRPr="00E23368">
        <w:rPr>
          <w:b/>
          <w:bCs/>
        </w:rPr>
        <w:t>антиблокировочная тормозная система отключена п</w:t>
      </w:r>
      <w:r w:rsidRPr="00E23368">
        <w:rPr>
          <w:b/>
          <w:bCs/>
        </w:rPr>
        <w:t>о</w:t>
      </w:r>
      <w:r w:rsidRPr="00E23368">
        <w:rPr>
          <w:b/>
          <w:bCs/>
        </w:rPr>
        <w:t>стоянно, то в этом случае биту, отображающему факт отключения антиблокировочной тормозной системы, придается значение 1 и производится частая</w:t>
      </w:r>
      <w:r>
        <w:rPr>
          <w:b/>
          <w:bCs/>
        </w:rPr>
        <w:t xml:space="preserve"> (1</w:t>
      </w:r>
      <w:r>
        <w:rPr>
          <w:b/>
          <w:bCs/>
          <w:lang w:val="en-US"/>
        </w:rPr>
        <w:t> </w:t>
      </w:r>
      <w:r w:rsidRPr="00E23368">
        <w:rPr>
          <w:b/>
          <w:bCs/>
        </w:rPr>
        <w:t>Гц) регистрация этого значения в нестир</w:t>
      </w:r>
      <w:r w:rsidRPr="00E23368">
        <w:rPr>
          <w:b/>
          <w:bCs/>
        </w:rPr>
        <w:t>а</w:t>
      </w:r>
      <w:r w:rsidRPr="00E23368">
        <w:rPr>
          <w:b/>
          <w:bCs/>
        </w:rPr>
        <w:lastRenderedPageBreak/>
        <w:t>емой памяти бортового устройства транспортного средства в теч</w:t>
      </w:r>
      <w:r w:rsidRPr="00E23368">
        <w:rPr>
          <w:b/>
          <w:bCs/>
        </w:rPr>
        <w:t>е</w:t>
      </w:r>
      <w:r w:rsidRPr="00E23368">
        <w:rPr>
          <w:b/>
          <w:bCs/>
        </w:rPr>
        <w:t>ние всего времени действия основного цикла. Храниться и выд</w:t>
      </w:r>
      <w:r w:rsidRPr="00E23368">
        <w:rPr>
          <w:b/>
          <w:bCs/>
        </w:rPr>
        <w:t>а</w:t>
      </w:r>
      <w:r w:rsidRPr="00E23368">
        <w:rPr>
          <w:b/>
          <w:bCs/>
        </w:rPr>
        <w:t>ваться в качестве мгновенной информации в виде одиночного бита до остановки двигателя или обесточивания может только после</w:t>
      </w:r>
      <w:r w:rsidRPr="00E23368">
        <w:rPr>
          <w:b/>
          <w:bCs/>
        </w:rPr>
        <w:t>д</w:t>
      </w:r>
      <w:r w:rsidRPr="00E23368">
        <w:rPr>
          <w:b/>
          <w:bCs/>
        </w:rPr>
        <w:t>няя однобитовая информация, отображающая состояние</w:t>
      </w:r>
      <w:r>
        <w:rPr>
          <w:b/>
          <w:bCs/>
        </w:rPr>
        <w:t xml:space="preserve"> системы (0</w:t>
      </w:r>
      <w:r>
        <w:rPr>
          <w:b/>
          <w:bCs/>
          <w:lang w:val="en-US"/>
        </w:rPr>
        <w:t> </w:t>
      </w:r>
      <w:r w:rsidRPr="00E23368">
        <w:rPr>
          <w:b/>
          <w:bCs/>
        </w:rPr>
        <w:t>или 1). Эта бинарная информация, указывающая на состояние системы, может считываться с помощью соответствующего метода считывания бесплатно и в наикратчайшие сроки изготовителем транспортного средства для сертификационного органа; и</w:t>
      </w:r>
    </w:p>
    <w:p w:rsidR="00E23368" w:rsidRPr="00E23368" w:rsidRDefault="00E23368" w:rsidP="0051523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>
        <w:rPr>
          <w:b/>
          <w:bCs/>
          <w:lang w:val="en-GB"/>
        </w:rPr>
        <w:tab/>
      </w:r>
      <w:r w:rsidR="0051523E">
        <w:rPr>
          <w:b/>
          <w:bCs/>
          <w:lang w:val="en-GB"/>
        </w:rPr>
        <w:tab/>
      </w:r>
      <w:r w:rsidRPr="00E23368">
        <w:rPr>
          <w:b/>
          <w:bCs/>
          <w:lang w:val="en-GB"/>
        </w:rPr>
        <w:t>g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 xml:space="preserve"> запрет на любое программное обеспечение и/или блокиру</w:t>
      </w:r>
      <w:r w:rsidRPr="00E23368">
        <w:rPr>
          <w:b/>
          <w:bCs/>
        </w:rPr>
        <w:t>ю</w:t>
      </w:r>
      <w:r w:rsidRPr="00E23368">
        <w:rPr>
          <w:b/>
          <w:bCs/>
        </w:rPr>
        <w:t xml:space="preserve">щее устройство, нарушающее или позволяющее обойти одно или более требований, изложенных в пунктах </w:t>
      </w:r>
      <w:r w:rsidRPr="00E23368">
        <w:rPr>
          <w:b/>
          <w:bCs/>
          <w:lang w:val="en-GB"/>
        </w:rPr>
        <w:t>a</w:t>
      </w:r>
      <w:r>
        <w:rPr>
          <w:b/>
          <w:bCs/>
        </w:rPr>
        <w:t>)</w:t>
      </w:r>
      <w:r w:rsidRPr="00E23368">
        <w:rPr>
          <w:b/>
          <w:bCs/>
        </w:rPr>
        <w:t>–</w:t>
      </w:r>
      <w:r w:rsidRPr="00E23368">
        <w:rPr>
          <w:b/>
          <w:bCs/>
          <w:lang w:val="en-GB"/>
        </w:rPr>
        <w:t>f</w:t>
      </w:r>
      <w:r w:rsidRPr="00E23368">
        <w:rPr>
          <w:b/>
          <w:bCs/>
        </w:rPr>
        <w:t>); и</w:t>
      </w:r>
    </w:p>
    <w:p w:rsidR="00E23368" w:rsidRPr="00E23368" w:rsidRDefault="00E23368" w:rsidP="0051523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  <w:bCs/>
        </w:rPr>
      </w:pPr>
      <w:r w:rsidRPr="00E23368">
        <w:rPr>
          <w:b/>
          <w:bCs/>
        </w:rPr>
        <w:tab/>
      </w:r>
      <w:r w:rsidR="0051523E" w:rsidRPr="0051523E">
        <w:rPr>
          <w:b/>
          <w:bCs/>
        </w:rPr>
        <w:tab/>
      </w:r>
      <w:r w:rsidRPr="00E23368">
        <w:rPr>
          <w:b/>
          <w:bCs/>
          <w:lang w:val="en-GB"/>
        </w:rPr>
        <w:t>h</w:t>
      </w:r>
      <w:r w:rsidRPr="00E23368">
        <w:rPr>
          <w:b/>
          <w:bCs/>
        </w:rPr>
        <w:t>)</w:t>
      </w:r>
      <w:r w:rsidRPr="00E23368">
        <w:rPr>
          <w:b/>
          <w:bCs/>
        </w:rPr>
        <w:tab/>
        <w:t>простая и мгновенная реактивация функционального состо</w:t>
      </w:r>
      <w:r w:rsidRPr="00E23368">
        <w:rPr>
          <w:b/>
          <w:bCs/>
        </w:rPr>
        <w:t>я</w:t>
      </w:r>
      <w:r w:rsidRPr="00E23368">
        <w:rPr>
          <w:b/>
          <w:bCs/>
        </w:rPr>
        <w:t>ния антиблокировочной тормозной системы во всех режимах раб</w:t>
      </w:r>
      <w:r w:rsidRPr="00E23368">
        <w:rPr>
          <w:b/>
          <w:bCs/>
        </w:rPr>
        <w:t>о</w:t>
      </w:r>
      <w:r w:rsidRPr="00E23368">
        <w:rPr>
          <w:b/>
          <w:bCs/>
        </w:rPr>
        <w:t>ты и условиях вождения должна гарантироваться и подтверждат</w:t>
      </w:r>
      <w:r w:rsidRPr="00E23368">
        <w:rPr>
          <w:b/>
          <w:bCs/>
        </w:rPr>
        <w:t>ь</w:t>
      </w:r>
      <w:r w:rsidRPr="00E23368">
        <w:rPr>
          <w:b/>
          <w:bCs/>
        </w:rPr>
        <w:t>ся к удовлетворению сертификационного органа (например, п</w:t>
      </w:r>
      <w:r w:rsidRPr="00E23368">
        <w:rPr>
          <w:b/>
          <w:bCs/>
        </w:rPr>
        <w:t>о</w:t>
      </w:r>
      <w:r w:rsidRPr="00E23368">
        <w:rPr>
          <w:b/>
          <w:bCs/>
        </w:rPr>
        <w:t>средством простого нажатия кнопки)</w:t>
      </w:r>
      <w:r w:rsidR="0051523E" w:rsidRPr="0051523E">
        <w:rPr>
          <w:bCs/>
        </w:rPr>
        <w:t>»</w:t>
      </w:r>
      <w:r w:rsidRPr="0051523E">
        <w:rPr>
          <w:bCs/>
        </w:rPr>
        <w:t>.</w:t>
      </w:r>
    </w:p>
    <w:p w:rsidR="00E23368" w:rsidRPr="00E23368" w:rsidRDefault="00E23368" w:rsidP="00E23368">
      <w:pPr>
        <w:pStyle w:val="SingleTxt"/>
        <w:spacing w:after="0" w:line="120" w:lineRule="exact"/>
        <w:rPr>
          <w:b/>
          <w:sz w:val="10"/>
        </w:rPr>
      </w:pPr>
    </w:p>
    <w:p w:rsidR="00E23368" w:rsidRPr="00E23368" w:rsidRDefault="00E23368" w:rsidP="00E23368">
      <w:pPr>
        <w:pStyle w:val="SingleTxt"/>
        <w:spacing w:after="0" w:line="120" w:lineRule="exact"/>
        <w:rPr>
          <w:b/>
          <w:sz w:val="10"/>
        </w:rPr>
      </w:pPr>
    </w:p>
    <w:p w:rsidR="00E23368" w:rsidRPr="00E23368" w:rsidRDefault="00E23368" w:rsidP="00E233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3368">
        <w:tab/>
      </w:r>
      <w:r w:rsidRPr="00E23368">
        <w:rPr>
          <w:lang w:val="en-GB"/>
        </w:rPr>
        <w:t>II</w:t>
      </w:r>
      <w:r w:rsidRPr="00E23368">
        <w:t>.</w:t>
      </w:r>
      <w:r w:rsidRPr="00E23368">
        <w:tab/>
        <w:t>Обоснование</w:t>
      </w:r>
    </w:p>
    <w:p w:rsidR="00E23368" w:rsidRPr="00E23368" w:rsidRDefault="00E23368" w:rsidP="00E23368">
      <w:pPr>
        <w:pStyle w:val="SingleTxt"/>
        <w:spacing w:after="0" w:line="120" w:lineRule="exact"/>
        <w:rPr>
          <w:sz w:val="10"/>
        </w:rPr>
      </w:pPr>
    </w:p>
    <w:p w:rsidR="00E23368" w:rsidRPr="00E23368" w:rsidRDefault="00E23368" w:rsidP="00E23368">
      <w:pPr>
        <w:pStyle w:val="SingleTxt"/>
        <w:spacing w:after="0" w:line="120" w:lineRule="exact"/>
        <w:rPr>
          <w:sz w:val="10"/>
        </w:rPr>
      </w:pPr>
    </w:p>
    <w:p w:rsidR="00E23368" w:rsidRPr="00E23368" w:rsidRDefault="00E23368" w:rsidP="00E23368">
      <w:pPr>
        <w:pStyle w:val="SingleTxt"/>
      </w:pPr>
      <w:r w:rsidRPr="00E23368">
        <w:t>1.</w:t>
      </w:r>
      <w:r w:rsidRPr="00E23368">
        <w:tab/>
        <w:t>В настоящее время не совсем ясно, допускается ли на транспортных сре</w:t>
      </w:r>
      <w:r w:rsidRPr="00E23368">
        <w:t>д</w:t>
      </w:r>
      <w:r w:rsidRPr="00E23368">
        <w:t xml:space="preserve">ствах категории </w:t>
      </w:r>
      <w:r w:rsidRPr="00E23368">
        <w:rPr>
          <w:lang w:val="en-GB"/>
        </w:rPr>
        <w:t>L</w:t>
      </w:r>
      <w:r w:rsidRPr="00E23368">
        <w:t xml:space="preserve"> отключение или изменение режима работы антиблокировочной тормозной системы (АБС), если учесть, что на транспортных средствах других категорий эта функция явно не допускается. Это предложение имеет целью обе</w:t>
      </w:r>
      <w:r w:rsidRPr="00E23368">
        <w:t>с</w:t>
      </w:r>
      <w:r w:rsidRPr="00E23368">
        <w:t>печить последовательный подход ко всем автотранспортным средствам, осн</w:t>
      </w:r>
      <w:r w:rsidRPr="00E23368">
        <w:t>а</w:t>
      </w:r>
      <w:r w:rsidRPr="00E23368">
        <w:t>щенным антиблокировочными тормозными системами, в том числе к конкре</w:t>
      </w:r>
      <w:r w:rsidRPr="00E23368">
        <w:t>т</w:t>
      </w:r>
      <w:r w:rsidRPr="00E23368">
        <w:t>ным исключениям для некоторых внедорожных транспортных средств, включе</w:t>
      </w:r>
      <w:r w:rsidRPr="00E23368">
        <w:t>н</w:t>
      </w:r>
      <w:r w:rsidRPr="00E23368">
        <w:t>ных в Правила ООН № 13.</w:t>
      </w:r>
    </w:p>
    <w:p w:rsidR="00E23368" w:rsidRPr="00E23368" w:rsidRDefault="00E23368" w:rsidP="00E23368">
      <w:pPr>
        <w:pStyle w:val="SingleTxt"/>
      </w:pPr>
      <w:r w:rsidRPr="00E23368">
        <w:t>2.</w:t>
      </w:r>
      <w:r w:rsidRPr="00E23368">
        <w:tab/>
        <w:t>Данное предложение отнюдь не имеет целью предусмотреть обязательное использование АБС, однако оно дает возможность Договаривающимся сторонам, которые предусматривают в своем законодательстве обязательное использование АБС, более полно гарантировать достижение поставленных целей в области бе</w:t>
      </w:r>
      <w:r w:rsidRPr="00E23368">
        <w:t>з</w:t>
      </w:r>
      <w:r w:rsidRPr="00E23368">
        <w:t>опасности за счет устранения неясности в отношении преднамеренной или, во</w:t>
      </w:r>
      <w:r w:rsidRPr="00E23368">
        <w:t>з</w:t>
      </w:r>
      <w:r w:rsidRPr="00E23368">
        <w:t>можно, непреднамеренной дезактивации системы АБС.</w:t>
      </w:r>
    </w:p>
    <w:p w:rsidR="00E23368" w:rsidRPr="00E23368" w:rsidRDefault="00E23368" w:rsidP="00E23368">
      <w:pPr>
        <w:pStyle w:val="SingleTxt"/>
      </w:pPr>
      <w:r w:rsidRPr="00E23368">
        <w:t>3.</w:t>
      </w:r>
      <w:r w:rsidRPr="00E23368">
        <w:tab/>
        <w:t>В настоящее время признается, что включенная система АБС, установле</w:t>
      </w:r>
      <w:r w:rsidRPr="00E23368">
        <w:t>н</w:t>
      </w:r>
      <w:r w:rsidRPr="00E23368">
        <w:t>ная на том или ином транспортном средстве, предназначенном для вождения как на дорогах, так и по пересеченной местности, может явиться причиной возни</w:t>
      </w:r>
      <w:r w:rsidRPr="00E23368">
        <w:t>к</w:t>
      </w:r>
      <w:r w:rsidRPr="00E23368">
        <w:t>новения неблагоприятных последствий с точки зрения безопасности в том сл</w:t>
      </w:r>
      <w:r w:rsidRPr="00E23368">
        <w:t>у</w:t>
      </w:r>
      <w:r w:rsidRPr="00E23368">
        <w:t>чае, если она включена в некоторых очень конкретных условий вождения по бе</w:t>
      </w:r>
      <w:r w:rsidRPr="00E23368">
        <w:t>з</w:t>
      </w:r>
      <w:r w:rsidRPr="00E23368">
        <w:t>дорожью. Для того чтобы смягчить такие возможные последствия, водителю транспортного средства можно было бы дать возможность воспользоваться пер</w:t>
      </w:r>
      <w:r w:rsidRPr="00E23368">
        <w:t>е</w:t>
      </w:r>
      <w:r w:rsidRPr="00E23368">
        <w:t>ключателем для дезактивации системы АБС или перехода на более продуманный режим, который подходит для данных условий.</w:t>
      </w:r>
    </w:p>
    <w:p w:rsidR="00E23368" w:rsidRPr="00E23368" w:rsidRDefault="00E23368" w:rsidP="00E23368">
      <w:pPr>
        <w:pStyle w:val="SingleTxt"/>
      </w:pPr>
      <w:r w:rsidRPr="00E23368">
        <w:t>4.</w:t>
      </w:r>
      <w:r w:rsidRPr="00E23368">
        <w:tab/>
        <w:t xml:space="preserve">Условие </w:t>
      </w:r>
      <w:r w:rsidRPr="00E23368">
        <w:rPr>
          <w:lang w:val="en-GB"/>
        </w:rPr>
        <w:t>f</w:t>
      </w:r>
      <w:r w:rsidRPr="00E23368">
        <w:t>)</w:t>
      </w:r>
      <w:r w:rsidR="0051523E">
        <w:t xml:space="preserve"> –</w:t>
      </w:r>
      <w:r w:rsidRPr="00E23368">
        <w:t xml:space="preserve"> наличие бита, указывающего на дезактивацию антиблокир</w:t>
      </w:r>
      <w:r w:rsidRPr="00E23368">
        <w:t>о</w:t>
      </w:r>
      <w:r w:rsidRPr="00E23368">
        <w:t xml:space="preserve">вочной тормозной системы, </w:t>
      </w:r>
      <w:r w:rsidR="0051523E">
        <w:t>–</w:t>
      </w:r>
      <w:r w:rsidRPr="00E23368">
        <w:t xml:space="preserve"> считается весьма важным информационным эл</w:t>
      </w:r>
      <w:r w:rsidRPr="00E23368">
        <w:t>е</w:t>
      </w:r>
      <w:r w:rsidRPr="00E23368">
        <w:t>ментом в деле анализа послеаварийной ситуации или ДТП правоприменител</w:t>
      </w:r>
      <w:r w:rsidRPr="00E23368">
        <w:t>ь</w:t>
      </w:r>
      <w:r w:rsidRPr="00E23368">
        <w:t>ными органами. С учетом того факта, что дезактивация (активация) антиблок</w:t>
      </w:r>
      <w:r w:rsidRPr="00E23368">
        <w:t>и</w:t>
      </w:r>
      <w:r w:rsidRPr="00E23368">
        <w:t>ровочной тормозной системы зачастую производится посредством активации</w:t>
      </w:r>
      <w:r w:rsidR="0051523E">
        <w:t xml:space="preserve"> </w:t>
      </w:r>
      <w:r w:rsidRPr="00E23368">
        <w:t>(электронного) переключателя мгновенного действия или соответствующей п</w:t>
      </w:r>
      <w:r w:rsidRPr="00E23368">
        <w:t>о</w:t>
      </w:r>
      <w:r w:rsidRPr="00E23368">
        <w:t>зиции меню на бортовом компьютере, выяснить, была или не была включена а</w:t>
      </w:r>
      <w:r w:rsidRPr="00E23368">
        <w:t>н</w:t>
      </w:r>
      <w:r w:rsidRPr="00E23368">
        <w:t>тиблокировочная тормозная система, после аварии может оказаться невозмо</w:t>
      </w:r>
      <w:r w:rsidRPr="00E23368">
        <w:t>ж</w:t>
      </w:r>
      <w:r w:rsidRPr="00E23368">
        <w:lastRenderedPageBreak/>
        <w:t xml:space="preserve">ным. Бит, отображающий состояние, может иметь значение </w:t>
      </w:r>
      <w:r w:rsidR="0051523E">
        <w:t>«0»</w:t>
      </w:r>
      <w:r w:rsidRPr="00E23368">
        <w:t>, если антиблок</w:t>
      </w:r>
      <w:r w:rsidRPr="00E23368">
        <w:t>и</w:t>
      </w:r>
      <w:r w:rsidRPr="00E23368">
        <w:t xml:space="preserve">ровочная тормозная система была активирована, и </w:t>
      </w:r>
      <w:r w:rsidR="0051523E">
        <w:t>«</w:t>
      </w:r>
      <w:r w:rsidRPr="00E23368">
        <w:t>1</w:t>
      </w:r>
      <w:r w:rsidR="0051523E">
        <w:t>»</w:t>
      </w:r>
      <w:r w:rsidRPr="00E23368">
        <w:t>, если она была дезактив</w:t>
      </w:r>
      <w:r w:rsidRPr="00E23368">
        <w:t>и</w:t>
      </w:r>
      <w:r w:rsidRPr="00E23368">
        <w:t>рована за одну секунду или менее до аварии. Этот бит информации, отобража</w:t>
      </w:r>
      <w:r w:rsidRPr="00E23368">
        <w:t>ю</w:t>
      </w:r>
      <w:r w:rsidRPr="00E23368">
        <w:t>щий предшествующее состояние, может постоянно перезаписываться; в нестир</w:t>
      </w:r>
      <w:r w:rsidRPr="00E23368">
        <w:t>а</w:t>
      </w:r>
      <w:r w:rsidRPr="00E23368">
        <w:t>емой памяти бортового устройства транспортного средства хранится только п</w:t>
      </w:r>
      <w:r w:rsidRPr="00E23368">
        <w:t>о</w:t>
      </w:r>
      <w:r w:rsidRPr="00E23368">
        <w:t>следняя информация, указывающая на состояние системы</w:t>
      </w:r>
      <w:r w:rsidR="0051523E">
        <w:t xml:space="preserve"> </w:t>
      </w:r>
      <w:r w:rsidRPr="00E23368">
        <w:t>в течение всего врем</w:t>
      </w:r>
      <w:r w:rsidRPr="00E23368">
        <w:t>е</w:t>
      </w:r>
      <w:r w:rsidRPr="00E23368">
        <w:t>ни действия основного цикла, которая регистрируется с частотой один раз в с</w:t>
      </w:r>
      <w:r w:rsidRPr="00E23368">
        <w:t>е</w:t>
      </w:r>
      <w:r w:rsidRPr="00E23368">
        <w:t>кунду или менее до того, как двигатель заглох или был отключен или до обест</w:t>
      </w:r>
      <w:r w:rsidRPr="00E23368">
        <w:t>о</w:t>
      </w:r>
      <w:r w:rsidRPr="00E23368">
        <w:t>чивания системы. Этот бит информации дает ценную информацию для специ</w:t>
      </w:r>
      <w:r w:rsidRPr="00E23368">
        <w:t>а</w:t>
      </w:r>
      <w:r w:rsidRPr="00E23368">
        <w:t>листа, который изучает причины аварии, если на поверхности дороги нет вид</w:t>
      </w:r>
      <w:r w:rsidRPr="00E23368">
        <w:t>и</w:t>
      </w:r>
      <w:r w:rsidRPr="00E23368">
        <w:t>мых следов торможения. По просьбе, с которой правоприменительный орган, выясняющий причины аварии, может обратиться к органу, который сертифиц</w:t>
      </w:r>
      <w:r w:rsidRPr="00E23368">
        <w:t>и</w:t>
      </w:r>
      <w:r w:rsidRPr="00E23368">
        <w:t>ровал данное транспортное средство, можно будет получить соответствующие инструкции у изготовителя этого транспортного средства в максимально коро</w:t>
      </w:r>
      <w:r w:rsidRPr="00E23368">
        <w:t>т</w:t>
      </w:r>
      <w:r w:rsidRPr="00E23368">
        <w:t>кие сроки и бесплатно на предмет беспрепятственного считывания статуса бита информации, указывающей на отключение системы, который записан в источн</w:t>
      </w:r>
      <w:r w:rsidRPr="00E23368">
        <w:t>и</w:t>
      </w:r>
      <w:r w:rsidRPr="00E23368">
        <w:t>ке хранения бинарных данных.</w:t>
      </w:r>
    </w:p>
    <w:p w:rsidR="00510507" w:rsidRPr="0051523E" w:rsidRDefault="0051523E" w:rsidP="0051523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DF0D" wp14:editId="7066C0CC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510507" w:rsidRPr="0051523E" w:rsidSect="00510507">
      <w:headerReference w:type="default" r:id="rId16"/>
      <w:footerReference w:type="default" r:id="rId17"/>
      <w:footerReference w:type="first" r:id="rId18"/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6T11:23:00Z" w:initials="Start">
    <w:p w:rsidR="00510507" w:rsidRPr="00E23368" w:rsidRDefault="00510507">
      <w:pPr>
        <w:pStyle w:val="CommentText"/>
        <w:rPr>
          <w:lang w:val="en-US"/>
        </w:rPr>
      </w:pPr>
      <w:r>
        <w:fldChar w:fldCharType="begin"/>
      </w:r>
      <w:r w:rsidRPr="00E23368">
        <w:rPr>
          <w:rStyle w:val="CommentReference"/>
          <w:lang w:val="en-US"/>
        </w:rPr>
        <w:instrText xml:space="preserve"> </w:instrText>
      </w:r>
      <w:r w:rsidRPr="00E23368">
        <w:rPr>
          <w:lang w:val="en-US"/>
        </w:rPr>
        <w:instrText>PAGE \# "'Page: '#'</w:instrText>
      </w:r>
      <w:r w:rsidRPr="00E23368">
        <w:rPr>
          <w:lang w:val="en-US"/>
        </w:rPr>
        <w:br/>
        <w:instrText>'"</w:instrText>
      </w:r>
      <w:r w:rsidRPr="00E2336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23368">
        <w:rPr>
          <w:lang w:val="en-US"/>
        </w:rPr>
        <w:t>&lt;&lt;ODS JOB NO&gt;&gt;N1514796R&lt;&lt;ODS JOB NO&gt;&gt;</w:t>
      </w:r>
    </w:p>
    <w:p w:rsidR="00510507" w:rsidRDefault="00510507">
      <w:pPr>
        <w:pStyle w:val="CommentText"/>
      </w:pPr>
      <w:r>
        <w:t>&lt;&lt;ODS DOC SYMBOL1&gt;&gt;ECE/TRANS/WP.29/GRRF/2015/41&lt;&lt;ODS DOC SYMBOL1&gt;&gt;</w:t>
      </w:r>
    </w:p>
    <w:p w:rsidR="00510507" w:rsidRDefault="0051050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CD" w:rsidRDefault="00E818CD" w:rsidP="008A1A7A">
      <w:pPr>
        <w:spacing w:line="240" w:lineRule="auto"/>
      </w:pPr>
      <w:r>
        <w:separator/>
      </w:r>
    </w:p>
  </w:endnote>
  <w:endnote w:type="continuationSeparator" w:id="0">
    <w:p w:rsidR="00E818CD" w:rsidRDefault="00E818C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10507" w:rsidTr="0051050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10507" w:rsidRPr="00510507" w:rsidRDefault="00510507" w:rsidP="0051050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7BC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67BC0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10507" w:rsidRPr="00510507" w:rsidRDefault="00510507" w:rsidP="0051050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172E">
            <w:rPr>
              <w:b w:val="0"/>
              <w:color w:val="000000"/>
              <w:sz w:val="14"/>
            </w:rPr>
            <w:t>GE.15-11308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10507" w:rsidRPr="00510507" w:rsidRDefault="00510507" w:rsidP="00510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10507" w:rsidTr="0051050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10507" w:rsidRPr="00510507" w:rsidRDefault="00510507" w:rsidP="0051050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172E">
            <w:rPr>
              <w:b w:val="0"/>
              <w:color w:val="000000"/>
              <w:sz w:val="14"/>
            </w:rPr>
            <w:t>GE.15-11308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10507" w:rsidRPr="00510507" w:rsidRDefault="00510507" w:rsidP="0051050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172E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70172E">
              <w:rPr>
                <w:noProof/>
              </w:rPr>
              <w:t>4</w:t>
            </w:r>
          </w:fldSimple>
        </w:p>
      </w:tc>
    </w:tr>
  </w:tbl>
  <w:p w:rsidR="00510507" w:rsidRPr="00510507" w:rsidRDefault="00510507" w:rsidP="00510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10507" w:rsidTr="00510507">
      <w:tc>
        <w:tcPr>
          <w:tcW w:w="3873" w:type="dxa"/>
        </w:tcPr>
        <w:p w:rsidR="00510507" w:rsidRDefault="00510507" w:rsidP="0051050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6AEA6D4" wp14:editId="7542CB2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4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4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GE.15-11308 (R)</w:t>
          </w:r>
          <w:r>
            <w:rPr>
              <w:color w:val="010000"/>
            </w:rPr>
            <w:t xml:space="preserve">    160715    160715</w:t>
          </w:r>
        </w:p>
        <w:p w:rsidR="00510507" w:rsidRPr="00510507" w:rsidRDefault="00510507" w:rsidP="0051050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*1511308*</w:t>
          </w:r>
        </w:p>
      </w:tc>
      <w:tc>
        <w:tcPr>
          <w:tcW w:w="5127" w:type="dxa"/>
        </w:tcPr>
        <w:p w:rsidR="00510507" w:rsidRDefault="00510507" w:rsidP="0051050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E77D96E" wp14:editId="76DD110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0507" w:rsidRPr="00510507" w:rsidRDefault="00510507" w:rsidP="00510507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C2A74" w:rsidTr="00B942A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C2A74" w:rsidRPr="00510507" w:rsidRDefault="00463829" w:rsidP="00B942AF">
          <w:pPr>
            <w:pStyle w:val="Footer"/>
            <w:rPr>
              <w:color w:val="000000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172E">
            <w:rPr>
              <w:b w:val="0"/>
              <w:color w:val="000000"/>
              <w:sz w:val="14"/>
            </w:rPr>
            <w:t>GE.15-11308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C2A74" w:rsidRPr="00510507" w:rsidRDefault="00463829" w:rsidP="00B942A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7BC0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F67BC0">
              <w:rPr>
                <w:noProof/>
              </w:rPr>
              <w:t>3</w:t>
            </w:r>
          </w:fldSimple>
        </w:p>
      </w:tc>
    </w:tr>
  </w:tbl>
  <w:p w:rsidR="00E23368" w:rsidRPr="00084FBD" w:rsidRDefault="00E23368" w:rsidP="0039333D">
    <w:pPr>
      <w:pStyle w:val="Footer"/>
      <w:jc w:val="right"/>
      <w:rPr>
        <w:b w:val="0"/>
        <w:sz w:val="18"/>
        <w:szCs w:val="18"/>
        <w:lang w:val="fr-CH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8" w:rsidRPr="001D15B0" w:rsidRDefault="00E23368" w:rsidP="003D7D1B">
    <w:pPr>
      <w:pStyle w:val="Footer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5B5C078" wp14:editId="48A58F97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26123" cy="228600"/>
          <wp:effectExtent l="0" t="0" r="7620" b="0"/>
          <wp:wrapNone/>
          <wp:docPr id="9" name="Picture 9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23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GE.15-</w:t>
    </w:r>
    <w:r w:rsidRPr="003D7D1B">
      <w:rPr>
        <w:sz w:val="20"/>
      </w:rPr>
      <w:t>11308</w:t>
    </w:r>
    <w:r>
      <w:rPr>
        <w:sz w:val="20"/>
      </w:rPr>
      <w:t xml:space="preserve">  (E)</w:t>
    </w:r>
    <w:r>
      <w:rPr>
        <w:sz w:val="20"/>
      </w:rPr>
      <w:br/>
    </w:r>
    <w:r w:rsidRPr="003D7D1B">
      <w:rPr>
        <w:rFonts w:ascii="C39T30Lfz" w:hAnsi="C39T30Lfz"/>
        <w:sz w:val="56"/>
      </w:rPr>
      <w:t></w:t>
    </w:r>
    <w:r w:rsidRPr="003D7D1B">
      <w:rPr>
        <w:rFonts w:ascii="C39T30Lfz" w:hAnsi="C39T30Lfz"/>
        <w:sz w:val="56"/>
      </w:rPr>
      <w:t></w:t>
    </w:r>
    <w:r w:rsidRPr="003D7D1B">
      <w:rPr>
        <w:rFonts w:ascii="C39T30Lfz" w:hAnsi="C39T30Lfz"/>
        <w:sz w:val="56"/>
      </w:rPr>
      <w:t></w:t>
    </w:r>
    <w:r w:rsidRPr="003D7D1B">
      <w:rPr>
        <w:rFonts w:ascii="C39T30Lfz" w:hAnsi="C39T30Lfz"/>
        <w:sz w:val="56"/>
      </w:rPr>
      <w:t></w:t>
    </w:r>
    <w:r w:rsidRPr="003D7D1B">
      <w:rPr>
        <w:rFonts w:ascii="C39T30Lfz" w:hAnsi="C39T30Lfz"/>
        <w:sz w:val="56"/>
      </w:rPr>
      <w:t></w:t>
    </w:r>
    <w:r w:rsidRPr="003D7D1B">
      <w:rPr>
        <w:rFonts w:ascii="C39T30Lfz" w:hAnsi="C39T30Lfz"/>
        <w:sz w:val="56"/>
      </w:rPr>
      <w:t></w:t>
    </w:r>
    <w:r w:rsidRPr="003D7D1B">
      <w:rPr>
        <w:rFonts w:ascii="C39T30Lfz" w:hAnsi="C39T30Lfz"/>
        <w:sz w:val="56"/>
      </w:rPr>
      <w:t></w:t>
    </w:r>
    <w:r w:rsidRPr="003D7D1B">
      <w:rPr>
        <w:rFonts w:ascii="C39T30Lfz" w:hAnsi="C39T30Lfz"/>
        <w:sz w:val="56"/>
      </w:rPr>
      <w:t></w:t>
    </w:r>
    <w:r w:rsidRPr="003D7D1B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CD" w:rsidRPr="00E23368" w:rsidRDefault="00E23368" w:rsidP="00E23368">
      <w:pPr>
        <w:pStyle w:val="Footer"/>
        <w:spacing w:after="80"/>
        <w:ind w:left="792"/>
        <w:rPr>
          <w:sz w:val="16"/>
        </w:rPr>
      </w:pPr>
      <w:r w:rsidRPr="00E23368">
        <w:rPr>
          <w:sz w:val="16"/>
        </w:rPr>
        <w:t>__________________</w:t>
      </w:r>
    </w:p>
  </w:footnote>
  <w:footnote w:type="continuationSeparator" w:id="0">
    <w:p w:rsidR="00E818CD" w:rsidRPr="00E23368" w:rsidRDefault="00E23368" w:rsidP="00E23368">
      <w:pPr>
        <w:pStyle w:val="Footer"/>
        <w:spacing w:after="80"/>
        <w:ind w:left="792"/>
        <w:rPr>
          <w:sz w:val="16"/>
        </w:rPr>
      </w:pPr>
      <w:r w:rsidRPr="00E23368">
        <w:rPr>
          <w:sz w:val="16"/>
        </w:rPr>
        <w:t>__________________</w:t>
      </w:r>
    </w:p>
  </w:footnote>
  <w:footnote w:id="1">
    <w:p w:rsidR="00E23368" w:rsidRPr="00E23368" w:rsidRDefault="00E23368" w:rsidP="00E233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E23368">
        <w:t>*</w:t>
      </w:r>
      <w:r w:rsidRPr="00A02005">
        <w:rPr>
          <w:sz w:val="20"/>
        </w:rPr>
        <w:tab/>
      </w:r>
      <w:r w:rsidRPr="001E71BF"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>
        <w:t>2012−2016</w:t>
      </w:r>
      <w:r>
        <w:rPr>
          <w:lang w:val="en-US"/>
        </w:rPr>
        <w:t> </w:t>
      </w:r>
      <w:r w:rsidRPr="001E71BF">
        <w:t>годы (</w:t>
      </w:r>
      <w:r w:rsidRPr="00BB2B59">
        <w:t>ECE</w:t>
      </w:r>
      <w:r w:rsidRPr="001E71BF">
        <w:t>/</w:t>
      </w:r>
      <w:r w:rsidRPr="00BB2B59">
        <w:t>TRANS</w:t>
      </w:r>
      <w:r w:rsidRPr="001E71BF">
        <w:t xml:space="preserve">/224, пункт 94, и </w:t>
      </w:r>
      <w:r>
        <w:t>ECE</w:t>
      </w:r>
      <w:r w:rsidRPr="001E71BF">
        <w:t>/</w:t>
      </w:r>
      <w:r>
        <w:t>TRANS</w:t>
      </w:r>
      <w:r w:rsidRPr="001E71BF">
        <w:t>/2012/12, подпрограмма</w:t>
      </w:r>
      <w:r>
        <w:rPr>
          <w:lang w:val="en-US"/>
        </w:rPr>
        <w:t> </w:t>
      </w:r>
      <w:r w:rsidRPr="001E71BF">
        <w:t>02.4) Всемирный форум будет разрабатывать, согласовывать и</w:t>
      </w:r>
      <w:r>
        <w:rPr>
          <w:lang w:val="en-US"/>
        </w:rPr>
        <w:t> </w:t>
      </w:r>
      <w:r w:rsidRPr="001E71BF">
        <w:t xml:space="preserve">обновлять правила в целях улучшения характеристик транспортных средств. </w:t>
      </w:r>
      <w:r w:rsidRPr="00470028">
        <w:t>Н</w:t>
      </w:r>
      <w:r>
        <w:t>астоящий документ представлен в</w:t>
      </w:r>
      <w:r>
        <w:rPr>
          <w:lang w:val="en-US"/>
        </w:rPr>
        <w:t> </w:t>
      </w:r>
      <w:r w:rsidRPr="00470028">
        <w:t>соответствии с этим мандатом</w:t>
      </w:r>
      <w:r w:rsidRPr="00E2336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10507" w:rsidTr="0051050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0507" w:rsidRPr="00510507" w:rsidRDefault="00510507" w:rsidP="0051050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172E">
            <w:rPr>
              <w:b/>
            </w:rPr>
            <w:t>ECE/TRANS/WP.29/GRRF/2015/41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10507" w:rsidRDefault="00510507" w:rsidP="00510507">
          <w:pPr>
            <w:pStyle w:val="Header"/>
          </w:pPr>
        </w:p>
      </w:tc>
    </w:tr>
  </w:tbl>
  <w:p w:rsidR="00510507" w:rsidRPr="00510507" w:rsidRDefault="00510507" w:rsidP="00510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10507" w:rsidTr="0051050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0507" w:rsidRDefault="00510507" w:rsidP="0051050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10507" w:rsidRPr="00510507" w:rsidRDefault="00510507" w:rsidP="0051050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172E">
            <w:rPr>
              <w:b/>
            </w:rPr>
            <w:t>ECE/TRANS/WP.29/GRRF/2015/41</w:t>
          </w:r>
          <w:r>
            <w:rPr>
              <w:b/>
            </w:rPr>
            <w:fldChar w:fldCharType="end"/>
          </w:r>
        </w:p>
      </w:tc>
    </w:tr>
  </w:tbl>
  <w:p w:rsidR="00510507" w:rsidRPr="00510507" w:rsidRDefault="00510507" w:rsidP="00510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10507" w:rsidTr="0051050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10507" w:rsidRPr="00510507" w:rsidRDefault="00510507" w:rsidP="0051050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0507" w:rsidRDefault="00510507" w:rsidP="0051050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10507" w:rsidRPr="00510507" w:rsidRDefault="00510507" w:rsidP="0051050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/TRANS/WP.29/GRRF/2015/41</w:t>
          </w:r>
        </w:p>
      </w:tc>
    </w:tr>
    <w:tr w:rsidR="00510507" w:rsidRPr="00E23368" w:rsidTr="0051050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0507" w:rsidRPr="00510507" w:rsidRDefault="00510507" w:rsidP="0051050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B133114" wp14:editId="0A4EA8C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0507" w:rsidRPr="00510507" w:rsidRDefault="00510507" w:rsidP="0051050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0507" w:rsidRPr="00510507" w:rsidRDefault="00510507" w:rsidP="0051050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0507" w:rsidRPr="00E23368" w:rsidRDefault="00510507" w:rsidP="00510507">
          <w:pPr>
            <w:pStyle w:val="Distribution"/>
            <w:rPr>
              <w:color w:val="000000"/>
              <w:lang w:val="en-US"/>
            </w:rPr>
          </w:pPr>
          <w:r w:rsidRPr="00E23368">
            <w:rPr>
              <w:color w:val="000000"/>
              <w:lang w:val="en-US"/>
            </w:rPr>
            <w:t>Distr.: General</w:t>
          </w:r>
        </w:p>
        <w:p w:rsidR="00510507" w:rsidRPr="00E23368" w:rsidRDefault="00510507" w:rsidP="00510507">
          <w:pPr>
            <w:pStyle w:val="Publication"/>
            <w:rPr>
              <w:color w:val="000000"/>
              <w:lang w:val="en-US"/>
            </w:rPr>
          </w:pPr>
          <w:r w:rsidRPr="00E23368">
            <w:rPr>
              <w:color w:val="000000"/>
              <w:lang w:val="en-US"/>
            </w:rPr>
            <w:t>6 July 2015</w:t>
          </w:r>
        </w:p>
        <w:p w:rsidR="00510507" w:rsidRPr="00E23368" w:rsidRDefault="00510507" w:rsidP="00510507">
          <w:pPr>
            <w:rPr>
              <w:color w:val="000000"/>
              <w:lang w:val="en-US"/>
            </w:rPr>
          </w:pPr>
          <w:r w:rsidRPr="00E23368">
            <w:rPr>
              <w:color w:val="000000"/>
              <w:lang w:val="en-US"/>
            </w:rPr>
            <w:t>Russian</w:t>
          </w:r>
        </w:p>
        <w:p w:rsidR="00510507" w:rsidRPr="00E23368" w:rsidRDefault="00510507" w:rsidP="00510507">
          <w:pPr>
            <w:pStyle w:val="Original"/>
            <w:rPr>
              <w:color w:val="000000"/>
              <w:lang w:val="en-US"/>
            </w:rPr>
          </w:pPr>
          <w:r w:rsidRPr="00E23368">
            <w:rPr>
              <w:color w:val="000000"/>
              <w:lang w:val="en-US"/>
            </w:rPr>
            <w:t>Original: English</w:t>
          </w:r>
        </w:p>
        <w:p w:rsidR="00510507" w:rsidRPr="00E23368" w:rsidRDefault="00510507" w:rsidP="00510507">
          <w:pPr>
            <w:rPr>
              <w:lang w:val="en-US"/>
            </w:rPr>
          </w:pPr>
        </w:p>
      </w:tc>
    </w:tr>
  </w:tbl>
  <w:p w:rsidR="00510507" w:rsidRPr="00E23368" w:rsidRDefault="00510507" w:rsidP="00510507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C2A74" w:rsidTr="00B942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C2A74" w:rsidRPr="00510507" w:rsidRDefault="000C2A74" w:rsidP="00B942AF">
          <w:pPr>
            <w:pStyle w:val="Header"/>
            <w:spacing w:after="80"/>
            <w:rPr>
              <w:b/>
            </w:rPr>
          </w:pPr>
        </w:p>
      </w:tc>
      <w:tc>
        <w:tcPr>
          <w:tcW w:w="5127" w:type="dxa"/>
          <w:shd w:val="clear" w:color="auto" w:fill="auto"/>
          <w:vAlign w:val="bottom"/>
        </w:tcPr>
        <w:p w:rsidR="000C2A74" w:rsidRDefault="000C2A74" w:rsidP="000C2A74">
          <w:pPr>
            <w:pStyle w:val="Header"/>
            <w:spacing w:after="8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172E">
            <w:rPr>
              <w:b/>
            </w:rPr>
            <w:t>ECE/TRANS/WP.29/GRRF/2015/41</w:t>
          </w:r>
          <w:r>
            <w:rPr>
              <w:b/>
            </w:rPr>
            <w:fldChar w:fldCharType="end"/>
          </w:r>
        </w:p>
      </w:tc>
    </w:tr>
  </w:tbl>
  <w:p w:rsidR="000C2A74" w:rsidRPr="000C2A74" w:rsidRDefault="000C2A74" w:rsidP="000C2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308*"/>
    <w:docVar w:name="CreationDt" w:val="7/16/2015 11:23 AM"/>
    <w:docVar w:name="DocCategory" w:val="Doc"/>
    <w:docVar w:name="DocType" w:val="Final"/>
    <w:docVar w:name="DutyStation" w:val="Geneva"/>
    <w:docVar w:name="FooterJN" w:val="GE.15-11308"/>
    <w:docVar w:name="jobn" w:val="GE.15-11308 (R)"/>
    <w:docVar w:name="jobnDT" w:val="GE.15-11308 (R)   160715"/>
    <w:docVar w:name="jobnDTDT" w:val="GE.15-11308 (R)   160715   160715"/>
    <w:docVar w:name="JobNo" w:val="GE.1511308R"/>
    <w:docVar w:name="JobNo2" w:val="1514796R"/>
    <w:docVar w:name="LocalDrive" w:val="0"/>
    <w:docVar w:name="OandT" w:val="ES"/>
    <w:docVar w:name="PaperSize" w:val="A4"/>
    <w:docVar w:name="sss1" w:val="ECE/TRANS/WP.29/GRRF/2015/41"/>
    <w:docVar w:name="sss2" w:val="-"/>
    <w:docVar w:name="Symbol1" w:val="ECE/TRANS/WP.29/GRRF/2015/41"/>
    <w:docVar w:name="Symbol2" w:val="-"/>
  </w:docVars>
  <w:rsids>
    <w:rsidRoot w:val="00E818CD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8186B"/>
    <w:rsid w:val="00092464"/>
    <w:rsid w:val="000A111E"/>
    <w:rsid w:val="000A4A11"/>
    <w:rsid w:val="000C069D"/>
    <w:rsid w:val="000C2A74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17305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2D5A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32778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266E"/>
    <w:rsid w:val="002F5C45"/>
    <w:rsid w:val="002F6149"/>
    <w:rsid w:val="003037BB"/>
    <w:rsid w:val="00303B5C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333D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3829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0507"/>
    <w:rsid w:val="00511EAC"/>
    <w:rsid w:val="005121DC"/>
    <w:rsid w:val="00513113"/>
    <w:rsid w:val="0051523E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172E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026A6"/>
    <w:rsid w:val="00A1426A"/>
    <w:rsid w:val="00A14F1D"/>
    <w:rsid w:val="00A1503E"/>
    <w:rsid w:val="00A1703F"/>
    <w:rsid w:val="00A2180A"/>
    <w:rsid w:val="00A22293"/>
    <w:rsid w:val="00A344D5"/>
    <w:rsid w:val="00A44691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3C3C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368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18CD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67BC0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5FEE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2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1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5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50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0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C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2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1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5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50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0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C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34C5-C330-4099-95EF-107A400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Benedicte Boudol</cp:lastModifiedBy>
  <cp:revision>2</cp:revision>
  <cp:lastPrinted>2015-07-16T10:22:00Z</cp:lastPrinted>
  <dcterms:created xsi:type="dcterms:W3CDTF">2015-08-04T10:12:00Z</dcterms:created>
  <dcterms:modified xsi:type="dcterms:W3CDTF">2015-08-04T10:12:00Z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1511308R</vt:lpwstr>
  </property>
  <property fmtid="{D5CDD505-2E9C-101B-9397-08002B2CF9AE}" pid="3" name="ODSRefJobNo">
    <vt:lpwstr>1514796R</vt:lpwstr>
  </property>
  <property fmtid="{D5CDD505-2E9C-101B-9397-08002B2CF9AE}" pid="4" name="Symbol1">
    <vt:lpwstr>ECE/TRANS/WP.29/GRRF/2015/41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16 July 2015</vt:lpwstr>
  </property>
  <property fmtid="{D5CDD505-2E9C-101B-9397-08002B2CF9AE}" pid="12" name="Original">
    <vt:lpwstr>English</vt:lpwstr>
  </property>
  <property fmtid="{D5CDD505-2E9C-101B-9397-08002B2CF9AE}" pid="13" name="Release Date">
    <vt:lpwstr>160715</vt:lpwstr>
  </property>
</Properties>
</file>