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67" w:rsidRPr="005E1C9F" w:rsidRDefault="00B87267" w:rsidP="00B87267">
      <w:pPr>
        <w:spacing w:line="240" w:lineRule="auto"/>
        <w:rPr>
          <w:sz w:val="2"/>
          <w:lang w:val="fr-CH"/>
        </w:rPr>
        <w:sectPr w:rsidR="00B87267" w:rsidRPr="005E1C9F" w:rsidSect="00B872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 w:rsidRPr="005E1C9F">
        <w:rPr>
          <w:rStyle w:val="CommentReference"/>
          <w:lang w:val="fr-CH"/>
        </w:rPr>
        <w:commentReference w:id="0"/>
      </w:r>
      <w:bookmarkStart w:id="1" w:name="_GoBack"/>
      <w:bookmarkEnd w:id="1"/>
    </w:p>
    <w:p w:rsidR="00B87267" w:rsidRPr="005E1C9F" w:rsidRDefault="00B87267" w:rsidP="00B0468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lastRenderedPageBreak/>
        <w:t>Commission économique pour l’Europe</w:t>
      </w:r>
    </w:p>
    <w:p w:rsidR="00B04686" w:rsidRPr="005E1C9F" w:rsidRDefault="00B04686" w:rsidP="00B04686">
      <w:pPr>
        <w:pStyle w:val="H1"/>
        <w:spacing w:line="120" w:lineRule="exact"/>
        <w:rPr>
          <w:b w:val="0"/>
          <w:sz w:val="10"/>
          <w:lang w:val="fr-CH"/>
        </w:rPr>
      </w:pPr>
    </w:p>
    <w:p w:rsidR="00B87267" w:rsidRPr="005E1C9F" w:rsidRDefault="00B87267" w:rsidP="00B0468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5E1C9F">
        <w:rPr>
          <w:b w:val="0"/>
          <w:bCs/>
          <w:lang w:val="fr-CH"/>
        </w:rPr>
        <w:t>Comité des transports intérieurs</w:t>
      </w:r>
    </w:p>
    <w:p w:rsidR="00B04686" w:rsidRPr="005E1C9F" w:rsidRDefault="00B04686" w:rsidP="00B04686">
      <w:pPr>
        <w:spacing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t xml:space="preserve">Forum mondial de l’harmonisation </w:t>
      </w:r>
      <w:r w:rsidRPr="005E1C9F">
        <w:rPr>
          <w:lang w:val="fr-CH"/>
        </w:rPr>
        <w:br/>
        <w:t>des Règlements concernant les véhicules</w:t>
      </w:r>
    </w:p>
    <w:p w:rsidR="00B04686" w:rsidRPr="005E1C9F" w:rsidRDefault="00B04686" w:rsidP="00B0468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t>Groupe de travail des dispositions générales de sécurité</w:t>
      </w:r>
    </w:p>
    <w:p w:rsidR="00B04686" w:rsidRPr="005E1C9F" w:rsidRDefault="00B04686" w:rsidP="00B0468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t>109</w:t>
      </w:r>
      <w:r w:rsidRPr="005E1C9F">
        <w:rPr>
          <w:vertAlign w:val="superscript"/>
          <w:lang w:val="fr-CH"/>
        </w:rPr>
        <w:t>e</w:t>
      </w:r>
      <w:r w:rsidRPr="005E1C9F">
        <w:rPr>
          <w:lang w:val="fr-CH"/>
        </w:rPr>
        <w:t> session</w:t>
      </w:r>
    </w:p>
    <w:p w:rsidR="00B04686" w:rsidRPr="005E1C9F" w:rsidRDefault="00B04686" w:rsidP="00B0468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t>Genève, 29 septembre-2 octobre 2015</w:t>
      </w:r>
    </w:p>
    <w:p w:rsidR="00B04686" w:rsidRPr="005E1C9F" w:rsidRDefault="00B04686" w:rsidP="00B0468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t>Point 3 de l’ordre du jour provisoire</w:t>
      </w:r>
    </w:p>
    <w:p w:rsidR="00B04686" w:rsidRPr="005E1C9F" w:rsidRDefault="00B04686" w:rsidP="00B0468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5E1C9F">
        <w:rPr>
          <w:lang w:val="fr-CH"/>
        </w:rPr>
        <w:t>Règlement n</w:t>
      </w:r>
      <w:r w:rsidRPr="005E1C9F">
        <w:rPr>
          <w:vertAlign w:val="superscript"/>
          <w:lang w:val="fr-CH"/>
        </w:rPr>
        <w:t>o</w:t>
      </w:r>
      <w:r w:rsidRPr="005E1C9F">
        <w:rPr>
          <w:lang w:val="fr-CH"/>
        </w:rPr>
        <w:t> 34 (Prévention des risques d’incendie)</w:t>
      </w:r>
    </w:p>
    <w:p w:rsidR="00B04686" w:rsidRPr="005E1C9F" w:rsidRDefault="00B04686" w:rsidP="00B04686">
      <w:pPr>
        <w:spacing w:line="120" w:lineRule="exact"/>
        <w:rPr>
          <w:sz w:val="10"/>
          <w:lang w:val="fr-CH"/>
        </w:rPr>
      </w:pPr>
    </w:p>
    <w:p w:rsidR="00B04686" w:rsidRPr="005E1C9F" w:rsidRDefault="00B04686" w:rsidP="00B04686">
      <w:pPr>
        <w:spacing w:line="120" w:lineRule="exact"/>
        <w:rPr>
          <w:sz w:val="10"/>
          <w:lang w:val="fr-CH"/>
        </w:rPr>
      </w:pPr>
    </w:p>
    <w:p w:rsidR="00B04686" w:rsidRPr="005E1C9F" w:rsidRDefault="00B04686" w:rsidP="00B04686">
      <w:pPr>
        <w:spacing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5E1C9F">
        <w:rPr>
          <w:lang w:val="fr-CH"/>
        </w:rPr>
        <w:tab/>
      </w:r>
      <w:r w:rsidRPr="005E1C9F">
        <w:rPr>
          <w:lang w:val="fr-CH"/>
        </w:rPr>
        <w:tab/>
        <w:t>Proposition d’amendements au Règlement n</w:t>
      </w:r>
      <w:r w:rsidRPr="005E1C9F">
        <w:rPr>
          <w:vertAlign w:val="superscript"/>
          <w:lang w:val="fr-CH"/>
        </w:rPr>
        <w:t>o</w:t>
      </w:r>
      <w:r w:rsidRPr="005E1C9F">
        <w:rPr>
          <w:lang w:val="fr-CH"/>
        </w:rPr>
        <w:t xml:space="preserve"> 34 </w:t>
      </w:r>
      <w:r w:rsidRPr="005E1C9F">
        <w:rPr>
          <w:lang w:val="fr-CH"/>
        </w:rPr>
        <w:br/>
        <w:t>(Prévention des risques d’incendie)</w:t>
      </w:r>
      <w:bookmarkStart w:id="2" w:name="TmpSave"/>
      <w:bookmarkEnd w:id="2"/>
    </w:p>
    <w:p w:rsidR="00B04686" w:rsidRPr="005E1C9F" w:rsidRDefault="00B04686" w:rsidP="00B04686">
      <w:pPr>
        <w:pStyle w:val="SingleTxt"/>
        <w:spacing w:after="0"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SingleTxt"/>
        <w:spacing w:after="0"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Cs w:val="20"/>
          <w:vertAlign w:val="superscript"/>
          <w:lang w:val="fr-CH"/>
        </w:rPr>
      </w:pPr>
      <w:r w:rsidRPr="005E1C9F">
        <w:rPr>
          <w:lang w:val="fr-CH"/>
        </w:rPr>
        <w:tab/>
      </w:r>
      <w:r w:rsidRPr="005E1C9F">
        <w:rPr>
          <w:lang w:val="fr-CH"/>
        </w:rPr>
        <w:tab/>
        <w:t>Communication de l’expert de l’Inde</w:t>
      </w:r>
      <w:r w:rsidRPr="005E1C9F">
        <w:rPr>
          <w:rStyle w:val="FootnoteReference"/>
          <w:b w:val="0"/>
          <w:bCs/>
          <w:color w:val="auto"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B04686" w:rsidRPr="005E1C9F" w:rsidRDefault="00B04686" w:rsidP="00B04686">
      <w:pPr>
        <w:pStyle w:val="SingleTxt"/>
        <w:spacing w:after="0"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SingleTxt"/>
        <w:spacing w:after="0" w:line="120" w:lineRule="exact"/>
        <w:rPr>
          <w:sz w:val="10"/>
          <w:lang w:val="fr-CH"/>
        </w:rPr>
      </w:pPr>
    </w:p>
    <w:p w:rsidR="00B04686" w:rsidRPr="005E1C9F" w:rsidRDefault="00B04686" w:rsidP="00B04686">
      <w:pPr>
        <w:pStyle w:val="SingleTxt"/>
        <w:rPr>
          <w:lang w:val="fr-CH"/>
        </w:rPr>
      </w:pPr>
      <w:r w:rsidRPr="005E1C9F">
        <w:rPr>
          <w:lang w:val="fr-CH"/>
        </w:rPr>
        <w:tab/>
        <w:t>Le texte ci-après, établi par l’expert de l’Inde, propose d’harmoniser le champ d’application du Règlement n</w:t>
      </w:r>
      <w:r w:rsidRPr="005E1C9F">
        <w:rPr>
          <w:vertAlign w:val="superscript"/>
          <w:lang w:val="fr-CH"/>
        </w:rPr>
        <w:t>o</w:t>
      </w:r>
      <w:r w:rsidRPr="005E1C9F">
        <w:rPr>
          <w:lang w:val="fr-CH"/>
        </w:rPr>
        <w:t> 34 et de réduire la limite fixée pour la masse totale autorisée de 2,8 t à 2,5 t. Il est fondé sur le document informel GRSG 108-41, qui a été distribué à la 108</w:t>
      </w:r>
      <w:r w:rsidRPr="005E1C9F">
        <w:rPr>
          <w:vertAlign w:val="superscript"/>
          <w:lang w:val="fr-CH"/>
        </w:rPr>
        <w:t>e</w:t>
      </w:r>
      <w:r w:rsidRPr="005E1C9F">
        <w:rPr>
          <w:lang w:val="fr-CH"/>
        </w:rPr>
        <w:t> session du Groupe de travail des dispositions générales de sécurité (GRSG) (voir le rapport ECE/TRANS/WP.29/GRSG/87, par. 65). Les modifications qu’il est proposé d’apporter au texte actuel du Règlement n</w:t>
      </w:r>
      <w:r w:rsidRPr="005E1C9F">
        <w:rPr>
          <w:vertAlign w:val="superscript"/>
          <w:lang w:val="fr-CH"/>
        </w:rPr>
        <w:t>o</w:t>
      </w:r>
      <w:r w:rsidRPr="005E1C9F">
        <w:rPr>
          <w:lang w:val="fr-CH"/>
        </w:rPr>
        <w:t xml:space="preserve"> 34 sont signalées en caractères gras pour les ajouts ou biffés pour les suppressions. </w:t>
      </w:r>
    </w:p>
    <w:p w:rsidR="00B04686" w:rsidRPr="005E1C9F" w:rsidRDefault="00B04686" w:rsidP="005E1C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5E1C9F">
        <w:rPr>
          <w:sz w:val="20"/>
          <w:lang w:val="fr-CH"/>
        </w:rPr>
        <w:br w:type="page"/>
      </w:r>
      <w:r w:rsidR="005E1C9F" w:rsidRPr="005E1C9F">
        <w:rPr>
          <w:sz w:val="20"/>
          <w:lang w:val="fr-CH"/>
        </w:rPr>
        <w:lastRenderedPageBreak/>
        <w:tab/>
      </w:r>
      <w:r w:rsidRPr="005E1C9F">
        <w:rPr>
          <w:lang w:val="fr-CH"/>
        </w:rPr>
        <w:t>I.</w:t>
      </w:r>
      <w:r w:rsidRPr="005E1C9F">
        <w:rPr>
          <w:lang w:val="fr-CH"/>
        </w:rPr>
        <w:tab/>
        <w:t>Proposition</w:t>
      </w:r>
    </w:p>
    <w:p w:rsidR="005E1C9F" w:rsidRPr="005E1C9F" w:rsidRDefault="005E1C9F" w:rsidP="005E1C9F">
      <w:pPr>
        <w:pStyle w:val="SingleTxt"/>
        <w:spacing w:after="0" w:line="120" w:lineRule="exact"/>
        <w:rPr>
          <w:i/>
          <w:sz w:val="10"/>
          <w:lang w:val="fr-CH" w:eastAsia="ja-JP"/>
        </w:rPr>
      </w:pPr>
    </w:p>
    <w:p w:rsidR="005E1C9F" w:rsidRPr="005E1C9F" w:rsidRDefault="005E1C9F" w:rsidP="005E1C9F">
      <w:pPr>
        <w:pStyle w:val="SingleTxt"/>
        <w:spacing w:after="0" w:line="120" w:lineRule="exact"/>
        <w:rPr>
          <w:i/>
          <w:sz w:val="10"/>
          <w:lang w:val="fr-CH" w:eastAsia="ja-JP"/>
        </w:rPr>
      </w:pPr>
    </w:p>
    <w:p w:rsidR="00B04686" w:rsidRPr="005E1C9F" w:rsidRDefault="00B04686" w:rsidP="005E1C9F">
      <w:pPr>
        <w:pStyle w:val="SingleTxt"/>
        <w:rPr>
          <w:sz w:val="24"/>
          <w:lang w:val="fr-CH" w:eastAsia="ar-SA"/>
        </w:rPr>
      </w:pPr>
      <w:r w:rsidRPr="005E1C9F">
        <w:rPr>
          <w:i/>
          <w:lang w:val="fr-CH" w:eastAsia="ja-JP"/>
        </w:rPr>
        <w:t>Paragraphe 1.2</w:t>
      </w:r>
      <w:r w:rsidRPr="005E1C9F">
        <w:rPr>
          <w:iCs/>
          <w:lang w:val="fr-CH" w:eastAsia="ja-JP"/>
        </w:rPr>
        <w:t>,</w:t>
      </w:r>
      <w:r w:rsidRPr="005E1C9F">
        <w:rPr>
          <w:lang w:val="fr-CH" w:eastAsia="ar-SA"/>
        </w:rPr>
        <w:t xml:space="preserve"> modifier comme suit</w:t>
      </w:r>
      <w:r w:rsidR="005E1C9F" w:rsidRPr="005E1C9F">
        <w:rPr>
          <w:lang w:val="fr-CH" w:eastAsia="ar-SA"/>
        </w:rPr>
        <w:t> </w:t>
      </w:r>
      <w:r w:rsidRPr="005E1C9F">
        <w:rPr>
          <w:lang w:val="fr-CH" w:eastAsia="ar-SA"/>
        </w:rPr>
        <w:t>:</w:t>
      </w:r>
    </w:p>
    <w:p w:rsidR="00B04686" w:rsidRPr="005E1C9F" w:rsidRDefault="005E1C9F" w:rsidP="005E1C9F">
      <w:pPr>
        <w:pStyle w:val="SingleTxt"/>
        <w:ind w:left="2218" w:hanging="951"/>
        <w:rPr>
          <w:lang w:val="fr-CH" w:eastAsia="ar-SA"/>
        </w:rPr>
      </w:pPr>
      <w:r>
        <w:rPr>
          <w:lang w:val="fr-CH" w:eastAsia="ar-SA"/>
        </w:rPr>
        <w:t>« </w:t>
      </w:r>
      <w:r w:rsidR="00B04686" w:rsidRPr="005E1C9F">
        <w:rPr>
          <w:lang w:val="fr-CH" w:eastAsia="ar-SA"/>
        </w:rPr>
        <w:t>1.2</w:t>
      </w:r>
      <w:r>
        <w:rPr>
          <w:lang w:val="fr-CH" w:eastAsia="ar-SA"/>
        </w:rPr>
        <w:tab/>
      </w:r>
      <w:r w:rsidR="00B04686" w:rsidRPr="005E1C9F">
        <w:rPr>
          <w:lang w:val="fr-CH" w:eastAsia="ar-SA"/>
        </w:rPr>
        <w:tab/>
        <w:t>Partie II-1</w:t>
      </w:r>
      <w:r>
        <w:rPr>
          <w:lang w:val="fr-CH" w:eastAsia="ar-SA"/>
        </w:rPr>
        <w:t> </w:t>
      </w:r>
      <w:r w:rsidR="00B04686" w:rsidRPr="005E1C9F">
        <w:rPr>
          <w:lang w:val="fr-CH" w:eastAsia="ar-SA"/>
        </w:rPr>
        <w:t>: L’homologation, à la demande du constructeur, des véhicules de catégories M, N et O, équipés d’un ou de plusieurs réservoir(s) à carburant liquide, qui ont été homologués conformément à la partie I ou IV du présent Règlement en ce qui concerne la prévention des risques d’incendie en cas de choc frontal et/ou latéral, ainsi que des véhicules des catégories M</w:t>
      </w:r>
      <w:r w:rsidR="00B04686" w:rsidRPr="005E1C9F">
        <w:rPr>
          <w:vertAlign w:val="subscript"/>
          <w:lang w:val="fr-CH" w:eastAsia="ar-SA"/>
        </w:rPr>
        <w:t>1</w:t>
      </w:r>
      <w:r w:rsidR="00B04686" w:rsidRPr="005E1C9F">
        <w:rPr>
          <w:lang w:val="fr-CH" w:eastAsia="ar-SA"/>
        </w:rPr>
        <w:t xml:space="preserve"> et N</w:t>
      </w:r>
      <w:r w:rsidR="00B04686" w:rsidRPr="005E1C9F">
        <w:rPr>
          <w:vertAlign w:val="subscript"/>
          <w:lang w:val="fr-CH" w:eastAsia="ar-SA"/>
        </w:rPr>
        <w:t>1</w:t>
      </w:r>
      <w:r w:rsidR="00B04686" w:rsidRPr="005E1C9F">
        <w:rPr>
          <w:lang w:val="fr-CH" w:eastAsia="ar-SA"/>
        </w:rPr>
        <w:t xml:space="preserve"> dont la masse maximale autorisée est supérieure à </w:t>
      </w:r>
      <w:r w:rsidR="00B04686" w:rsidRPr="005E1C9F">
        <w:rPr>
          <w:strike/>
          <w:lang w:val="fr-CH" w:eastAsia="ar-SA"/>
        </w:rPr>
        <w:t>2,8</w:t>
      </w:r>
      <w:r w:rsidR="00B04686" w:rsidRPr="005E1C9F">
        <w:rPr>
          <w:lang w:val="fr-CH" w:eastAsia="ar-SA"/>
        </w:rPr>
        <w:t xml:space="preserve"> </w:t>
      </w:r>
      <w:r>
        <w:rPr>
          <w:b/>
          <w:lang w:val="fr-CH" w:eastAsia="ar-SA"/>
        </w:rPr>
        <w:t>2,</w:t>
      </w:r>
      <w:r w:rsidR="00B04686" w:rsidRPr="005E1C9F">
        <w:rPr>
          <w:b/>
          <w:lang w:val="fr-CH" w:eastAsia="ar-SA"/>
        </w:rPr>
        <w:t>5</w:t>
      </w:r>
      <w:r>
        <w:rPr>
          <w:lang w:val="fr-CH" w:eastAsia="ar-SA"/>
        </w:rPr>
        <w:t> </w:t>
      </w:r>
      <w:r w:rsidR="00B04686" w:rsidRPr="005E1C9F">
        <w:rPr>
          <w:lang w:val="fr-CH" w:eastAsia="ar-SA"/>
        </w:rPr>
        <w:t>t et des véhicules des catégories M</w:t>
      </w:r>
      <w:r w:rsidR="00B04686" w:rsidRPr="005E1C9F">
        <w:rPr>
          <w:vertAlign w:val="subscript"/>
          <w:lang w:val="fr-CH" w:eastAsia="ar-SA"/>
        </w:rPr>
        <w:t>2</w:t>
      </w:r>
      <w:r w:rsidR="00B04686" w:rsidRPr="005E1C9F">
        <w:rPr>
          <w:lang w:val="fr-CH" w:eastAsia="ar-SA"/>
        </w:rPr>
        <w:t>, M</w:t>
      </w:r>
      <w:r w:rsidR="00B04686" w:rsidRPr="005E1C9F">
        <w:rPr>
          <w:vertAlign w:val="subscript"/>
          <w:lang w:val="fr-CH" w:eastAsia="ar-SA"/>
        </w:rPr>
        <w:t>3</w:t>
      </w:r>
      <w:r w:rsidR="00B04686" w:rsidRPr="005E1C9F">
        <w:rPr>
          <w:lang w:val="fr-CH" w:eastAsia="ar-SA"/>
        </w:rPr>
        <w:t>, N</w:t>
      </w:r>
      <w:r w:rsidR="00B04686" w:rsidRPr="005E1C9F">
        <w:rPr>
          <w:vertAlign w:val="subscript"/>
          <w:lang w:val="fr-CH" w:eastAsia="ar-SA"/>
        </w:rPr>
        <w:t>2</w:t>
      </w:r>
      <w:r w:rsidR="00B04686" w:rsidRPr="005E1C9F">
        <w:rPr>
          <w:lang w:val="fr-CH" w:eastAsia="ar-SA"/>
        </w:rPr>
        <w:t>, N</w:t>
      </w:r>
      <w:r w:rsidR="00B04686" w:rsidRPr="005E1C9F">
        <w:rPr>
          <w:vertAlign w:val="subscript"/>
          <w:lang w:val="fr-CH" w:eastAsia="ar-SA"/>
        </w:rPr>
        <w:t>3</w:t>
      </w:r>
      <w:r w:rsidR="00B04686" w:rsidRPr="005E1C9F">
        <w:rPr>
          <w:lang w:val="fr-CH" w:eastAsia="ar-SA"/>
        </w:rPr>
        <w:t xml:space="preserve"> et O équipés d’un ou de plusieurs réservoir(s) à carburant liquide, qui ont été homologués conformément à la partie I ou IV du présent Règlement en ce qui concerne la prévention des risques d’incendie en cas de choc arrière. </w:t>
      </w:r>
    </w:p>
    <w:p w:rsidR="00B04686" w:rsidRDefault="005E1C9F" w:rsidP="005E1C9F">
      <w:pPr>
        <w:pStyle w:val="SingleTxt"/>
        <w:ind w:left="2218" w:hanging="951"/>
        <w:rPr>
          <w:lang w:val="fr-CH" w:eastAsia="ar-SA"/>
        </w:rPr>
      </w:pPr>
      <w:r>
        <w:rPr>
          <w:lang w:val="fr-CH" w:eastAsia="ar-SA"/>
        </w:rPr>
        <w:tab/>
      </w:r>
      <w:r w:rsidR="00B04686" w:rsidRPr="005E1C9F">
        <w:rPr>
          <w:lang w:val="fr-CH" w:eastAsia="ar-SA"/>
        </w:rPr>
        <w:tab/>
        <w:t>Partie II-2</w:t>
      </w:r>
      <w:r>
        <w:rPr>
          <w:lang w:val="fr-CH" w:eastAsia="ar-SA"/>
        </w:rPr>
        <w:t> </w:t>
      </w:r>
      <w:r w:rsidR="00B04686" w:rsidRPr="005E1C9F">
        <w:rPr>
          <w:lang w:val="fr-CH" w:eastAsia="ar-SA"/>
        </w:rPr>
        <w:t>: L’homologation des véhicules des catégories M</w:t>
      </w:r>
      <w:r w:rsidR="00B04686" w:rsidRPr="005E1C9F">
        <w:rPr>
          <w:vertAlign w:val="subscript"/>
          <w:lang w:val="fr-CH" w:eastAsia="ar-SA"/>
        </w:rPr>
        <w:t>1</w:t>
      </w:r>
      <w:r w:rsidR="00B04686" w:rsidRPr="005E1C9F">
        <w:rPr>
          <w:lang w:val="fr-CH" w:eastAsia="ar-SA"/>
        </w:rPr>
        <w:t xml:space="preserve"> et N</w:t>
      </w:r>
      <w:r w:rsidR="00B04686" w:rsidRPr="005E1C9F">
        <w:rPr>
          <w:vertAlign w:val="subscript"/>
          <w:lang w:val="fr-CH" w:eastAsia="ar-SA"/>
        </w:rPr>
        <w:t>1</w:t>
      </w:r>
      <w:r w:rsidR="00B04686" w:rsidRPr="00153BE4">
        <w:rPr>
          <w:lang w:val="fr-CH" w:eastAsia="ar-SA"/>
        </w:rPr>
        <w:t xml:space="preserve"> </w:t>
      </w:r>
      <w:r w:rsidR="00B04686" w:rsidRPr="005E1C9F">
        <w:rPr>
          <w:lang w:val="fr-CH" w:eastAsia="ar-SA"/>
        </w:rPr>
        <w:t xml:space="preserve">dont la masse maximale autorisée ne dépasse pas </w:t>
      </w:r>
      <w:r w:rsidR="00B04686" w:rsidRPr="005E1C9F">
        <w:rPr>
          <w:strike/>
          <w:lang w:val="fr-CH" w:eastAsia="ar-SA"/>
        </w:rPr>
        <w:t>2,8</w:t>
      </w:r>
      <w:r w:rsidR="00B04686" w:rsidRPr="005E1C9F">
        <w:rPr>
          <w:lang w:val="fr-CH" w:eastAsia="ar-SA"/>
        </w:rPr>
        <w:t xml:space="preserve"> </w:t>
      </w:r>
      <w:r w:rsidR="00B04686" w:rsidRPr="005E1C9F">
        <w:rPr>
          <w:b/>
          <w:lang w:val="fr-CH" w:eastAsia="ar-SA"/>
        </w:rPr>
        <w:t>2,5</w:t>
      </w:r>
      <w:r>
        <w:rPr>
          <w:lang w:val="fr-CH" w:eastAsia="ar-SA"/>
        </w:rPr>
        <w:t> </w:t>
      </w:r>
      <w:r w:rsidR="00B04686" w:rsidRPr="005E1C9F">
        <w:rPr>
          <w:lang w:val="fr-CH" w:eastAsia="ar-SA"/>
        </w:rPr>
        <w:t>t et qui sont équipés d’un ou de plusieurs réservoir(s) à carburant liquide et homologués conformément à la partie I ou IV du présent Règlement en ce qui concerne la prévention des risques d’incendie en cas de choc arrière.</w:t>
      </w:r>
      <w:r>
        <w:rPr>
          <w:lang w:val="fr-CH" w:eastAsia="ar-SA"/>
        </w:rPr>
        <w:t> »</w:t>
      </w:r>
      <w:r w:rsidR="00B04686" w:rsidRPr="005E1C9F">
        <w:rPr>
          <w:lang w:val="fr-CH" w:eastAsia="ar-SA"/>
        </w:rPr>
        <w:t>.</w:t>
      </w:r>
    </w:p>
    <w:p w:rsidR="005E1C9F" w:rsidRPr="005E1C9F" w:rsidRDefault="005E1C9F" w:rsidP="005E1C9F">
      <w:pPr>
        <w:pStyle w:val="SingleTxt"/>
        <w:spacing w:after="0" w:line="120" w:lineRule="exact"/>
        <w:ind w:left="2218" w:hanging="951"/>
        <w:rPr>
          <w:sz w:val="10"/>
          <w:lang w:val="fr-CH" w:eastAsia="ar-SA"/>
        </w:rPr>
      </w:pPr>
    </w:p>
    <w:p w:rsidR="005E1C9F" w:rsidRPr="005E1C9F" w:rsidRDefault="005E1C9F" w:rsidP="005E1C9F">
      <w:pPr>
        <w:pStyle w:val="SingleTxt"/>
        <w:spacing w:after="0" w:line="120" w:lineRule="exact"/>
        <w:ind w:left="2218" w:hanging="951"/>
        <w:rPr>
          <w:sz w:val="10"/>
          <w:lang w:val="fr-CH" w:eastAsia="ar-SA"/>
        </w:rPr>
      </w:pPr>
    </w:p>
    <w:p w:rsidR="00B04686" w:rsidRPr="005E1C9F" w:rsidRDefault="00B04686" w:rsidP="005E1C9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rFonts w:eastAsia="Calibri"/>
          <w:lang w:val="fr-CH"/>
        </w:rPr>
      </w:pPr>
      <w:r w:rsidRPr="005E1C9F">
        <w:rPr>
          <w:lang w:val="fr-CH"/>
        </w:rPr>
        <w:tab/>
        <w:t>II.</w:t>
      </w:r>
      <w:r w:rsidRPr="005E1C9F">
        <w:rPr>
          <w:lang w:val="fr-CH"/>
        </w:rPr>
        <w:tab/>
        <w:t>Justification</w:t>
      </w:r>
    </w:p>
    <w:p w:rsidR="005E1C9F" w:rsidRPr="005E1C9F" w:rsidRDefault="005E1C9F" w:rsidP="005E1C9F">
      <w:pPr>
        <w:pStyle w:val="SingleTxt"/>
        <w:spacing w:after="0" w:line="120" w:lineRule="exact"/>
        <w:rPr>
          <w:sz w:val="10"/>
          <w:lang w:val="fr-CH" w:eastAsia="ar-SA"/>
        </w:rPr>
      </w:pPr>
    </w:p>
    <w:p w:rsidR="005E1C9F" w:rsidRPr="005E1C9F" w:rsidRDefault="005E1C9F" w:rsidP="005E1C9F">
      <w:pPr>
        <w:pStyle w:val="SingleTxt"/>
        <w:spacing w:after="0" w:line="120" w:lineRule="exact"/>
        <w:rPr>
          <w:sz w:val="10"/>
          <w:lang w:val="fr-CH" w:eastAsia="ar-SA"/>
        </w:rPr>
      </w:pPr>
    </w:p>
    <w:p w:rsidR="00B04686" w:rsidRPr="005E1C9F" w:rsidRDefault="00B04686" w:rsidP="005E1C9F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sz w:val="24"/>
          <w:lang w:val="fr-CH" w:eastAsia="ar-SA"/>
        </w:rPr>
      </w:pPr>
      <w:r w:rsidRPr="005E1C9F">
        <w:rPr>
          <w:lang w:val="fr-CH" w:eastAsia="ar-SA"/>
        </w:rPr>
        <w:t>Le texte actuel du Règlement n</w:t>
      </w:r>
      <w:r w:rsidR="005E1C9F" w:rsidRPr="005E1C9F">
        <w:rPr>
          <w:vertAlign w:val="superscript"/>
          <w:lang w:val="fr-CH" w:eastAsia="ar-SA"/>
        </w:rPr>
        <w:t>o</w:t>
      </w:r>
      <w:r w:rsidR="005E1C9F">
        <w:rPr>
          <w:lang w:val="fr-CH" w:eastAsia="ar-SA"/>
        </w:rPr>
        <w:t> </w:t>
      </w:r>
      <w:r w:rsidRPr="005E1C9F">
        <w:rPr>
          <w:lang w:val="fr-CH" w:eastAsia="ar-SA"/>
        </w:rPr>
        <w:t>34 précise dans la Partie II-2 que</w:t>
      </w:r>
      <w:r w:rsidR="005E1C9F">
        <w:t> </w:t>
      </w:r>
      <w:r w:rsidRPr="005E1C9F">
        <w:rPr>
          <w:lang w:val="fr-CH" w:eastAsia="ar-SA"/>
        </w:rPr>
        <w:t>:</w:t>
      </w:r>
    </w:p>
    <w:p w:rsidR="00B04686" w:rsidRPr="005E1C9F" w:rsidRDefault="00B04686" w:rsidP="005E1C9F">
      <w:pPr>
        <w:pStyle w:val="SingleTxt"/>
        <w:rPr>
          <w:lang w:val="fr-CH" w:eastAsia="ar-SA"/>
        </w:rPr>
      </w:pPr>
      <w:r w:rsidRPr="005E1C9F">
        <w:rPr>
          <w:lang w:val="fr-CH" w:eastAsia="ar-SA"/>
        </w:rPr>
        <w:tab/>
        <w:t>i)</w:t>
      </w:r>
      <w:r w:rsidRPr="005E1C9F">
        <w:rPr>
          <w:lang w:val="fr-CH" w:eastAsia="ar-SA"/>
        </w:rPr>
        <w:tab/>
        <w:t>le choc arrière est obligatoire pour les véhicules des catégories M</w:t>
      </w:r>
      <w:r w:rsidRPr="005E1C9F">
        <w:rPr>
          <w:vertAlign w:val="subscript"/>
          <w:lang w:val="fr-CH" w:eastAsia="ar-SA"/>
        </w:rPr>
        <w:t xml:space="preserve">1 </w:t>
      </w:r>
      <w:r w:rsidRPr="005E1C9F">
        <w:rPr>
          <w:lang w:val="fr-CH" w:eastAsia="ar-SA"/>
        </w:rPr>
        <w:t>et N</w:t>
      </w:r>
      <w:r w:rsidRPr="005E1C9F">
        <w:rPr>
          <w:vertAlign w:val="subscript"/>
          <w:lang w:val="fr-CH" w:eastAsia="ar-SA"/>
        </w:rPr>
        <w:t>1</w:t>
      </w:r>
      <w:r w:rsidRPr="00153BE4">
        <w:rPr>
          <w:lang w:val="fr-CH" w:eastAsia="ar-SA"/>
        </w:rPr>
        <w:t xml:space="preserve">, </w:t>
      </w:r>
      <w:r w:rsidRPr="005E1C9F">
        <w:rPr>
          <w:lang w:val="fr-CH" w:eastAsia="ar-SA"/>
        </w:rPr>
        <w:t xml:space="preserve">et que </w:t>
      </w:r>
    </w:p>
    <w:p w:rsidR="00B04686" w:rsidRPr="005E1C9F" w:rsidRDefault="00B04686" w:rsidP="005E1C9F">
      <w:pPr>
        <w:pStyle w:val="SingleTxt"/>
        <w:rPr>
          <w:lang w:val="fr-CH" w:eastAsia="ar-SA"/>
        </w:rPr>
      </w:pPr>
      <w:r w:rsidRPr="005E1C9F">
        <w:rPr>
          <w:lang w:val="fr-CH" w:eastAsia="ar-SA"/>
        </w:rPr>
        <w:tab/>
        <w:t>ii)</w:t>
      </w:r>
      <w:r w:rsidRPr="005E1C9F">
        <w:rPr>
          <w:lang w:val="fr-CH" w:eastAsia="ar-SA"/>
        </w:rPr>
        <w:tab/>
        <w:t>sont concernés les véhicules des catégories M</w:t>
      </w:r>
      <w:r w:rsidRPr="005E1C9F">
        <w:rPr>
          <w:vertAlign w:val="subscript"/>
          <w:lang w:val="fr-CH" w:eastAsia="ar-SA"/>
        </w:rPr>
        <w:t>1</w:t>
      </w:r>
      <w:r w:rsidRPr="00153BE4">
        <w:rPr>
          <w:lang w:val="fr-CH" w:eastAsia="ar-SA"/>
        </w:rPr>
        <w:t xml:space="preserve"> </w:t>
      </w:r>
      <w:r w:rsidRPr="005E1C9F">
        <w:rPr>
          <w:lang w:val="fr-CH" w:eastAsia="ar-SA"/>
        </w:rPr>
        <w:t>et N</w:t>
      </w:r>
      <w:r w:rsidRPr="005E1C9F">
        <w:rPr>
          <w:vertAlign w:val="subscript"/>
          <w:lang w:val="fr-CH" w:eastAsia="ar-SA"/>
        </w:rPr>
        <w:t>1</w:t>
      </w:r>
      <w:r w:rsidRPr="005E1C9F">
        <w:rPr>
          <w:lang w:val="fr-CH" w:eastAsia="ar-SA"/>
        </w:rPr>
        <w:t xml:space="preserve"> dont la masse</w:t>
      </w:r>
      <w:r w:rsidR="005E1C9F">
        <w:rPr>
          <w:lang w:val="fr-CH" w:eastAsia="ar-SA"/>
        </w:rPr>
        <w:t xml:space="preserve"> en charge est inférieure à 2.8 </w:t>
      </w:r>
      <w:r w:rsidRPr="005E1C9F">
        <w:rPr>
          <w:lang w:val="fr-CH" w:eastAsia="ar-SA"/>
        </w:rPr>
        <w:t>t.</w:t>
      </w:r>
    </w:p>
    <w:p w:rsidR="00B04686" w:rsidRDefault="00B04686" w:rsidP="005E1C9F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 w:eastAsia="ar-SA"/>
        </w:rPr>
      </w:pPr>
      <w:r w:rsidRPr="005E1C9F">
        <w:rPr>
          <w:lang w:val="fr-CH" w:eastAsia="ar-SA"/>
        </w:rPr>
        <w:t>Dans les règlements de l’Union européenne et de l’Inde concernant les accidents, chaque fois que le domaine d’application dépend de la masse en charge des véhicules des catégories M</w:t>
      </w:r>
      <w:r w:rsidRPr="005E1C9F">
        <w:rPr>
          <w:vertAlign w:val="subscript"/>
          <w:lang w:val="fr-CH" w:eastAsia="ar-SA"/>
        </w:rPr>
        <w:t>1</w:t>
      </w:r>
      <w:r w:rsidRPr="005E1C9F">
        <w:rPr>
          <w:lang w:val="fr-CH" w:eastAsia="ar-SA"/>
        </w:rPr>
        <w:t xml:space="preserve"> et N</w:t>
      </w:r>
      <w:r w:rsidRPr="005E1C9F">
        <w:rPr>
          <w:vertAlign w:val="subscript"/>
          <w:lang w:val="fr-CH" w:eastAsia="ar-SA"/>
        </w:rPr>
        <w:t>1</w:t>
      </w:r>
      <w:r w:rsidRPr="005E1C9F">
        <w:rPr>
          <w:lang w:val="fr-CH" w:eastAsia="ar-SA"/>
        </w:rPr>
        <w:t>, la valeur seuil est toujours de 2.5 t. Les règlements concernés sont les suivants</w:t>
      </w:r>
      <w:r w:rsidR="005E1C9F">
        <w:rPr>
          <w:lang w:val="fr-CH" w:eastAsia="ar-SA"/>
        </w:rPr>
        <w:t> </w:t>
      </w:r>
      <w:r w:rsidRPr="005E1C9F">
        <w:rPr>
          <w:lang w:val="fr-CH" w:eastAsia="ar-SA"/>
        </w:rPr>
        <w:t>:</w:t>
      </w:r>
    </w:p>
    <w:p w:rsidR="005E1C9F" w:rsidRDefault="005E1C9F" w:rsidP="005E1C9F">
      <w:pPr>
        <w:pStyle w:val="SingleTxt"/>
        <w:tabs>
          <w:tab w:val="clear" w:pos="1742"/>
        </w:tabs>
        <w:spacing w:after="0" w:line="120" w:lineRule="exact"/>
        <w:rPr>
          <w:sz w:val="10"/>
          <w:lang w:val="fr-CH" w:eastAsia="ar-SA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3600"/>
        <w:gridCol w:w="1276"/>
      </w:tblGrid>
      <w:tr w:rsidR="00153BE4" w:rsidRPr="005E1C9F" w:rsidTr="00153BE4">
        <w:trPr>
          <w:tblHeader/>
        </w:trPr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rPr>
                <w:i/>
                <w:sz w:val="14"/>
                <w:lang w:val="fr-CH" w:eastAsia="ar-SA"/>
              </w:rPr>
            </w:pPr>
            <w:r w:rsidRPr="005E1C9F">
              <w:rPr>
                <w:i/>
                <w:sz w:val="14"/>
                <w:lang w:val="fr-CH" w:eastAsia="ar-SA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rPr>
                <w:i/>
                <w:sz w:val="14"/>
                <w:lang w:val="fr-CH" w:eastAsia="ar-SA"/>
              </w:rPr>
            </w:pPr>
            <w:r w:rsidRPr="005E1C9F">
              <w:rPr>
                <w:i/>
                <w:sz w:val="14"/>
                <w:lang w:val="fr-CH" w:eastAsia="ar-SA"/>
              </w:rPr>
              <w:t>Détails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rPr>
                <w:i/>
                <w:sz w:val="14"/>
                <w:lang w:val="fr-CH" w:eastAsia="ar-SA"/>
              </w:rPr>
            </w:pPr>
            <w:r w:rsidRPr="005E1C9F">
              <w:rPr>
                <w:i/>
                <w:sz w:val="14"/>
                <w:lang w:val="fr-CH" w:eastAsia="ar-SA"/>
              </w:rPr>
              <w:t>Règlement de l’UE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43"/>
              <w:rPr>
                <w:i/>
                <w:sz w:val="14"/>
                <w:lang w:val="fr-CH" w:eastAsia="ar-SA"/>
              </w:rPr>
            </w:pPr>
            <w:r w:rsidRPr="005E1C9F">
              <w:rPr>
                <w:i/>
                <w:sz w:val="14"/>
                <w:lang w:val="fr-CH" w:eastAsia="ar-SA"/>
              </w:rPr>
              <w:t>Norme indienne</w:t>
            </w:r>
          </w:p>
        </w:tc>
      </w:tr>
      <w:tr w:rsidR="005E1C9F" w:rsidRPr="005E1C9F" w:rsidTr="00153BE4">
        <w:trPr>
          <w:trHeight w:hRule="exact" w:val="115"/>
          <w:tblHeader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 w:eastAsia="ar-SA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 w:eastAsia="ar-SA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 w:eastAsia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 w:eastAsia="ar-SA"/>
              </w:rPr>
            </w:pPr>
          </w:p>
        </w:tc>
      </w:tr>
      <w:tr w:rsidR="00153BE4" w:rsidRPr="005E1C9F" w:rsidTr="00153BE4">
        <w:tc>
          <w:tcPr>
            <w:tcW w:w="450" w:type="dxa"/>
            <w:shd w:val="clear" w:color="auto" w:fill="auto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 w:eastAsia="ar-SA"/>
              </w:rPr>
            </w:pPr>
            <w:r>
              <w:rPr>
                <w:lang w:val="fr-CH" w:eastAsia="ar-SA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5E1C9F" w:rsidRPr="005E1C9F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lang w:val="fr-CH" w:eastAsia="ar-SA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Choc frontal</w:t>
            </w:r>
          </w:p>
        </w:tc>
        <w:tc>
          <w:tcPr>
            <w:tcW w:w="3600" w:type="dxa"/>
            <w:shd w:val="clear" w:color="auto" w:fill="auto"/>
          </w:tcPr>
          <w:p w:rsidR="005E1C9F" w:rsidRPr="00153BE4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153BE4">
              <w:rPr>
                <w:rFonts w:eastAsia="Times New Roman"/>
                <w:szCs w:val="24"/>
                <w:lang w:val="fr-CH"/>
              </w:rPr>
              <w:t>Règlement ONU n</w:t>
            </w:r>
            <w:r w:rsidR="00153BE4" w:rsidRPr="00153BE4">
              <w:rPr>
                <w:rFonts w:eastAsia="Times New Roman"/>
                <w:szCs w:val="24"/>
                <w:vertAlign w:val="superscript"/>
                <w:lang w:val="fr-CH"/>
              </w:rPr>
              <w:t>o</w:t>
            </w:r>
            <w:r w:rsidR="00153BE4">
              <w:rPr>
                <w:rFonts w:eastAsia="Times New Roman"/>
                <w:szCs w:val="24"/>
                <w:lang w:val="fr-CH"/>
              </w:rPr>
              <w:t> </w:t>
            </w:r>
            <w:r w:rsidRPr="00153BE4">
              <w:rPr>
                <w:rFonts w:eastAsia="Times New Roman"/>
                <w:szCs w:val="24"/>
                <w:lang w:val="fr-CH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5E1C9F" w:rsidRPr="00153BE4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153BE4">
              <w:rPr>
                <w:rFonts w:eastAsia="Times New Roman"/>
                <w:szCs w:val="24"/>
                <w:lang w:val="fr-CH"/>
              </w:rPr>
              <w:t>AIS 098</w:t>
            </w:r>
          </w:p>
        </w:tc>
      </w:tr>
      <w:tr w:rsidR="00153BE4" w:rsidRPr="00153BE4" w:rsidTr="00153BE4">
        <w:tc>
          <w:tcPr>
            <w:tcW w:w="450" w:type="dxa"/>
            <w:shd w:val="clear" w:color="auto" w:fill="auto"/>
          </w:tcPr>
          <w:p w:rsidR="005E1C9F" w:rsidRPr="00153BE4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153BE4">
              <w:rPr>
                <w:rFonts w:eastAsia="Times New Roman"/>
                <w:szCs w:val="24"/>
                <w:lang w:val="fr-CH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5E1C9F" w:rsidRPr="00153BE4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Choc contre un piéton</w:t>
            </w:r>
          </w:p>
        </w:tc>
        <w:tc>
          <w:tcPr>
            <w:tcW w:w="3600" w:type="dxa"/>
            <w:shd w:val="clear" w:color="auto" w:fill="auto"/>
          </w:tcPr>
          <w:p w:rsidR="005E1C9F" w:rsidRPr="00153BE4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UE 78/2009, Règlement ONU n</w:t>
            </w:r>
            <w:r w:rsidR="00153BE4" w:rsidRPr="00153BE4">
              <w:rPr>
                <w:rFonts w:eastAsia="Times New Roman"/>
                <w:szCs w:val="24"/>
                <w:vertAlign w:val="superscript"/>
                <w:lang w:val="fr-CH"/>
              </w:rPr>
              <w:t>o</w:t>
            </w:r>
            <w:r w:rsidR="00153BE4">
              <w:rPr>
                <w:rFonts w:eastAsia="Times New Roman"/>
                <w:szCs w:val="24"/>
                <w:lang w:val="fr-CH"/>
              </w:rPr>
              <w:t> </w:t>
            </w:r>
            <w:r w:rsidRPr="005E1C9F">
              <w:rPr>
                <w:rFonts w:eastAsia="Times New Roman"/>
                <w:szCs w:val="24"/>
                <w:lang w:val="fr-CH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5E1C9F" w:rsidRPr="00153BE4" w:rsidRDefault="005E1C9F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AIS 100</w:t>
            </w:r>
          </w:p>
        </w:tc>
      </w:tr>
      <w:tr w:rsidR="00153BE4" w:rsidRPr="00153BE4" w:rsidTr="00153BE4"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</w:tcPr>
          <w:p w:rsidR="00153BE4" w:rsidRPr="00153BE4" w:rsidRDefault="00153BE4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153BE4">
              <w:rPr>
                <w:rFonts w:eastAsia="Times New Roman"/>
                <w:szCs w:val="24"/>
                <w:lang w:val="fr-CH"/>
              </w:rPr>
              <w:t>3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153BE4" w:rsidRPr="00153BE4" w:rsidRDefault="00153BE4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Choc contre le volant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</w:tcPr>
          <w:p w:rsidR="00153BE4" w:rsidRPr="00153BE4" w:rsidRDefault="00153BE4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53BE4" w:rsidRPr="00153BE4" w:rsidRDefault="00153BE4" w:rsidP="00153BE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rFonts w:eastAsia="Times New Roman"/>
                <w:szCs w:val="24"/>
                <w:lang w:val="fr-CH"/>
              </w:rPr>
            </w:pPr>
            <w:r w:rsidRPr="005E1C9F">
              <w:rPr>
                <w:rFonts w:eastAsia="Times New Roman"/>
                <w:szCs w:val="24"/>
                <w:lang w:val="fr-CH"/>
              </w:rPr>
              <w:t>AIS 096</w:t>
            </w:r>
          </w:p>
        </w:tc>
      </w:tr>
    </w:tbl>
    <w:p w:rsidR="005E1C9F" w:rsidRDefault="005E1C9F" w:rsidP="005E1C9F">
      <w:pPr>
        <w:pStyle w:val="SingleTxt"/>
        <w:tabs>
          <w:tab w:val="clear" w:pos="1742"/>
        </w:tabs>
        <w:spacing w:after="0" w:line="120" w:lineRule="exact"/>
        <w:rPr>
          <w:sz w:val="10"/>
          <w:lang w:val="fr-CH" w:eastAsia="ar-SA"/>
        </w:rPr>
      </w:pPr>
    </w:p>
    <w:p w:rsidR="005E1C9F" w:rsidRDefault="005E1C9F" w:rsidP="005E1C9F">
      <w:pPr>
        <w:pStyle w:val="SingleTxt"/>
        <w:tabs>
          <w:tab w:val="clear" w:pos="1742"/>
        </w:tabs>
        <w:spacing w:after="0" w:line="120" w:lineRule="exact"/>
        <w:rPr>
          <w:sz w:val="10"/>
          <w:lang w:val="fr-CH" w:eastAsia="ar-SA"/>
        </w:rPr>
      </w:pPr>
    </w:p>
    <w:p w:rsidR="00B04686" w:rsidRPr="005E1C9F" w:rsidRDefault="005E1C9F" w:rsidP="005E1C9F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 w:eastAsia="ar-SA"/>
        </w:rPr>
      </w:pPr>
      <w:r>
        <w:rPr>
          <w:lang w:val="fr-CH" w:eastAsia="ar-SA"/>
        </w:rPr>
        <w:t>Le seuil de 2,8 </w:t>
      </w:r>
      <w:r w:rsidR="00B04686" w:rsidRPr="005E1C9F">
        <w:rPr>
          <w:lang w:val="fr-CH" w:eastAsia="ar-SA"/>
        </w:rPr>
        <w:t>t proposé dans le Règlement n</w:t>
      </w:r>
      <w:r w:rsidRPr="005E1C9F">
        <w:rPr>
          <w:vertAlign w:val="superscript"/>
          <w:lang w:val="fr-CH" w:eastAsia="ar-SA"/>
        </w:rPr>
        <w:t>o</w:t>
      </w:r>
      <w:r>
        <w:rPr>
          <w:lang w:val="fr-CH" w:eastAsia="ar-SA"/>
        </w:rPr>
        <w:t> </w:t>
      </w:r>
      <w:r w:rsidR="00B04686" w:rsidRPr="005E1C9F">
        <w:rPr>
          <w:lang w:val="fr-CH" w:eastAsia="ar-SA"/>
        </w:rPr>
        <w:t>34 en ce qui concerne le choc arrière n’est pas en accord avec la législation correspondante de l’UE. Il risque de donner lieu à des incohérences en matière de production de véhicules des catégories M</w:t>
      </w:r>
      <w:r w:rsidR="00B04686" w:rsidRPr="005E1C9F">
        <w:rPr>
          <w:vertAlign w:val="subscript"/>
          <w:lang w:val="fr-CH" w:eastAsia="ar-SA"/>
        </w:rPr>
        <w:t>1</w:t>
      </w:r>
      <w:r w:rsidR="00B04686" w:rsidRPr="005E1C9F">
        <w:rPr>
          <w:lang w:val="fr-CH" w:eastAsia="ar-SA"/>
        </w:rPr>
        <w:t xml:space="preserve"> et N</w:t>
      </w:r>
      <w:r w:rsidR="00B04686" w:rsidRPr="005E1C9F">
        <w:rPr>
          <w:vertAlign w:val="subscript"/>
          <w:lang w:val="fr-CH" w:eastAsia="ar-SA"/>
        </w:rPr>
        <w:t>1</w:t>
      </w:r>
      <w:r w:rsidR="00B04686" w:rsidRPr="005E1C9F">
        <w:rPr>
          <w:lang w:val="fr-CH" w:eastAsia="ar-SA"/>
        </w:rPr>
        <w:t xml:space="preserve"> en ce qui concerne le respect des normes relatives aux chocs, en particulier pour les modèles dont la masse en charge </w:t>
      </w:r>
      <w:r>
        <w:rPr>
          <w:lang w:val="fr-CH" w:eastAsia="ar-SA"/>
        </w:rPr>
        <w:t>est comprise entre 2,5 t et 2,8 </w:t>
      </w:r>
      <w:r w:rsidR="00B04686" w:rsidRPr="005E1C9F">
        <w:rPr>
          <w:lang w:val="fr-CH" w:eastAsia="ar-SA"/>
        </w:rPr>
        <w:t>t.</w:t>
      </w:r>
    </w:p>
    <w:p w:rsidR="00B04686" w:rsidRPr="005E1C9F" w:rsidRDefault="00B04686" w:rsidP="005E1C9F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 w:eastAsia="ar-SA"/>
        </w:rPr>
      </w:pPr>
      <w:r w:rsidRPr="005E1C9F">
        <w:rPr>
          <w:lang w:val="fr-CH" w:eastAsia="ar-SA"/>
        </w:rPr>
        <w:t>Dans un but d’harmonisation avec les autres règlements de l’UE et de l’Inde qui s’appliquent aux véhicules des catégories M</w:t>
      </w:r>
      <w:r w:rsidRPr="005E1C9F">
        <w:rPr>
          <w:vertAlign w:val="subscript"/>
          <w:lang w:val="fr-CH" w:eastAsia="ar-SA"/>
        </w:rPr>
        <w:t>1</w:t>
      </w:r>
      <w:r w:rsidRPr="00153BE4">
        <w:rPr>
          <w:lang w:val="fr-CH" w:eastAsia="ar-SA"/>
        </w:rPr>
        <w:t xml:space="preserve"> </w:t>
      </w:r>
      <w:r w:rsidRPr="005E1C9F">
        <w:rPr>
          <w:lang w:val="fr-CH" w:eastAsia="ar-SA"/>
        </w:rPr>
        <w:t>et N</w:t>
      </w:r>
      <w:r w:rsidRPr="005E1C9F">
        <w:rPr>
          <w:vertAlign w:val="subscript"/>
          <w:lang w:val="fr-CH" w:eastAsia="ar-SA"/>
        </w:rPr>
        <w:t>1</w:t>
      </w:r>
      <w:r w:rsidRPr="005E1C9F">
        <w:rPr>
          <w:lang w:val="fr-CH" w:eastAsia="ar-SA"/>
        </w:rPr>
        <w:t>, l’Inde propose que le Règlement n</w:t>
      </w:r>
      <w:r w:rsidR="005E1C9F" w:rsidRPr="005E1C9F">
        <w:rPr>
          <w:vertAlign w:val="superscript"/>
          <w:lang w:val="fr-CH" w:eastAsia="ar-SA"/>
        </w:rPr>
        <w:t>o</w:t>
      </w:r>
      <w:r w:rsidR="005E1C9F">
        <w:rPr>
          <w:lang w:val="fr-CH" w:eastAsia="ar-SA"/>
        </w:rPr>
        <w:t> </w:t>
      </w:r>
      <w:r w:rsidRPr="005E1C9F">
        <w:rPr>
          <w:lang w:val="fr-CH" w:eastAsia="ar-SA"/>
        </w:rPr>
        <w:t>34 s’applique aux véhicules des catégories M</w:t>
      </w:r>
      <w:r w:rsidRPr="005E1C9F">
        <w:rPr>
          <w:vertAlign w:val="subscript"/>
          <w:lang w:val="fr-CH" w:eastAsia="ar-SA"/>
        </w:rPr>
        <w:t>1</w:t>
      </w:r>
      <w:r w:rsidRPr="005E1C9F">
        <w:rPr>
          <w:lang w:val="fr-CH" w:eastAsia="ar-SA"/>
        </w:rPr>
        <w:t xml:space="preserve"> et N</w:t>
      </w:r>
      <w:r w:rsidRPr="005E1C9F">
        <w:rPr>
          <w:vertAlign w:val="subscript"/>
          <w:lang w:val="fr-CH" w:eastAsia="ar-SA"/>
        </w:rPr>
        <w:t>1</w:t>
      </w:r>
      <w:r w:rsidRPr="005E1C9F">
        <w:rPr>
          <w:lang w:val="fr-CH" w:eastAsia="ar-SA"/>
        </w:rPr>
        <w:t xml:space="preserve"> d</w:t>
      </w:r>
      <w:r w:rsidR="005E1C9F">
        <w:rPr>
          <w:lang w:val="fr-CH" w:eastAsia="ar-SA"/>
        </w:rPr>
        <w:t>e moins de 2,5 t au lieu de 2,8 </w:t>
      </w:r>
      <w:r w:rsidRPr="005E1C9F">
        <w:rPr>
          <w:lang w:val="fr-CH" w:eastAsia="ar-SA"/>
        </w:rPr>
        <w:t>t.</w:t>
      </w:r>
    </w:p>
    <w:p w:rsidR="00B87267" w:rsidRPr="005E1C9F" w:rsidRDefault="005E1C9F" w:rsidP="005E1C9F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B87267" w:rsidRPr="005E1C9F" w:rsidSect="00B87267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6T14:17:00Z" w:initials="Start">
    <w:p w:rsidR="00B87267" w:rsidRDefault="00B87267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NO&gt;&gt;N1515360F&lt;&lt;ODS JOB NO&gt;&gt;</w:t>
      </w:r>
    </w:p>
    <w:p w:rsidR="00B87267" w:rsidRDefault="00B87267">
      <w:pPr>
        <w:pStyle w:val="CommentText"/>
      </w:pPr>
      <w:r>
        <w:t>&lt;&lt;ODS DOC SYMBOL1&gt;&gt;ECE/TRANS/WP.29/GRSG/2015/26&lt;&lt;ODS DOC SYMBOL1&gt;&gt;</w:t>
      </w:r>
    </w:p>
    <w:p w:rsidR="00B87267" w:rsidRDefault="00B87267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6A" w:rsidRDefault="0053396A" w:rsidP="00F3330B">
      <w:pPr>
        <w:spacing w:line="240" w:lineRule="auto"/>
      </w:pPr>
      <w:r>
        <w:separator/>
      </w:r>
    </w:p>
  </w:endnote>
  <w:endnote w:type="continuationSeparator" w:id="0">
    <w:p w:rsidR="0053396A" w:rsidRDefault="0053396A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87267" w:rsidTr="00B87267">
      <w:trPr>
        <w:jc w:val="center"/>
      </w:trPr>
      <w:tc>
        <w:tcPr>
          <w:tcW w:w="5126" w:type="dxa"/>
          <w:shd w:val="clear" w:color="auto" w:fill="auto"/>
        </w:tcPr>
        <w:p w:rsidR="00B87267" w:rsidRPr="00B87267" w:rsidRDefault="00B87267" w:rsidP="00B8726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97584">
            <w:rPr>
              <w:b w:val="0"/>
              <w:w w:val="103"/>
              <w:sz w:val="14"/>
            </w:rPr>
            <w:t>GE.15-11531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87267" w:rsidRPr="00B87267" w:rsidRDefault="00B87267" w:rsidP="00B8726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174A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174A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B87267" w:rsidRPr="00B87267" w:rsidRDefault="00B87267" w:rsidP="00B87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87267" w:rsidTr="00B87267">
      <w:trPr>
        <w:jc w:val="center"/>
      </w:trPr>
      <w:tc>
        <w:tcPr>
          <w:tcW w:w="5126" w:type="dxa"/>
          <w:shd w:val="clear" w:color="auto" w:fill="auto"/>
        </w:tcPr>
        <w:p w:rsidR="00B87267" w:rsidRPr="00B87267" w:rsidRDefault="00B87267" w:rsidP="00B8726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9758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9758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B87267" w:rsidRPr="00B87267" w:rsidRDefault="00B87267" w:rsidP="00B8726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97584">
            <w:rPr>
              <w:b w:val="0"/>
              <w:w w:val="103"/>
              <w:sz w:val="14"/>
            </w:rPr>
            <w:t>GE.15-11531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87267" w:rsidRPr="00B87267" w:rsidRDefault="00B87267" w:rsidP="00B87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67" w:rsidRDefault="00B8726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232422" wp14:editId="482E2CEE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SG/2015/2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SG/2015/2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B87267" w:rsidTr="00B87267">
      <w:tc>
        <w:tcPr>
          <w:tcW w:w="3859" w:type="dxa"/>
        </w:tcPr>
        <w:p w:rsidR="00B87267" w:rsidRDefault="00B87267" w:rsidP="00B8726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97584">
            <w:rPr>
              <w:b w:val="0"/>
              <w:sz w:val="20"/>
            </w:rPr>
            <w:t>GE.15-11531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260815    260815</w:t>
          </w:r>
        </w:p>
        <w:p w:rsidR="00B87267" w:rsidRPr="00B87267" w:rsidRDefault="00B87267" w:rsidP="00B8726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97584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*1511531*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B87267" w:rsidRDefault="00B87267" w:rsidP="00B8726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E7E749D" wp14:editId="444C6FD2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7267" w:rsidRPr="00B87267" w:rsidRDefault="00B87267" w:rsidP="00B8726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6A" w:rsidRPr="00B04686" w:rsidRDefault="00B04686" w:rsidP="00B04686">
      <w:pPr>
        <w:pStyle w:val="Footer"/>
        <w:spacing w:after="80"/>
        <w:ind w:left="792"/>
        <w:rPr>
          <w:sz w:val="16"/>
        </w:rPr>
      </w:pPr>
      <w:r w:rsidRPr="00B04686">
        <w:rPr>
          <w:sz w:val="16"/>
        </w:rPr>
        <w:t>__________________</w:t>
      </w:r>
    </w:p>
  </w:footnote>
  <w:footnote w:type="continuationSeparator" w:id="0">
    <w:p w:rsidR="0053396A" w:rsidRPr="00B04686" w:rsidRDefault="00B04686" w:rsidP="00B04686">
      <w:pPr>
        <w:pStyle w:val="Footer"/>
        <w:spacing w:after="80"/>
        <w:ind w:left="792"/>
        <w:rPr>
          <w:sz w:val="16"/>
        </w:rPr>
      </w:pPr>
      <w:r w:rsidRPr="00B04686">
        <w:rPr>
          <w:sz w:val="16"/>
        </w:rPr>
        <w:t>__________________</w:t>
      </w:r>
    </w:p>
  </w:footnote>
  <w:footnote w:id="1">
    <w:p w:rsidR="00B04686" w:rsidRPr="005E1C9F" w:rsidRDefault="00B04686" w:rsidP="00B0468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rFonts w:eastAsia="Calibri"/>
          <w:lang w:val="fr-CH"/>
        </w:rPr>
      </w:pPr>
      <w:r w:rsidRPr="005E1C9F">
        <w:rPr>
          <w:lang w:val="fr-CH"/>
        </w:rPr>
        <w:tab/>
      </w:r>
      <w:r w:rsidRPr="005E1C9F">
        <w:rPr>
          <w:rStyle w:val="FootnoteReference"/>
          <w:color w:val="auto"/>
          <w:vertAlign w:val="baseline"/>
          <w:lang w:val="fr-CH"/>
        </w:rPr>
        <w:t>*</w:t>
      </w:r>
      <w:r w:rsidRPr="005E1C9F">
        <w:rPr>
          <w:lang w:val="fr-CH"/>
        </w:rPr>
        <w:tab/>
        <w:t>Conformément au programme de travail du Comité des transports intérieurs pour la période</w:t>
      </w:r>
      <w:r w:rsidR="005E1C9F" w:rsidRPr="005E1C9F">
        <w:rPr>
          <w:lang w:val="fr-CH"/>
        </w:rPr>
        <w:t xml:space="preserve"> 2012-2016 (ECE/TRANS/224, par. </w:t>
      </w:r>
      <w:r w:rsidRPr="005E1C9F">
        <w:rPr>
          <w:lang w:val="fr-CH"/>
        </w:rPr>
        <w:t>94</w:t>
      </w:r>
      <w:r w:rsidR="005E1C9F" w:rsidRPr="005E1C9F">
        <w:rPr>
          <w:lang w:val="fr-CH"/>
        </w:rPr>
        <w:t>, et ECE/TRANS/2012/12, activité </w:t>
      </w:r>
      <w:r w:rsidRPr="005E1C9F">
        <w:rPr>
          <w:lang w:val="fr-CH"/>
        </w:rPr>
        <w:t>02.4), le Forum mondial élabore, harmonise et actualise les Règlements, afin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87267" w:rsidTr="00B8726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87267" w:rsidRPr="00B87267" w:rsidRDefault="00B87267" w:rsidP="00B8726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97584">
            <w:rPr>
              <w:b/>
              <w:color w:val="000000"/>
            </w:rPr>
            <w:t>ECE/TRANS/WP.29/GRSG/2015/26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87267" w:rsidRDefault="00B87267" w:rsidP="00B87267">
          <w:pPr>
            <w:pStyle w:val="Header"/>
          </w:pPr>
        </w:p>
      </w:tc>
    </w:tr>
  </w:tbl>
  <w:p w:rsidR="00B87267" w:rsidRPr="00B87267" w:rsidRDefault="00B87267" w:rsidP="00B8726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87267" w:rsidTr="00B8726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87267" w:rsidRDefault="00B87267" w:rsidP="00B8726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87267" w:rsidRPr="00B87267" w:rsidRDefault="00B87267" w:rsidP="00B8726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97584">
            <w:rPr>
              <w:b/>
              <w:color w:val="000000"/>
            </w:rPr>
            <w:t>ECE/TRANS/WP.29/GRSG/2015/26</w:t>
          </w:r>
          <w:r>
            <w:rPr>
              <w:b/>
              <w:color w:val="000000"/>
            </w:rPr>
            <w:fldChar w:fldCharType="end"/>
          </w:r>
        </w:p>
      </w:tc>
    </w:tr>
  </w:tbl>
  <w:p w:rsidR="00B87267" w:rsidRPr="00B87267" w:rsidRDefault="00B87267" w:rsidP="00B8726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B87267" w:rsidRPr="005E1C9F" w:rsidTr="00B8726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7267" w:rsidRPr="005E1C9F" w:rsidRDefault="00B87267" w:rsidP="00B87267">
          <w:pPr>
            <w:pStyle w:val="Header"/>
            <w:spacing w:after="120"/>
            <w:rPr>
              <w:lang w:val="fr-CH"/>
            </w:rPr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7267" w:rsidRPr="005E1C9F" w:rsidRDefault="00B87267" w:rsidP="00B87267">
          <w:pPr>
            <w:pStyle w:val="HCH"/>
            <w:spacing w:after="80"/>
            <w:rPr>
              <w:b w:val="0"/>
              <w:color w:val="010000"/>
              <w:spacing w:val="2"/>
              <w:w w:val="96"/>
              <w:lang w:val="fr-CH"/>
            </w:rPr>
          </w:pPr>
          <w:r w:rsidRPr="005E1C9F">
            <w:rPr>
              <w:b w:val="0"/>
              <w:color w:val="010000"/>
              <w:spacing w:val="2"/>
              <w:w w:val="96"/>
              <w:lang w:val="fr-CH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87267" w:rsidRPr="005E1C9F" w:rsidRDefault="00B87267" w:rsidP="00B87267">
          <w:pPr>
            <w:pStyle w:val="Header"/>
            <w:spacing w:after="120"/>
            <w:rPr>
              <w:lang w:val="fr-CH"/>
            </w:rPr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B87267" w:rsidRPr="005E1C9F" w:rsidRDefault="00B87267" w:rsidP="00B87267">
          <w:pPr>
            <w:spacing w:after="80" w:line="240" w:lineRule="auto"/>
            <w:jc w:val="right"/>
            <w:rPr>
              <w:position w:val="-4"/>
              <w:lang w:val="fr-CH"/>
            </w:rPr>
          </w:pPr>
          <w:r w:rsidRPr="005E1C9F">
            <w:rPr>
              <w:position w:val="-4"/>
              <w:sz w:val="40"/>
              <w:lang w:val="fr-CH"/>
            </w:rPr>
            <w:t>ECE</w:t>
          </w:r>
          <w:r w:rsidRPr="005E1C9F">
            <w:rPr>
              <w:position w:val="-4"/>
              <w:lang w:val="fr-CH"/>
            </w:rPr>
            <w:t>/TRANS/WP.29/GRSG/2015/26</w:t>
          </w:r>
        </w:p>
      </w:tc>
    </w:tr>
    <w:tr w:rsidR="00B87267" w:rsidRPr="005E1C9F" w:rsidTr="00B87267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7267" w:rsidRPr="005E1C9F" w:rsidRDefault="00B87267" w:rsidP="00B87267">
          <w:pPr>
            <w:pStyle w:val="Header"/>
            <w:spacing w:before="120" w:line="240" w:lineRule="auto"/>
            <w:ind w:left="-72"/>
            <w:jc w:val="center"/>
            <w:rPr>
              <w:lang w:val="fr-CH"/>
            </w:rPr>
          </w:pPr>
          <w:r w:rsidRPr="005E1C9F">
            <w:rPr>
              <w:lang w:val="fr-CH"/>
            </w:rPr>
            <w:t xml:space="preserve">  </w:t>
          </w:r>
          <w:r w:rsidRPr="005E1C9F">
            <w:rPr>
              <w:noProof/>
              <w:lang w:val="en-GB" w:eastAsia="en-GB"/>
            </w:rPr>
            <w:drawing>
              <wp:inline distT="0" distB="0" distL="0" distR="0" wp14:anchorId="09DC5125" wp14:editId="6421BB8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7267" w:rsidRPr="005E1C9F" w:rsidRDefault="00B87267" w:rsidP="00B87267">
          <w:pPr>
            <w:pStyle w:val="XLarge"/>
            <w:spacing w:before="109"/>
            <w:rPr>
              <w:lang w:val="fr-CH"/>
            </w:rPr>
          </w:pPr>
          <w:r w:rsidRPr="005E1C9F">
            <w:rPr>
              <w:lang w:val="fr-CH"/>
            </w:rP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7267" w:rsidRPr="005E1C9F" w:rsidRDefault="00B87267" w:rsidP="00B87267">
          <w:pPr>
            <w:pStyle w:val="Header"/>
            <w:spacing w:before="109"/>
            <w:rPr>
              <w:lang w:val="fr-CH"/>
            </w:rPr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87267" w:rsidRPr="005E1C9F" w:rsidRDefault="00B87267" w:rsidP="00B87267">
          <w:pPr>
            <w:pStyle w:val="Distribution"/>
            <w:rPr>
              <w:color w:val="000000"/>
              <w:lang w:val="fr-CH"/>
            </w:rPr>
          </w:pPr>
          <w:r w:rsidRPr="005E1C9F">
            <w:rPr>
              <w:color w:val="000000"/>
              <w:lang w:val="fr-CH"/>
            </w:rPr>
            <w:t>Distr. générale</w:t>
          </w:r>
        </w:p>
        <w:p w:rsidR="00B87267" w:rsidRPr="005E1C9F" w:rsidRDefault="00B87267" w:rsidP="00B87267">
          <w:pPr>
            <w:pStyle w:val="Publication"/>
            <w:rPr>
              <w:color w:val="000000"/>
              <w:lang w:val="fr-CH"/>
            </w:rPr>
          </w:pPr>
          <w:r w:rsidRPr="005E1C9F">
            <w:rPr>
              <w:color w:val="000000"/>
              <w:lang w:val="fr-CH"/>
            </w:rPr>
            <w:t>10 juillet 2015</w:t>
          </w:r>
        </w:p>
        <w:p w:rsidR="00B87267" w:rsidRPr="005E1C9F" w:rsidRDefault="00B87267" w:rsidP="00B87267">
          <w:pPr>
            <w:rPr>
              <w:lang w:val="fr-CH"/>
            </w:rPr>
          </w:pPr>
          <w:r w:rsidRPr="005E1C9F">
            <w:rPr>
              <w:lang w:val="fr-CH"/>
            </w:rPr>
            <w:t>Français</w:t>
          </w:r>
        </w:p>
        <w:p w:rsidR="00B87267" w:rsidRPr="005E1C9F" w:rsidRDefault="00B87267" w:rsidP="005E1C9F">
          <w:pPr>
            <w:pStyle w:val="Original"/>
            <w:rPr>
              <w:color w:val="000000"/>
              <w:lang w:val="fr-CH"/>
            </w:rPr>
          </w:pPr>
          <w:r w:rsidRPr="005E1C9F">
            <w:rPr>
              <w:color w:val="000000"/>
              <w:lang w:val="fr-CH"/>
            </w:rPr>
            <w:t>Original</w:t>
          </w:r>
          <w:r w:rsidR="005E1C9F">
            <w:rPr>
              <w:color w:val="000000"/>
              <w:lang w:val="fr-CH"/>
            </w:rPr>
            <w:t> </w:t>
          </w:r>
          <w:r w:rsidRPr="005E1C9F">
            <w:rPr>
              <w:color w:val="000000"/>
              <w:lang w:val="fr-CH"/>
            </w:rPr>
            <w:t>: anglais</w:t>
          </w:r>
        </w:p>
      </w:tc>
    </w:tr>
  </w:tbl>
  <w:p w:rsidR="00B87267" w:rsidRPr="005E1C9F" w:rsidRDefault="00B87267" w:rsidP="00B87267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17251"/>
    <w:multiLevelType w:val="singleLevel"/>
    <w:tmpl w:val="3AD2E14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28EB"/>
    <w:multiLevelType w:val="singleLevel"/>
    <w:tmpl w:val="939C2D4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531*"/>
    <w:docVar w:name="CreationDt" w:val="8/26/2015 2:16: PM"/>
    <w:docVar w:name="DocCategory" w:val="Doc"/>
    <w:docVar w:name="DocType" w:val="Final"/>
    <w:docVar w:name="DutyStation" w:val="Geneva"/>
    <w:docVar w:name="FooterJN" w:val="GE.15-11531"/>
    <w:docVar w:name="jobn" w:val="GE.15-11531 (F)"/>
    <w:docVar w:name="jobnDT" w:val="GE.15-11531 (F)   260815"/>
    <w:docVar w:name="jobnDTDT" w:val="GE.15-11531 (F)   260815   260815"/>
    <w:docVar w:name="JobNo" w:val="GE.1511531F"/>
    <w:docVar w:name="JobNo2" w:val="GE.1515360F"/>
    <w:docVar w:name="LocalDrive" w:val="0"/>
    <w:docVar w:name="OandT" w:val="N.Morin"/>
    <w:docVar w:name="PaperSize" w:val="A4"/>
    <w:docVar w:name="sss1" w:val="ECE/TRANS/WP.29/GRSG/2015/26"/>
    <w:docVar w:name="sss2" w:val="-"/>
    <w:docVar w:name="Symbol1" w:val="ECE/TRANS/WP.29/GRSG/2015/26"/>
    <w:docVar w:name="Symbol2" w:val="-"/>
  </w:docVars>
  <w:rsids>
    <w:rsidRoot w:val="0053396A"/>
    <w:rsid w:val="000015B8"/>
    <w:rsid w:val="000046A5"/>
    <w:rsid w:val="000055FB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3BE4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46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728E"/>
    <w:rsid w:val="00332A87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97584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174A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396A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821"/>
    <w:rsid w:val="005A7976"/>
    <w:rsid w:val="005B33A4"/>
    <w:rsid w:val="005B5D99"/>
    <w:rsid w:val="005B74B8"/>
    <w:rsid w:val="005C1353"/>
    <w:rsid w:val="005C3A63"/>
    <w:rsid w:val="005C65C2"/>
    <w:rsid w:val="005D7CA9"/>
    <w:rsid w:val="005E1C9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3EC3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4686"/>
    <w:rsid w:val="00B05198"/>
    <w:rsid w:val="00B0544B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267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2D61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8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2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26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26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B8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26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267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267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73BA-1F8B-47F3-B013-D1668A42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Benedicte Boudol</cp:lastModifiedBy>
  <cp:revision>2</cp:revision>
  <cp:lastPrinted>2015-08-26T13:54:00Z</cp:lastPrinted>
  <dcterms:created xsi:type="dcterms:W3CDTF">2015-08-26T14:12:00Z</dcterms:created>
  <dcterms:modified xsi:type="dcterms:W3CDTF">2015-08-26T14:12:00Z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1511531F</vt:lpwstr>
  </property>
  <property fmtid="{D5CDD505-2E9C-101B-9397-08002B2CF9AE}" pid="3" name="ODSRefJobNo">
    <vt:lpwstr>1515360F</vt:lpwstr>
  </property>
  <property fmtid="{D5CDD505-2E9C-101B-9397-08002B2CF9AE}" pid="4" name="Symbol1">
    <vt:lpwstr>ECE/TRANS/WP.29/GRSG/2015/26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10 juillet 2015</vt:lpwstr>
  </property>
  <property fmtid="{D5CDD505-2E9C-101B-9397-08002B2CF9AE}" pid="9" name="Original">
    <vt:lpwstr>anglais</vt:lpwstr>
  </property>
  <property fmtid="{D5CDD505-2E9C-101B-9397-08002B2CF9AE}" pid="10" name="Release Date">
    <vt:lpwstr>260815</vt:lpwstr>
  </property>
  <property fmtid="{D5CDD505-2E9C-101B-9397-08002B2CF9AE}" pid="11" name="Comment">
    <vt:lpwstr>659</vt:lpwstr>
  </property>
  <property fmtid="{D5CDD505-2E9C-101B-9397-08002B2CF9AE}" pid="12" name="DraftPages">
    <vt:lpwstr> </vt:lpwstr>
  </property>
  <property fmtid="{D5CDD505-2E9C-101B-9397-08002B2CF9AE}" pid="13" name="Operator">
    <vt:lpwstr>N.Morin</vt:lpwstr>
  </property>
</Properties>
</file>