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8BE" w:rsidRDefault="008518BE" w:rsidP="008518BE">
      <w:pPr>
        <w:spacing w:line="240" w:lineRule="auto"/>
        <w:rPr>
          <w:sz w:val="2"/>
        </w:rPr>
        <w:sectPr w:rsidR="008518BE" w:rsidSect="008518BE">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8518BE" w:rsidRDefault="008518BE" w:rsidP="00797BA1">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lastRenderedPageBreak/>
        <w:t>Commission économique pour l’Europe</w:t>
      </w:r>
    </w:p>
    <w:p w:rsidR="00797BA1" w:rsidRPr="00797BA1" w:rsidRDefault="00797BA1" w:rsidP="00797BA1">
      <w:pPr>
        <w:spacing w:line="120" w:lineRule="exact"/>
        <w:rPr>
          <w:sz w:val="10"/>
        </w:rPr>
      </w:pPr>
    </w:p>
    <w:p w:rsidR="008518BE" w:rsidRDefault="008518BE" w:rsidP="00797BA1">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rPr>
      </w:pPr>
      <w:r w:rsidRPr="00797BA1">
        <w:rPr>
          <w:b w:val="0"/>
        </w:rPr>
        <w:t>Comité des transports intérieurs</w:t>
      </w:r>
    </w:p>
    <w:p w:rsidR="00797BA1" w:rsidRPr="00797BA1" w:rsidRDefault="00797BA1" w:rsidP="00797BA1">
      <w:pPr>
        <w:spacing w:line="120" w:lineRule="exact"/>
        <w:rPr>
          <w:sz w:val="10"/>
        </w:rPr>
      </w:pPr>
    </w:p>
    <w:p w:rsidR="00797BA1" w:rsidRDefault="00797BA1" w:rsidP="00797BA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97BA1">
        <w:rPr>
          <w:lang w:val="fr-FR"/>
        </w:rPr>
        <w:t xml:space="preserve">Forum mondial de l’harmonisation </w:t>
      </w:r>
      <w:r w:rsidR="009F53BA">
        <w:rPr>
          <w:lang w:val="fr-FR"/>
        </w:rPr>
        <w:br/>
      </w:r>
      <w:r w:rsidRPr="00797BA1">
        <w:rPr>
          <w:lang w:val="fr-FR"/>
        </w:rPr>
        <w:t>des Règlements concernant les véhicules</w:t>
      </w:r>
    </w:p>
    <w:p w:rsidR="00797BA1" w:rsidRPr="00797BA1" w:rsidRDefault="00797BA1" w:rsidP="00797BA1">
      <w:pPr>
        <w:spacing w:line="120" w:lineRule="exact"/>
        <w:rPr>
          <w:sz w:val="10"/>
          <w:lang w:val="fr-FR"/>
        </w:rPr>
      </w:pPr>
    </w:p>
    <w:p w:rsidR="00797BA1" w:rsidRDefault="00797BA1" w:rsidP="00797B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97BA1">
        <w:rPr>
          <w:lang w:val="fr-FR"/>
        </w:rPr>
        <w:t>Groupe de travail des dispositions générales de sécurité</w:t>
      </w:r>
    </w:p>
    <w:p w:rsidR="00797BA1" w:rsidRPr="00797BA1" w:rsidRDefault="00797BA1" w:rsidP="00797BA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FR"/>
        </w:rPr>
      </w:pPr>
    </w:p>
    <w:p w:rsidR="00797BA1" w:rsidRPr="00797BA1" w:rsidRDefault="00797BA1" w:rsidP="00797BA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97BA1">
        <w:rPr>
          <w:lang w:val="fr-FR"/>
        </w:rPr>
        <w:t>109</w:t>
      </w:r>
      <w:r w:rsidRPr="00797BA1">
        <w:rPr>
          <w:vertAlign w:val="superscript"/>
          <w:lang w:val="fr-FR"/>
        </w:rPr>
        <w:t>e</w:t>
      </w:r>
      <w:r w:rsidR="00462EC2">
        <w:rPr>
          <w:lang w:val="fr-FR"/>
        </w:rPr>
        <w:t> </w:t>
      </w:r>
      <w:r w:rsidRPr="00797BA1">
        <w:rPr>
          <w:lang w:val="fr-FR"/>
        </w:rPr>
        <w:t>session</w:t>
      </w:r>
    </w:p>
    <w:p w:rsidR="00797BA1" w:rsidRPr="00797BA1" w:rsidRDefault="00797BA1" w:rsidP="00797BA1">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Genève, 29 septembre-</w:t>
      </w:r>
      <w:r w:rsidRPr="00797BA1">
        <w:rPr>
          <w:lang w:val="fr-FR"/>
        </w:rPr>
        <w:t>2</w:t>
      </w:r>
      <w:r>
        <w:rPr>
          <w:lang w:val="fr-FR"/>
        </w:rPr>
        <w:t> </w:t>
      </w:r>
      <w:r w:rsidRPr="00797BA1">
        <w:rPr>
          <w:lang w:val="fr-FR"/>
        </w:rPr>
        <w:t>octobre 2015</w:t>
      </w:r>
    </w:p>
    <w:p w:rsidR="00797BA1" w:rsidRDefault="00797BA1" w:rsidP="00797BA1">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97BA1">
        <w:rPr>
          <w:lang w:val="fr-FR"/>
        </w:rPr>
        <w:t>Point 13 de l’ordre du jour provisoire</w:t>
      </w:r>
    </w:p>
    <w:p w:rsidR="00797BA1" w:rsidRDefault="00797BA1" w:rsidP="00797B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97BA1">
        <w:rPr>
          <w:lang w:val="fr-FR"/>
        </w:rPr>
        <w:t xml:space="preserve">Règlement </w:t>
      </w:r>
      <w:r>
        <w:rPr>
          <w:lang w:val="fr-FR"/>
        </w:rPr>
        <w:t>n</w:t>
      </w:r>
      <w:r w:rsidRPr="00797BA1">
        <w:rPr>
          <w:vertAlign w:val="superscript"/>
          <w:lang w:val="fr-FR"/>
        </w:rPr>
        <w:t>o</w:t>
      </w:r>
      <w:r>
        <w:rPr>
          <w:lang w:val="fr-FR"/>
        </w:rPr>
        <w:t> </w:t>
      </w:r>
      <w:r w:rsidRPr="00797BA1">
        <w:rPr>
          <w:lang w:val="fr-FR"/>
        </w:rPr>
        <w:t>118 (Résistance au feu)</w:t>
      </w:r>
    </w:p>
    <w:p w:rsidR="00797BA1" w:rsidRPr="00797BA1" w:rsidRDefault="00797BA1" w:rsidP="00797BA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FR"/>
        </w:rPr>
      </w:pPr>
    </w:p>
    <w:p w:rsidR="00797BA1" w:rsidRPr="00797BA1" w:rsidRDefault="00797BA1" w:rsidP="00797BA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FR"/>
        </w:rPr>
      </w:pPr>
    </w:p>
    <w:p w:rsidR="00797BA1" w:rsidRPr="00797BA1" w:rsidRDefault="00797BA1" w:rsidP="00797BA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FR"/>
        </w:rPr>
      </w:pPr>
    </w:p>
    <w:p w:rsidR="00797BA1" w:rsidRDefault="00797BA1" w:rsidP="00797BA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797BA1">
        <w:rPr>
          <w:lang w:val="fr-FR"/>
        </w:rPr>
        <w:t xml:space="preserve">Proposition de série 03 d’amendements </w:t>
      </w:r>
      <w:r>
        <w:rPr>
          <w:lang w:val="fr-FR"/>
        </w:rPr>
        <w:br/>
      </w:r>
      <w:r w:rsidRPr="00797BA1">
        <w:rPr>
          <w:lang w:val="fr-FR"/>
        </w:rPr>
        <w:t xml:space="preserve">au Règlement </w:t>
      </w:r>
      <w:r>
        <w:rPr>
          <w:lang w:val="fr-FR"/>
        </w:rPr>
        <w:t>n</w:t>
      </w:r>
      <w:r w:rsidRPr="00797BA1">
        <w:rPr>
          <w:vertAlign w:val="superscript"/>
          <w:lang w:val="fr-FR"/>
        </w:rPr>
        <w:t>o</w:t>
      </w:r>
      <w:r>
        <w:rPr>
          <w:lang w:val="fr-FR"/>
        </w:rPr>
        <w:t> </w:t>
      </w:r>
      <w:r w:rsidRPr="00797BA1">
        <w:rPr>
          <w:lang w:val="fr-FR"/>
        </w:rPr>
        <w:t>118 (Résistance au feu)</w:t>
      </w:r>
    </w:p>
    <w:p w:rsidR="00797BA1" w:rsidRPr="00797BA1" w:rsidRDefault="00797BA1" w:rsidP="00797BA1">
      <w:pPr>
        <w:pStyle w:val="SingleTxt"/>
        <w:spacing w:after="0" w:line="120" w:lineRule="exact"/>
        <w:rPr>
          <w:sz w:val="10"/>
          <w:lang w:val="fr-FR"/>
        </w:rPr>
      </w:pPr>
    </w:p>
    <w:p w:rsidR="00797BA1" w:rsidRPr="00797BA1" w:rsidRDefault="00797BA1" w:rsidP="00797BA1">
      <w:pPr>
        <w:pStyle w:val="SingleTxt"/>
        <w:spacing w:after="0" w:line="120" w:lineRule="exact"/>
        <w:rPr>
          <w:sz w:val="10"/>
          <w:lang w:val="fr-FR"/>
        </w:rPr>
      </w:pPr>
    </w:p>
    <w:p w:rsidR="00797BA1" w:rsidRDefault="00797BA1" w:rsidP="00A63E2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r>
      <w:r w:rsidRPr="00797BA1">
        <w:rPr>
          <w:lang w:val="fr-FR"/>
        </w:rPr>
        <w:t>Communication de l’expert de l’</w:t>
      </w:r>
      <w:r w:rsidR="00A63E29">
        <w:rPr>
          <w:lang w:val="fr-FR"/>
        </w:rPr>
        <w:t>Allemagne</w:t>
      </w:r>
      <w:r w:rsidRPr="00A63E29">
        <w:rPr>
          <w:b w:val="0"/>
          <w:sz w:val="20"/>
          <w:szCs w:val="20"/>
        </w:rPr>
        <w:footnoteReference w:customMarkFollows="1" w:id="1"/>
        <w:t>*</w:t>
      </w:r>
    </w:p>
    <w:p w:rsidR="00462EC2" w:rsidRPr="00462EC2" w:rsidRDefault="00462EC2" w:rsidP="00462EC2">
      <w:pPr>
        <w:pStyle w:val="SingleTxt"/>
        <w:spacing w:after="0" w:line="120" w:lineRule="exact"/>
        <w:rPr>
          <w:sz w:val="10"/>
          <w:lang w:val="fr-FR"/>
        </w:rPr>
      </w:pPr>
    </w:p>
    <w:p w:rsidR="00462EC2" w:rsidRPr="00462EC2" w:rsidRDefault="00462EC2" w:rsidP="00462EC2">
      <w:pPr>
        <w:pStyle w:val="SingleTxt"/>
        <w:spacing w:after="0" w:line="120" w:lineRule="exact"/>
        <w:rPr>
          <w:sz w:val="10"/>
          <w:lang w:val="fr-FR"/>
        </w:rPr>
      </w:pPr>
    </w:p>
    <w:p w:rsidR="00797BA1" w:rsidRPr="00797BA1" w:rsidRDefault="00462EC2" w:rsidP="00797BA1">
      <w:pPr>
        <w:pStyle w:val="SingleTxt"/>
        <w:rPr>
          <w:lang w:val="fr-FR"/>
        </w:rPr>
      </w:pPr>
      <w:r>
        <w:rPr>
          <w:lang w:val="fr-FR"/>
        </w:rPr>
        <w:tab/>
      </w:r>
      <w:r w:rsidR="00797BA1" w:rsidRPr="00797BA1">
        <w:rPr>
          <w:lang w:val="fr-FR"/>
        </w:rPr>
        <w:t xml:space="preserve">Le texte reproduit ci-après, établi par l’expert de l’Allemagne, vise à clarifier le champ et les conditions d’application du Règlement </w:t>
      </w:r>
      <w:r>
        <w:rPr>
          <w:lang w:val="fr-FR"/>
        </w:rPr>
        <w:t>n</w:t>
      </w:r>
      <w:r w:rsidRPr="00797BA1">
        <w:rPr>
          <w:vertAlign w:val="superscript"/>
          <w:lang w:val="fr-FR"/>
        </w:rPr>
        <w:t>o</w:t>
      </w:r>
      <w:r>
        <w:rPr>
          <w:lang w:val="fr-FR"/>
        </w:rPr>
        <w:t> </w:t>
      </w:r>
      <w:r w:rsidR="00797BA1" w:rsidRPr="00797BA1">
        <w:rPr>
          <w:lang w:val="fr-FR"/>
        </w:rPr>
        <w:t>118 de l’ONU. Il est fondé sur le document ECE/TRANS/WP.29/GRSG/2014/24 et sur le document informel GRSG-108-09, distribués à la 108</w:t>
      </w:r>
      <w:r w:rsidR="00797BA1" w:rsidRPr="00797BA1">
        <w:rPr>
          <w:vertAlign w:val="superscript"/>
          <w:lang w:val="fr-FR"/>
        </w:rPr>
        <w:t>e</w:t>
      </w:r>
      <w:r>
        <w:rPr>
          <w:lang w:val="fr-FR"/>
        </w:rPr>
        <w:t> </w:t>
      </w:r>
      <w:r w:rsidR="00797BA1" w:rsidRPr="00797BA1">
        <w:rPr>
          <w:lang w:val="fr-FR"/>
        </w:rPr>
        <w:t>session du Groupe de travail des dispositions générales de sécurité (GRSG) (voir le rapport ECE/TRANS/WP.29/GRSG/87, par.</w:t>
      </w:r>
      <w:r w:rsidR="00A63E29">
        <w:rPr>
          <w:lang w:val="fr-FR"/>
        </w:rPr>
        <w:t> </w:t>
      </w:r>
      <w:r w:rsidR="00797BA1" w:rsidRPr="00797BA1">
        <w:rPr>
          <w:lang w:val="fr-FR"/>
        </w:rPr>
        <w:t xml:space="preserve">50). Les modifications qu’il est proposé d’apporter au texte actuel du Règlement </w:t>
      </w:r>
      <w:r w:rsidR="00A63E29">
        <w:rPr>
          <w:lang w:val="fr-FR"/>
        </w:rPr>
        <w:t>n</w:t>
      </w:r>
      <w:r w:rsidR="00A63E29" w:rsidRPr="00797BA1">
        <w:rPr>
          <w:vertAlign w:val="superscript"/>
          <w:lang w:val="fr-FR"/>
        </w:rPr>
        <w:t>o</w:t>
      </w:r>
      <w:r w:rsidR="00A63E29">
        <w:rPr>
          <w:lang w:val="fr-FR"/>
        </w:rPr>
        <w:t> </w:t>
      </w:r>
      <w:r w:rsidR="00797BA1" w:rsidRPr="00797BA1">
        <w:rPr>
          <w:lang w:val="fr-FR"/>
        </w:rPr>
        <w:t>118 sont indiquées en caractères gras.</w:t>
      </w:r>
    </w:p>
    <w:p w:rsidR="00797BA1" w:rsidRDefault="00797BA1" w:rsidP="0004624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97BA1">
        <w:rPr>
          <w:lang w:val="fr-FR"/>
        </w:rPr>
        <w:br w:type="page"/>
      </w:r>
      <w:r w:rsidR="0004624F">
        <w:rPr>
          <w:lang w:val="fr-FR"/>
        </w:rPr>
        <w:lastRenderedPageBreak/>
        <w:tab/>
      </w:r>
      <w:r w:rsidRPr="00797BA1">
        <w:rPr>
          <w:lang w:val="fr-FR"/>
        </w:rPr>
        <w:t>I.</w:t>
      </w:r>
      <w:r w:rsidRPr="00797BA1">
        <w:rPr>
          <w:lang w:val="fr-FR"/>
        </w:rPr>
        <w:tab/>
        <w:t>Proposition</w:t>
      </w:r>
    </w:p>
    <w:p w:rsidR="0004624F" w:rsidRPr="0004624F" w:rsidRDefault="0004624F" w:rsidP="0004624F">
      <w:pPr>
        <w:pStyle w:val="SingleTxt"/>
        <w:spacing w:after="0" w:line="120" w:lineRule="exact"/>
        <w:rPr>
          <w:sz w:val="10"/>
          <w:lang w:val="fr-FR"/>
        </w:rPr>
      </w:pPr>
    </w:p>
    <w:p w:rsidR="0004624F" w:rsidRPr="0004624F" w:rsidRDefault="0004624F" w:rsidP="0004624F">
      <w:pPr>
        <w:pStyle w:val="SingleTxt"/>
        <w:spacing w:after="0" w:line="120" w:lineRule="exact"/>
        <w:rPr>
          <w:sz w:val="10"/>
          <w:lang w:val="fr-FR"/>
        </w:rPr>
      </w:pPr>
    </w:p>
    <w:p w:rsidR="00797BA1" w:rsidRPr="00797BA1" w:rsidRDefault="00797BA1" w:rsidP="00797BA1">
      <w:pPr>
        <w:pStyle w:val="SingleTxt"/>
        <w:rPr>
          <w:iCs/>
          <w:lang w:val="fr-FR"/>
        </w:rPr>
      </w:pPr>
      <w:r w:rsidRPr="00797BA1">
        <w:rPr>
          <w:i/>
          <w:lang w:val="fr-FR"/>
        </w:rPr>
        <w:t>Table des matières, point 5</w:t>
      </w:r>
      <w:r w:rsidRPr="00797BA1">
        <w:rPr>
          <w:lang w:val="fr-FR"/>
        </w:rPr>
        <w:t xml:space="preserve">, </w:t>
      </w:r>
      <w:proofErr w:type="gramStart"/>
      <w:r w:rsidRPr="00797BA1">
        <w:rPr>
          <w:lang w:val="fr-FR"/>
        </w:rPr>
        <w:t>modifier</w:t>
      </w:r>
      <w:proofErr w:type="gramEnd"/>
      <w:r w:rsidRPr="00797BA1">
        <w:rPr>
          <w:lang w:val="fr-FR"/>
        </w:rPr>
        <w:t xml:space="preserve"> comme suit</w:t>
      </w:r>
      <w:r w:rsidR="0004624F">
        <w:rPr>
          <w:lang w:val="fr-FR"/>
        </w:rPr>
        <w:t> </w:t>
      </w:r>
      <w:r w:rsidRPr="00797BA1">
        <w:rPr>
          <w:lang w:val="fr-FR"/>
        </w:rPr>
        <w:t>:</w:t>
      </w:r>
    </w:p>
    <w:p w:rsidR="00797BA1" w:rsidRPr="00797BA1" w:rsidRDefault="0004624F" w:rsidP="0004624F">
      <w:pPr>
        <w:pStyle w:val="SingleTxt"/>
        <w:ind w:left="2218" w:hanging="951"/>
        <w:rPr>
          <w:lang w:val="fr-FR"/>
        </w:rPr>
      </w:pPr>
      <w:r>
        <w:rPr>
          <w:lang w:val="fr-FR"/>
        </w:rPr>
        <w:t>« </w:t>
      </w:r>
      <w:r w:rsidR="00797BA1" w:rsidRPr="00797BA1">
        <w:rPr>
          <w:lang w:val="fr-FR"/>
        </w:rPr>
        <w:t>5.</w:t>
      </w:r>
      <w:r w:rsidR="00797BA1" w:rsidRPr="00797BA1">
        <w:rPr>
          <w:lang w:val="fr-FR"/>
        </w:rPr>
        <w:tab/>
      </w:r>
      <w:r>
        <w:rPr>
          <w:lang w:val="fr-FR"/>
        </w:rPr>
        <w:tab/>
      </w:r>
      <w:r w:rsidR="00797BA1" w:rsidRPr="00797BA1">
        <w:rPr>
          <w:lang w:val="fr-FR"/>
        </w:rPr>
        <w:t>Première partie</w:t>
      </w:r>
      <w:r w:rsidR="00F8294D">
        <w:rPr>
          <w:lang w:val="fr-FR"/>
        </w:rPr>
        <w:t> </w:t>
      </w:r>
      <w:r w:rsidR="00797BA1" w:rsidRPr="00797BA1">
        <w:rPr>
          <w:lang w:val="fr-FR"/>
        </w:rPr>
        <w:t>: Homologation d’un type de véhicule en ce qui concerne le comportement au feu des éléments présents dans le compartiment intérieur, dans le compartiment moteur et dans tout compartiment de chauffage séparé</w:t>
      </w:r>
      <w:r w:rsidR="00797BA1" w:rsidRPr="00797BA1">
        <w:rPr>
          <w:b/>
          <w:lang w:val="fr-FR"/>
        </w:rPr>
        <w:t>, ainsi que des câbles électriques et des gaines ou manchons de câbles utilisés dans le véhicule,</w:t>
      </w:r>
      <w:r w:rsidR="00797BA1" w:rsidRPr="00797BA1">
        <w:rPr>
          <w:lang w:val="fr-FR"/>
        </w:rPr>
        <w:t xml:space="preserve"> et/ou l’imperméabilité aux carburants ou aux lubrifiants des matériaux d’isolation utilisés dans le compartiment moteur et dans tout compartiment de chauffage séparé</w:t>
      </w:r>
      <w:r>
        <w:rPr>
          <w:lang w:val="fr-FR"/>
        </w:rPr>
        <w:t>.</w:t>
      </w:r>
      <w:r w:rsidR="00797BA1" w:rsidRPr="00797BA1">
        <w:rPr>
          <w:lang w:val="fr-FR"/>
        </w:rPr>
        <w:t> ».</w:t>
      </w:r>
    </w:p>
    <w:p w:rsidR="00797BA1" w:rsidRPr="00797BA1" w:rsidRDefault="00797BA1" w:rsidP="00797BA1">
      <w:pPr>
        <w:pStyle w:val="SingleTxt"/>
        <w:rPr>
          <w:iCs/>
          <w:lang w:val="fr-FR"/>
        </w:rPr>
      </w:pPr>
      <w:r w:rsidRPr="00797BA1">
        <w:rPr>
          <w:i/>
          <w:lang w:val="fr-FR"/>
        </w:rPr>
        <w:t>Paragraphe 1.2</w:t>
      </w:r>
      <w:r w:rsidRPr="00797BA1">
        <w:rPr>
          <w:lang w:val="fr-FR"/>
        </w:rPr>
        <w:t xml:space="preserve">, </w:t>
      </w:r>
      <w:proofErr w:type="gramStart"/>
      <w:r w:rsidRPr="00797BA1">
        <w:rPr>
          <w:lang w:val="fr-FR"/>
        </w:rPr>
        <w:t>modifier</w:t>
      </w:r>
      <w:proofErr w:type="gramEnd"/>
      <w:r w:rsidRPr="00797BA1">
        <w:rPr>
          <w:lang w:val="fr-FR"/>
        </w:rPr>
        <w:t xml:space="preserve"> comme suit</w:t>
      </w:r>
      <w:r w:rsidR="0004624F">
        <w:rPr>
          <w:lang w:val="fr-FR"/>
        </w:rPr>
        <w:t> </w:t>
      </w:r>
      <w:r w:rsidRPr="00797BA1">
        <w:rPr>
          <w:lang w:val="fr-FR"/>
        </w:rPr>
        <w:t>:</w:t>
      </w:r>
    </w:p>
    <w:p w:rsidR="00797BA1" w:rsidRPr="00797BA1" w:rsidRDefault="0004624F" w:rsidP="0004624F">
      <w:pPr>
        <w:pStyle w:val="SingleTxt"/>
        <w:ind w:left="2218" w:hanging="951"/>
        <w:rPr>
          <w:b/>
          <w:lang w:val="fr-FR"/>
        </w:rPr>
      </w:pPr>
      <w:r>
        <w:rPr>
          <w:lang w:val="fr-FR"/>
        </w:rPr>
        <w:t>« </w:t>
      </w:r>
      <w:r w:rsidR="00797BA1" w:rsidRPr="00797BA1">
        <w:rPr>
          <w:lang w:val="fr-FR"/>
        </w:rPr>
        <w:t>1.2</w:t>
      </w:r>
      <w:r w:rsidR="00797BA1" w:rsidRPr="00797BA1">
        <w:rPr>
          <w:lang w:val="fr-FR"/>
        </w:rPr>
        <w:tab/>
      </w:r>
      <w:r>
        <w:rPr>
          <w:lang w:val="fr-FR"/>
        </w:rPr>
        <w:tab/>
      </w:r>
      <w:r w:rsidR="00797BA1" w:rsidRPr="00797BA1">
        <w:rPr>
          <w:lang w:val="fr-FR"/>
        </w:rPr>
        <w:t>Première partie</w:t>
      </w:r>
      <w:r w:rsidR="007C3C74">
        <w:rPr>
          <w:lang w:val="fr-FR"/>
        </w:rPr>
        <w:t> :</w:t>
      </w:r>
      <w:r w:rsidR="00797BA1" w:rsidRPr="00797BA1">
        <w:rPr>
          <w:lang w:val="fr-FR"/>
        </w:rPr>
        <w:t xml:space="preserve"> Homologation d’un type de véhicule en ce qui concerne le comportement au feu et/ou l’imperméabilité aux carburants ou aux lubrifiants des éléments présents dans le compartiment intérieur, dans le compartiment moteur et dans tout compartiment de chauffage séparé</w:t>
      </w:r>
      <w:r w:rsidR="00797BA1" w:rsidRPr="00797BA1">
        <w:rPr>
          <w:b/>
          <w:lang w:val="fr-FR"/>
        </w:rPr>
        <w:t>, et en ce qui concerne le comportement au feu des câbles électriques et des gaines ou manchons de câbles utilisés dans le véhicule</w:t>
      </w:r>
      <w:r w:rsidR="00797BA1" w:rsidRPr="00797BA1">
        <w:rPr>
          <w:lang w:val="fr-FR"/>
        </w:rPr>
        <w:t>. ».</w:t>
      </w:r>
    </w:p>
    <w:p w:rsidR="00797BA1" w:rsidRPr="00797BA1" w:rsidRDefault="00797BA1" w:rsidP="00797BA1">
      <w:pPr>
        <w:pStyle w:val="SingleTxt"/>
        <w:rPr>
          <w:iCs/>
          <w:lang w:val="fr-FR"/>
        </w:rPr>
      </w:pPr>
      <w:r w:rsidRPr="00797BA1">
        <w:rPr>
          <w:i/>
          <w:lang w:val="fr-FR"/>
        </w:rPr>
        <w:t>Paragraphes 5.2 à 5.2.2</w:t>
      </w:r>
      <w:r w:rsidRPr="0004624F">
        <w:rPr>
          <w:lang w:val="fr-FR"/>
        </w:rPr>
        <w:t>,</w:t>
      </w:r>
      <w:r w:rsidRPr="00797BA1">
        <w:rPr>
          <w:lang w:val="fr-FR"/>
        </w:rPr>
        <w:t xml:space="preserve"> </w:t>
      </w:r>
      <w:proofErr w:type="gramStart"/>
      <w:r w:rsidRPr="00797BA1">
        <w:rPr>
          <w:lang w:val="fr-FR"/>
        </w:rPr>
        <w:t>modifier</w:t>
      </w:r>
      <w:proofErr w:type="gramEnd"/>
      <w:r w:rsidRPr="00797BA1">
        <w:rPr>
          <w:lang w:val="fr-FR"/>
        </w:rPr>
        <w:t xml:space="preserve"> comme suit</w:t>
      </w:r>
      <w:r w:rsidR="0004624F">
        <w:rPr>
          <w:lang w:val="fr-FR"/>
        </w:rPr>
        <w:t> </w:t>
      </w:r>
      <w:r w:rsidRPr="00797BA1">
        <w:rPr>
          <w:lang w:val="fr-FR"/>
        </w:rPr>
        <w:t>:</w:t>
      </w:r>
    </w:p>
    <w:p w:rsidR="00797BA1" w:rsidRPr="00797BA1" w:rsidRDefault="0004624F" w:rsidP="00797BA1">
      <w:pPr>
        <w:pStyle w:val="SingleTxt"/>
        <w:rPr>
          <w:lang w:val="fr-FR"/>
        </w:rPr>
      </w:pPr>
      <w:r>
        <w:rPr>
          <w:lang w:val="fr-FR"/>
        </w:rPr>
        <w:t>« </w:t>
      </w:r>
      <w:r w:rsidR="00797BA1" w:rsidRPr="00797BA1">
        <w:rPr>
          <w:lang w:val="fr-FR"/>
        </w:rPr>
        <w:t>5.2</w:t>
      </w:r>
      <w:r w:rsidR="00797BA1" w:rsidRPr="00797BA1">
        <w:rPr>
          <w:lang w:val="fr-FR"/>
        </w:rPr>
        <w:tab/>
      </w:r>
      <w:r>
        <w:rPr>
          <w:lang w:val="fr-FR"/>
        </w:rPr>
        <w:tab/>
      </w:r>
      <w:r w:rsidR="00797BA1" w:rsidRPr="00797BA1">
        <w:rPr>
          <w:lang w:val="fr-FR"/>
        </w:rPr>
        <w:t>Spécifications</w:t>
      </w:r>
    </w:p>
    <w:p w:rsidR="00797BA1" w:rsidRPr="00797BA1" w:rsidRDefault="00797BA1" w:rsidP="0004624F">
      <w:pPr>
        <w:pStyle w:val="SingleTxt"/>
        <w:ind w:left="2218" w:hanging="951"/>
        <w:rPr>
          <w:lang w:val="fr-FR"/>
        </w:rPr>
      </w:pPr>
      <w:r w:rsidRPr="00797BA1">
        <w:rPr>
          <w:lang w:val="fr-FR"/>
        </w:rPr>
        <w:t>5.2.1</w:t>
      </w:r>
      <w:r w:rsidRPr="00797BA1">
        <w:rPr>
          <w:lang w:val="fr-FR"/>
        </w:rPr>
        <w:tab/>
      </w:r>
      <w:r w:rsidR="0004624F">
        <w:rPr>
          <w:lang w:val="fr-FR"/>
        </w:rPr>
        <w:tab/>
      </w:r>
      <w:r w:rsidRPr="00797BA1">
        <w:rPr>
          <w:lang w:val="fr-FR"/>
        </w:rPr>
        <w:t>Les matériaux utilisés pour le compartiment intérieur et ne se trouvant pas à plus de 13</w:t>
      </w:r>
      <w:r w:rsidR="0004624F">
        <w:rPr>
          <w:lang w:val="fr-FR"/>
        </w:rPr>
        <w:t> </w:t>
      </w:r>
      <w:r w:rsidRPr="00797BA1">
        <w:rPr>
          <w:lang w:val="fr-FR"/>
        </w:rPr>
        <w:t xml:space="preserve">mm de ce dernier, les matériaux utilisés dans le compartiment moteur et les matériaux utilisés dans le compartiment de chauffage distinct </w:t>
      </w:r>
      <w:r w:rsidRPr="00797BA1">
        <w:rPr>
          <w:b/>
          <w:lang w:val="fr-FR"/>
        </w:rPr>
        <w:t xml:space="preserve">ainsi que les câbles électriques et les gaines ou manchons de câbles </w:t>
      </w:r>
      <w:r w:rsidRPr="00797BA1">
        <w:rPr>
          <w:lang w:val="fr-FR"/>
        </w:rPr>
        <w:t>du véhicule soumis à l’homologation de type doivent satisfaire aux prescriptions de la deuxième partie du présent Règlement.</w:t>
      </w:r>
    </w:p>
    <w:p w:rsidR="00797BA1" w:rsidRPr="00797BA1" w:rsidRDefault="00797BA1" w:rsidP="0004624F">
      <w:pPr>
        <w:pStyle w:val="SingleTxt"/>
        <w:ind w:left="2218" w:hanging="951"/>
        <w:rPr>
          <w:lang w:val="fr-FR"/>
        </w:rPr>
      </w:pPr>
      <w:r w:rsidRPr="00797BA1">
        <w:rPr>
          <w:lang w:val="fr-FR"/>
        </w:rPr>
        <w:t>5.2.2</w:t>
      </w:r>
      <w:r w:rsidRPr="00797BA1">
        <w:rPr>
          <w:lang w:val="fr-FR"/>
        </w:rPr>
        <w:tab/>
      </w:r>
      <w:r w:rsidR="0004624F">
        <w:rPr>
          <w:lang w:val="fr-FR"/>
        </w:rPr>
        <w:tab/>
      </w:r>
      <w:r w:rsidRPr="00797BA1">
        <w:rPr>
          <w:lang w:val="fr-FR"/>
        </w:rPr>
        <w:t xml:space="preserve">Les matériaux et/ou les équipements utilisés dans le compartiment intérieur, le compartiment moteur et tout compartiment de chauffage séparé et/ou dans les composants homologués en tant que tels, </w:t>
      </w:r>
      <w:r w:rsidRPr="00797BA1">
        <w:rPr>
          <w:b/>
          <w:lang w:val="fr-FR"/>
        </w:rPr>
        <w:t>les câbles électriques et les gaines ou manchons de câbles du véhicule</w:t>
      </w:r>
      <w:r w:rsidRPr="00797BA1">
        <w:rPr>
          <w:lang w:val="fr-FR"/>
        </w:rPr>
        <w:t xml:space="preserve"> doivent être installés de manière à réduire autant que possible le risque d’inflammation et de propagation des flammes. ».</w:t>
      </w:r>
    </w:p>
    <w:p w:rsidR="00797BA1" w:rsidRPr="00797BA1" w:rsidRDefault="00797BA1" w:rsidP="00797BA1">
      <w:pPr>
        <w:pStyle w:val="SingleTxt"/>
        <w:rPr>
          <w:iCs/>
          <w:lang w:val="fr-FR"/>
        </w:rPr>
      </w:pPr>
      <w:r w:rsidRPr="00797BA1">
        <w:rPr>
          <w:i/>
          <w:lang w:val="fr-FR"/>
        </w:rPr>
        <w:t>Deuxième partie, paragraphe 6.2.6</w:t>
      </w:r>
      <w:r w:rsidRPr="00797BA1">
        <w:rPr>
          <w:lang w:val="fr-FR"/>
        </w:rPr>
        <w:t xml:space="preserve">, </w:t>
      </w:r>
      <w:proofErr w:type="gramStart"/>
      <w:r w:rsidRPr="00797BA1">
        <w:rPr>
          <w:lang w:val="fr-FR"/>
        </w:rPr>
        <w:t>modifier</w:t>
      </w:r>
      <w:proofErr w:type="gramEnd"/>
      <w:r w:rsidRPr="00797BA1">
        <w:rPr>
          <w:lang w:val="fr-FR"/>
        </w:rPr>
        <w:t xml:space="preserve"> comme suit</w:t>
      </w:r>
      <w:r w:rsidR="0004624F">
        <w:rPr>
          <w:lang w:val="fr-FR"/>
        </w:rPr>
        <w:t> </w:t>
      </w:r>
      <w:r w:rsidRPr="00797BA1">
        <w:rPr>
          <w:lang w:val="fr-FR"/>
        </w:rPr>
        <w:t>:</w:t>
      </w:r>
    </w:p>
    <w:p w:rsidR="00797BA1" w:rsidRPr="00797BA1" w:rsidRDefault="0004624F" w:rsidP="0004624F">
      <w:pPr>
        <w:pStyle w:val="SingleTxt"/>
        <w:ind w:left="2218" w:hanging="951"/>
        <w:rPr>
          <w:lang w:val="fr-FR"/>
        </w:rPr>
      </w:pPr>
      <w:r>
        <w:rPr>
          <w:lang w:val="fr-FR"/>
        </w:rPr>
        <w:t>« </w:t>
      </w:r>
      <w:r w:rsidR="00797BA1" w:rsidRPr="00797BA1">
        <w:rPr>
          <w:lang w:val="fr-FR"/>
        </w:rPr>
        <w:t>6.2.6</w:t>
      </w:r>
      <w:r w:rsidR="00797BA1" w:rsidRPr="00797BA1">
        <w:rPr>
          <w:lang w:val="fr-FR"/>
        </w:rPr>
        <w:tab/>
        <w:t>Les câbles électriques</w:t>
      </w:r>
      <w:r w:rsidR="00797BA1" w:rsidRPr="00797BA1">
        <w:rPr>
          <w:b/>
          <w:lang w:val="fr-FR"/>
        </w:rPr>
        <w:t xml:space="preserve"> (à conducteur simple, à conducteurs multiples, blindés, non blindés ou gainés, par exemple) d’une longueur supérieure à 100 mm utilisés dans le véhicule</w:t>
      </w:r>
      <w:r w:rsidR="00797BA1" w:rsidRPr="00797BA1">
        <w:rPr>
          <w:lang w:val="fr-FR"/>
        </w:rPr>
        <w:t xml:space="preserve"> doivent être soumis à l’essai de </w:t>
      </w:r>
      <w:proofErr w:type="gramStart"/>
      <w:r w:rsidR="00797BA1" w:rsidRPr="00797BA1">
        <w:rPr>
          <w:lang w:val="fr-FR"/>
        </w:rPr>
        <w:t>résistance</w:t>
      </w:r>
      <w:proofErr w:type="gramEnd"/>
      <w:r w:rsidR="00797BA1" w:rsidRPr="00797BA1">
        <w:rPr>
          <w:lang w:val="fr-FR"/>
        </w:rPr>
        <w:t xml:space="preserve"> à la propagation des flammes décrit dans la norme ISO</w:t>
      </w:r>
      <w:r w:rsidR="00797BA1" w:rsidRPr="00797BA1">
        <w:rPr>
          <w:b/>
          <w:lang w:val="fr-FR"/>
        </w:rPr>
        <w:t xml:space="preserve"> 6722-1:2011, paragraphe 5.22</w:t>
      </w:r>
      <w:r w:rsidR="00797BA1" w:rsidRPr="00797BA1">
        <w:rPr>
          <w:lang w:val="fr-FR"/>
        </w:rPr>
        <w:t>.</w:t>
      </w:r>
    </w:p>
    <w:p w:rsidR="00797BA1" w:rsidRPr="00797BA1" w:rsidRDefault="0004624F" w:rsidP="0004624F">
      <w:pPr>
        <w:pStyle w:val="SingleTxt"/>
        <w:ind w:left="2218" w:hanging="951"/>
        <w:rPr>
          <w:lang w:val="fr-FR"/>
        </w:rPr>
      </w:pPr>
      <w:r>
        <w:rPr>
          <w:lang w:val="fr-FR"/>
        </w:rPr>
        <w:tab/>
      </w:r>
      <w:r w:rsidR="00797BA1" w:rsidRPr="00797BA1">
        <w:rPr>
          <w:lang w:val="fr-FR"/>
        </w:rPr>
        <w:tab/>
        <w:t>Le résultat de l’essai est considéré comme satisfaisant si, compte tenu des plus mauvais résultats, toute flamme de combustion du matériau isolant s’éteint en 70 secondes au plus et si au moins 50</w:t>
      </w:r>
      <w:r>
        <w:rPr>
          <w:lang w:val="fr-FR"/>
        </w:rPr>
        <w:t> </w:t>
      </w:r>
      <w:r w:rsidR="00797BA1" w:rsidRPr="00797BA1">
        <w:rPr>
          <w:lang w:val="fr-FR"/>
        </w:rPr>
        <w:t>mm d’isolant au sommet de l’échantillon d’essai ne brûlent pas.</w:t>
      </w:r>
    </w:p>
    <w:p w:rsidR="00797BA1" w:rsidRPr="00797BA1" w:rsidRDefault="0004624F" w:rsidP="0004624F">
      <w:pPr>
        <w:pStyle w:val="SingleTxt"/>
        <w:ind w:left="2218" w:hanging="951"/>
        <w:rPr>
          <w:lang w:val="fr-FR"/>
        </w:rPr>
      </w:pPr>
      <w:r>
        <w:rPr>
          <w:b/>
          <w:lang w:val="fr-FR"/>
        </w:rPr>
        <w:tab/>
      </w:r>
      <w:r w:rsidR="00797BA1" w:rsidRPr="00797BA1">
        <w:rPr>
          <w:b/>
          <w:lang w:val="fr-FR"/>
        </w:rPr>
        <w:tab/>
        <w:t>Les gaines ou manchons de câbles dont la longueur est supérieure à 100</w:t>
      </w:r>
      <w:r>
        <w:rPr>
          <w:b/>
          <w:lang w:val="fr-FR"/>
        </w:rPr>
        <w:t> </w:t>
      </w:r>
      <w:r w:rsidR="00797BA1" w:rsidRPr="00797BA1">
        <w:rPr>
          <w:b/>
          <w:lang w:val="fr-FR"/>
        </w:rPr>
        <w:t>mm doivent être soumis à l’essai permettant de déterminer la vitesse de combustion des matériaux, tel qu’il est décrit à l’annexe 8.</w:t>
      </w:r>
      <w:r w:rsidR="00797BA1" w:rsidRPr="00797BA1">
        <w:rPr>
          <w:lang w:val="fr-FR"/>
        </w:rPr>
        <w:t> ».</w:t>
      </w:r>
    </w:p>
    <w:p w:rsidR="00797BA1" w:rsidRPr="00797BA1" w:rsidRDefault="00797BA1" w:rsidP="00797BA1">
      <w:pPr>
        <w:pStyle w:val="SingleTxt"/>
        <w:rPr>
          <w:i/>
          <w:lang w:val="fr-FR"/>
        </w:rPr>
      </w:pPr>
      <w:r w:rsidRPr="00797BA1">
        <w:rPr>
          <w:i/>
          <w:lang w:val="fr-FR"/>
        </w:rPr>
        <w:t>Ajouter les nouveaux paragraphes 12.11 à 12.14</w:t>
      </w:r>
      <w:r w:rsidRPr="00797BA1">
        <w:rPr>
          <w:lang w:val="fr-FR"/>
        </w:rPr>
        <w:t>, ainsi conçus</w:t>
      </w:r>
      <w:r w:rsidR="00F8294D">
        <w:rPr>
          <w:lang w:val="fr-FR"/>
        </w:rPr>
        <w:t> </w:t>
      </w:r>
      <w:r w:rsidRPr="00797BA1">
        <w:rPr>
          <w:lang w:val="fr-FR"/>
        </w:rPr>
        <w:t>:</w:t>
      </w:r>
    </w:p>
    <w:p w:rsidR="00797BA1" w:rsidRPr="00797BA1" w:rsidRDefault="00AE65D0" w:rsidP="00AE65D0">
      <w:pPr>
        <w:pStyle w:val="SingleTxt"/>
        <w:ind w:left="2218" w:hanging="951"/>
        <w:rPr>
          <w:b/>
          <w:lang w:val="fr-FR"/>
        </w:rPr>
      </w:pPr>
      <w:r>
        <w:rPr>
          <w:lang w:val="fr-FR"/>
        </w:rPr>
        <w:t>« </w:t>
      </w:r>
      <w:r w:rsidR="00797BA1" w:rsidRPr="00797BA1">
        <w:rPr>
          <w:b/>
          <w:lang w:val="fr-FR"/>
        </w:rPr>
        <w:t>12.11</w:t>
      </w:r>
      <w:r w:rsidR="00797BA1" w:rsidRPr="00797BA1">
        <w:rPr>
          <w:b/>
          <w:lang w:val="fr-FR"/>
        </w:rPr>
        <w:tab/>
        <w:t xml:space="preserve">À compter de la date officielle d’entrée en vigueur de la série 03 d’amendements, aucune Partie contractante appliquant le présent </w:t>
      </w:r>
      <w:r w:rsidR="00797BA1" w:rsidRPr="00797BA1">
        <w:rPr>
          <w:b/>
          <w:lang w:val="fr-FR"/>
        </w:rPr>
        <w:lastRenderedPageBreak/>
        <w:t>Règlement ne peut refuser d’accorder une homologation en vertu dudit Règlement tel que modifié par ladite série.</w:t>
      </w:r>
    </w:p>
    <w:p w:rsidR="00797BA1" w:rsidRPr="00797BA1" w:rsidRDefault="00797BA1" w:rsidP="00AE65D0">
      <w:pPr>
        <w:pStyle w:val="SingleTxt"/>
        <w:ind w:left="2218" w:hanging="951"/>
        <w:rPr>
          <w:b/>
          <w:lang w:val="fr-FR"/>
        </w:rPr>
      </w:pPr>
      <w:r w:rsidRPr="00797BA1">
        <w:rPr>
          <w:b/>
          <w:lang w:val="fr-FR"/>
        </w:rPr>
        <w:t>12.12</w:t>
      </w:r>
      <w:r w:rsidRPr="00797BA1">
        <w:rPr>
          <w:b/>
          <w:lang w:val="fr-FR"/>
        </w:rPr>
        <w:tab/>
        <w:t>À compter du 1</w:t>
      </w:r>
      <w:r w:rsidRPr="00797BA1">
        <w:rPr>
          <w:b/>
          <w:vertAlign w:val="superscript"/>
          <w:lang w:val="fr-FR"/>
        </w:rPr>
        <w:t>er</w:t>
      </w:r>
      <w:r w:rsidR="00AE65D0">
        <w:rPr>
          <w:b/>
          <w:lang w:val="fr-FR"/>
        </w:rPr>
        <w:t> </w:t>
      </w:r>
      <w:r w:rsidRPr="00797BA1">
        <w:rPr>
          <w:b/>
          <w:lang w:val="fr-FR"/>
        </w:rPr>
        <w:t>septembre 2019, les Parties contractantes appliquant le présent Règlement ne peuvent accorder des homologations que si le type de véhicule ou d’élément à homologuer satisfait aux prescriptions dudit Règlement tel que modifié par la série 03 d’amendements.</w:t>
      </w:r>
    </w:p>
    <w:p w:rsidR="00797BA1" w:rsidRPr="00797BA1" w:rsidRDefault="00797BA1" w:rsidP="00AE65D0">
      <w:pPr>
        <w:pStyle w:val="SingleTxt"/>
        <w:ind w:left="2218" w:hanging="951"/>
        <w:rPr>
          <w:b/>
          <w:lang w:val="fr-FR"/>
        </w:rPr>
      </w:pPr>
      <w:r w:rsidRPr="00797BA1">
        <w:rPr>
          <w:b/>
          <w:lang w:val="fr-FR"/>
        </w:rPr>
        <w:t>12.13</w:t>
      </w:r>
      <w:r w:rsidRPr="00797BA1">
        <w:rPr>
          <w:b/>
          <w:lang w:val="fr-FR"/>
        </w:rPr>
        <w:tab/>
        <w:t>À compter du 26</w:t>
      </w:r>
      <w:r w:rsidR="00AE65D0">
        <w:rPr>
          <w:b/>
          <w:lang w:val="fr-FR"/>
        </w:rPr>
        <w:t> </w:t>
      </w:r>
      <w:r w:rsidRPr="00797BA1">
        <w:rPr>
          <w:b/>
          <w:lang w:val="fr-FR"/>
        </w:rPr>
        <w:t>juillet 2020, les Parties contractantes appliquant le présent Règlement peuvent refuser une première immatriculation nationale (première mise en service) pour un véhicule qui ne satisfait pas aux prescriptions dudit Règlement tel que modifié par la série 03 d’amendements.</w:t>
      </w:r>
    </w:p>
    <w:p w:rsidR="00797BA1" w:rsidRPr="00797BA1" w:rsidRDefault="00797BA1" w:rsidP="00AE65D0">
      <w:pPr>
        <w:pStyle w:val="SingleTxt"/>
        <w:ind w:left="2218" w:hanging="951"/>
        <w:rPr>
          <w:lang w:val="fr-FR"/>
        </w:rPr>
      </w:pPr>
      <w:r w:rsidRPr="00797BA1">
        <w:rPr>
          <w:b/>
          <w:lang w:val="fr-FR"/>
        </w:rPr>
        <w:t>12.14</w:t>
      </w:r>
      <w:r w:rsidRPr="00797BA1">
        <w:rPr>
          <w:b/>
          <w:lang w:val="fr-FR"/>
        </w:rPr>
        <w:tab/>
        <w:t>Même après l’entrée en vigueur de la série 03 d’amendements, les homologations d’éléments accordées en vertu de la précédente série d’amendements au présent Règlement restent valables et les Parties contractantes appliquant ledit Règlement continuent à les accepter.</w:t>
      </w:r>
      <w:r w:rsidRPr="00797BA1">
        <w:rPr>
          <w:lang w:val="fr-FR"/>
        </w:rPr>
        <w:t> ».</w:t>
      </w:r>
    </w:p>
    <w:p w:rsidR="00AE65D0" w:rsidRPr="00AE65D0" w:rsidRDefault="00AE65D0" w:rsidP="00AE65D0">
      <w:pPr>
        <w:pStyle w:val="SingleTxt"/>
        <w:spacing w:after="0" w:line="120" w:lineRule="exact"/>
        <w:rPr>
          <w:b/>
          <w:sz w:val="10"/>
          <w:lang w:val="fr-FR"/>
        </w:rPr>
      </w:pPr>
    </w:p>
    <w:p w:rsidR="00AE65D0" w:rsidRPr="00AE65D0" w:rsidRDefault="00AE65D0" w:rsidP="00AE65D0">
      <w:pPr>
        <w:pStyle w:val="SingleTxt"/>
        <w:spacing w:after="0" w:line="120" w:lineRule="exact"/>
        <w:rPr>
          <w:b/>
          <w:sz w:val="10"/>
          <w:lang w:val="fr-FR"/>
        </w:rPr>
      </w:pPr>
    </w:p>
    <w:p w:rsidR="00797BA1" w:rsidRDefault="00797BA1" w:rsidP="00AE65D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97BA1">
        <w:rPr>
          <w:lang w:val="fr-FR"/>
        </w:rPr>
        <w:tab/>
        <w:t>II.</w:t>
      </w:r>
      <w:r w:rsidRPr="00797BA1">
        <w:rPr>
          <w:lang w:val="fr-FR"/>
        </w:rPr>
        <w:tab/>
        <w:t>Justification</w:t>
      </w:r>
    </w:p>
    <w:p w:rsidR="00AE65D0" w:rsidRPr="00AE65D0" w:rsidRDefault="00AE65D0" w:rsidP="00AE65D0">
      <w:pPr>
        <w:pStyle w:val="SingleTxt"/>
        <w:spacing w:after="0" w:line="120" w:lineRule="exact"/>
        <w:rPr>
          <w:sz w:val="10"/>
          <w:lang w:val="fr-FR"/>
        </w:rPr>
      </w:pPr>
    </w:p>
    <w:p w:rsidR="00AE65D0" w:rsidRPr="00AE65D0" w:rsidRDefault="00AE65D0" w:rsidP="00AE65D0">
      <w:pPr>
        <w:pStyle w:val="SingleTxt"/>
        <w:spacing w:after="0" w:line="120" w:lineRule="exact"/>
        <w:rPr>
          <w:sz w:val="10"/>
          <w:lang w:val="fr-FR"/>
        </w:rPr>
      </w:pPr>
    </w:p>
    <w:p w:rsidR="00797BA1" w:rsidRPr="00797BA1" w:rsidRDefault="00797BA1" w:rsidP="00AE65D0">
      <w:pPr>
        <w:pStyle w:val="SingleTxt"/>
        <w:numPr>
          <w:ilvl w:val="0"/>
          <w:numId w:val="8"/>
        </w:numPr>
        <w:tabs>
          <w:tab w:val="clear" w:pos="475"/>
          <w:tab w:val="num" w:pos="1742"/>
        </w:tabs>
        <w:ind w:left="1267"/>
        <w:rPr>
          <w:lang w:val="fr-FR"/>
        </w:rPr>
      </w:pPr>
      <w:r w:rsidRPr="00797BA1">
        <w:rPr>
          <w:lang w:val="fr-FR"/>
        </w:rPr>
        <w:t>Les gaines et les manchons de câbles sont ajoutés au paragraphe 6.2.6. Tout comme les câbles électriques, les gaines et les manchons de câbles peuvent contribuer de façon non négligeable à la propagation des flammes.</w:t>
      </w:r>
    </w:p>
    <w:p w:rsidR="00797BA1" w:rsidRPr="00797BA1" w:rsidRDefault="00797BA1" w:rsidP="00AE65D0">
      <w:pPr>
        <w:pStyle w:val="SingleTxt"/>
        <w:numPr>
          <w:ilvl w:val="0"/>
          <w:numId w:val="8"/>
        </w:numPr>
        <w:tabs>
          <w:tab w:val="clear" w:pos="475"/>
          <w:tab w:val="num" w:pos="1742"/>
        </w:tabs>
        <w:ind w:left="1267"/>
        <w:rPr>
          <w:lang w:val="fr-FR"/>
        </w:rPr>
      </w:pPr>
      <w:r w:rsidRPr="00797BA1">
        <w:rPr>
          <w:lang w:val="fr-FR"/>
        </w:rPr>
        <w:t>Sachant que les câbles électriques et les gaines et manchons de câbles courts reliés à des composants tels que les alternateurs, les démarreurs et les dispositifs de commande contribuent de façon négligeable à la propagation du feu, il semble logique de viser les pièces dont la longueur dépasse 100</w:t>
      </w:r>
      <w:r w:rsidR="00AE65D0">
        <w:rPr>
          <w:lang w:val="fr-FR"/>
        </w:rPr>
        <w:t> </w:t>
      </w:r>
      <w:r w:rsidRPr="00797BA1">
        <w:rPr>
          <w:lang w:val="fr-FR"/>
        </w:rPr>
        <w:t>mm.</w:t>
      </w:r>
    </w:p>
    <w:p w:rsidR="00797BA1" w:rsidRPr="00FA709D" w:rsidRDefault="00797BA1" w:rsidP="00AE65D0">
      <w:pPr>
        <w:pStyle w:val="SingleTxt"/>
        <w:numPr>
          <w:ilvl w:val="0"/>
          <w:numId w:val="8"/>
        </w:numPr>
        <w:tabs>
          <w:tab w:val="clear" w:pos="475"/>
          <w:tab w:val="num" w:pos="1742"/>
        </w:tabs>
        <w:ind w:left="1267"/>
        <w:rPr>
          <w:lang w:val="fr-CH"/>
        </w:rPr>
      </w:pPr>
      <w:r w:rsidRPr="00797BA1">
        <w:rPr>
          <w:lang w:val="fr-FR"/>
        </w:rPr>
        <w:t>Ainsi, au paragraphe 6.2.6, il est proposé d’éprouver les gaines et les manchons de câbles dont la longueur dépasse 100</w:t>
      </w:r>
      <w:r w:rsidR="00AE65D0">
        <w:rPr>
          <w:lang w:val="fr-FR"/>
        </w:rPr>
        <w:t> </w:t>
      </w:r>
      <w:r w:rsidRPr="00797BA1">
        <w:rPr>
          <w:lang w:val="fr-FR"/>
        </w:rPr>
        <w:t>mm.</w:t>
      </w:r>
    </w:p>
    <w:p w:rsidR="008518BE" w:rsidRPr="00AE65D0" w:rsidRDefault="00AE65D0" w:rsidP="00AE65D0">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8518BE" w:rsidRPr="00AE65D0" w:rsidSect="008518BE">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26T16:27:00Z" w:initials="Start">
    <w:p w:rsidR="008518BE" w:rsidRPr="00FA709D" w:rsidRDefault="008518BE">
      <w:pPr>
        <w:pStyle w:val="CommentText"/>
        <w:rPr>
          <w:lang w:val="en-GB"/>
        </w:rPr>
      </w:pPr>
      <w:r>
        <w:fldChar w:fldCharType="begin"/>
      </w:r>
      <w:r w:rsidRPr="00FA709D">
        <w:rPr>
          <w:rStyle w:val="CommentReference"/>
          <w:lang w:val="en-GB"/>
        </w:rPr>
        <w:instrText xml:space="preserve"> </w:instrText>
      </w:r>
      <w:r w:rsidRPr="00FA709D">
        <w:rPr>
          <w:lang w:val="en-GB"/>
        </w:rPr>
        <w:instrText>PAGE \# "'Page: '#'</w:instrText>
      </w:r>
      <w:r w:rsidRPr="00FA709D">
        <w:rPr>
          <w:lang w:val="en-GB"/>
        </w:rPr>
        <w:br/>
        <w:instrText>'"</w:instrText>
      </w:r>
      <w:r w:rsidRPr="00FA709D">
        <w:rPr>
          <w:rStyle w:val="CommentReference"/>
          <w:lang w:val="en-GB"/>
        </w:rPr>
        <w:instrText xml:space="preserve"> </w:instrText>
      </w:r>
      <w:r>
        <w:fldChar w:fldCharType="end"/>
      </w:r>
      <w:r>
        <w:rPr>
          <w:rStyle w:val="CommentReference"/>
        </w:rPr>
        <w:annotationRef/>
      </w:r>
      <w:r w:rsidRPr="00FA709D">
        <w:rPr>
          <w:lang w:val="en-GB"/>
        </w:rPr>
        <w:t>&lt;&lt;ODS JOB NO&gt;&gt;N1515366F&lt;&lt;ODS JOB NO&gt;&gt;</w:t>
      </w:r>
    </w:p>
    <w:p w:rsidR="008518BE" w:rsidRDefault="008518BE">
      <w:pPr>
        <w:pStyle w:val="CommentText"/>
      </w:pPr>
      <w:r>
        <w:t>&lt;&lt;ODS DOC SYMBOL1&gt;&gt;ECE/TRANS/WP.29/GRSG/2015/28&lt;&lt;ODS DOC SYMBOL1&gt;&gt;</w:t>
      </w:r>
    </w:p>
    <w:p w:rsidR="008518BE" w:rsidRDefault="008518B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6E0" w:rsidRDefault="005116E0" w:rsidP="00F3330B">
      <w:pPr>
        <w:spacing w:line="240" w:lineRule="auto"/>
      </w:pPr>
      <w:r>
        <w:separator/>
      </w:r>
    </w:p>
  </w:endnote>
  <w:endnote w:type="continuationSeparator" w:id="0">
    <w:p w:rsidR="005116E0" w:rsidRDefault="005116E0"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518BE" w:rsidTr="008518BE">
      <w:trPr>
        <w:jc w:val="center"/>
      </w:trPr>
      <w:tc>
        <w:tcPr>
          <w:tcW w:w="5126" w:type="dxa"/>
          <w:shd w:val="clear" w:color="auto" w:fill="auto"/>
        </w:tcPr>
        <w:p w:rsidR="008518BE" w:rsidRPr="008518BE" w:rsidRDefault="008518BE" w:rsidP="008518B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B2BDE">
            <w:rPr>
              <w:b w:val="0"/>
              <w:w w:val="103"/>
              <w:sz w:val="14"/>
            </w:rPr>
            <w:t>GE.15-11533</w:t>
          </w:r>
          <w:r>
            <w:rPr>
              <w:b w:val="0"/>
              <w:w w:val="103"/>
              <w:sz w:val="14"/>
            </w:rPr>
            <w:fldChar w:fldCharType="end"/>
          </w:r>
        </w:p>
      </w:tc>
      <w:tc>
        <w:tcPr>
          <w:tcW w:w="5127" w:type="dxa"/>
          <w:shd w:val="clear" w:color="auto" w:fill="auto"/>
        </w:tcPr>
        <w:p w:rsidR="008518BE" w:rsidRPr="008518BE" w:rsidRDefault="008518BE" w:rsidP="008518BE">
          <w:pPr>
            <w:pStyle w:val="Footer"/>
            <w:rPr>
              <w:w w:val="103"/>
            </w:rPr>
          </w:pPr>
          <w:r>
            <w:rPr>
              <w:w w:val="103"/>
            </w:rPr>
            <w:fldChar w:fldCharType="begin"/>
          </w:r>
          <w:r>
            <w:rPr>
              <w:w w:val="103"/>
            </w:rPr>
            <w:instrText xml:space="preserve"> PAGE  \* Arabic  \* MERGEFORMAT </w:instrText>
          </w:r>
          <w:r>
            <w:rPr>
              <w:w w:val="103"/>
            </w:rPr>
            <w:fldChar w:fldCharType="separate"/>
          </w:r>
          <w:r w:rsidR="00FA709D">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A709D">
            <w:rPr>
              <w:noProof/>
              <w:w w:val="103"/>
            </w:rPr>
            <w:t>3</w:t>
          </w:r>
          <w:r>
            <w:rPr>
              <w:w w:val="103"/>
            </w:rPr>
            <w:fldChar w:fldCharType="end"/>
          </w:r>
        </w:p>
      </w:tc>
    </w:tr>
  </w:tbl>
  <w:p w:rsidR="008518BE" w:rsidRPr="008518BE" w:rsidRDefault="008518BE" w:rsidP="008518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518BE" w:rsidTr="008518BE">
      <w:trPr>
        <w:jc w:val="center"/>
      </w:trPr>
      <w:tc>
        <w:tcPr>
          <w:tcW w:w="5126" w:type="dxa"/>
          <w:shd w:val="clear" w:color="auto" w:fill="auto"/>
        </w:tcPr>
        <w:p w:rsidR="008518BE" w:rsidRPr="008518BE" w:rsidRDefault="008518BE" w:rsidP="008518B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A709D">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A709D">
            <w:rPr>
              <w:noProof/>
              <w:w w:val="103"/>
            </w:rPr>
            <w:t>3</w:t>
          </w:r>
          <w:r>
            <w:rPr>
              <w:w w:val="103"/>
            </w:rPr>
            <w:fldChar w:fldCharType="end"/>
          </w:r>
        </w:p>
      </w:tc>
      <w:tc>
        <w:tcPr>
          <w:tcW w:w="5127" w:type="dxa"/>
          <w:shd w:val="clear" w:color="auto" w:fill="auto"/>
        </w:tcPr>
        <w:p w:rsidR="008518BE" w:rsidRPr="008518BE" w:rsidRDefault="008518BE" w:rsidP="008518B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B2BDE">
            <w:rPr>
              <w:b w:val="0"/>
              <w:w w:val="103"/>
              <w:sz w:val="14"/>
            </w:rPr>
            <w:t>GE.15-11533</w:t>
          </w:r>
          <w:r>
            <w:rPr>
              <w:b w:val="0"/>
              <w:w w:val="103"/>
              <w:sz w:val="14"/>
            </w:rPr>
            <w:fldChar w:fldCharType="end"/>
          </w:r>
        </w:p>
      </w:tc>
    </w:tr>
  </w:tbl>
  <w:p w:rsidR="008518BE" w:rsidRPr="008518BE" w:rsidRDefault="008518BE" w:rsidP="008518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BE" w:rsidRDefault="008518BE">
    <w:pPr>
      <w:pStyle w:val="Footer"/>
    </w:pPr>
    <w:r>
      <w:rPr>
        <w:noProof/>
        <w:lang w:val="en-GB" w:eastAsia="en-GB"/>
      </w:rPr>
      <w:drawing>
        <wp:anchor distT="0" distB="0" distL="114300" distR="114300" simplePos="0" relativeHeight="251658240" behindDoc="0" locked="0" layoutInCell="1" allowOverlap="1" wp14:anchorId="7F14F96B" wp14:editId="62B17288">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SG/2015/2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SG/2015/2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8518BE" w:rsidTr="008518BE">
      <w:tc>
        <w:tcPr>
          <w:tcW w:w="3859" w:type="dxa"/>
        </w:tcPr>
        <w:p w:rsidR="008518BE" w:rsidRDefault="008518BE" w:rsidP="008518B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B2BDE">
            <w:rPr>
              <w:b w:val="0"/>
              <w:sz w:val="20"/>
            </w:rPr>
            <w:t>GE.15-11533 (F)</w:t>
          </w:r>
          <w:r>
            <w:rPr>
              <w:b w:val="0"/>
              <w:sz w:val="20"/>
            </w:rPr>
            <w:fldChar w:fldCharType="end"/>
          </w:r>
          <w:r>
            <w:rPr>
              <w:b w:val="0"/>
              <w:sz w:val="20"/>
            </w:rPr>
            <w:t xml:space="preserve">    260815    2</w:t>
          </w:r>
          <w:r w:rsidR="00A235F3">
            <w:rPr>
              <w:b w:val="0"/>
              <w:sz w:val="20"/>
            </w:rPr>
            <w:t>7</w:t>
          </w:r>
          <w:r>
            <w:rPr>
              <w:b w:val="0"/>
              <w:sz w:val="20"/>
            </w:rPr>
            <w:t>0815</w:t>
          </w:r>
        </w:p>
        <w:p w:rsidR="008518BE" w:rsidRPr="008518BE" w:rsidRDefault="008518BE" w:rsidP="008518B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1B2BDE">
            <w:rPr>
              <w:rFonts w:ascii="Barcode 3 of 9 by request" w:hAnsi="Barcode 3 of 9 by request"/>
              <w:b w:val="0"/>
              <w:spacing w:val="0"/>
              <w:w w:val="100"/>
              <w:sz w:val="24"/>
            </w:rPr>
            <w:t>*1511533*</w:t>
          </w:r>
          <w:r>
            <w:rPr>
              <w:rFonts w:ascii="Barcode 3 of 9 by request" w:hAnsi="Barcode 3 of 9 by request"/>
              <w:b w:val="0"/>
              <w:spacing w:val="0"/>
              <w:w w:val="100"/>
              <w:sz w:val="24"/>
            </w:rPr>
            <w:fldChar w:fldCharType="end"/>
          </w:r>
        </w:p>
      </w:tc>
      <w:tc>
        <w:tcPr>
          <w:tcW w:w="5127" w:type="dxa"/>
        </w:tcPr>
        <w:p w:rsidR="008518BE" w:rsidRDefault="008518BE" w:rsidP="008518BE">
          <w:pPr>
            <w:pStyle w:val="Footer"/>
            <w:spacing w:line="240" w:lineRule="atLeast"/>
            <w:jc w:val="right"/>
            <w:rPr>
              <w:b w:val="0"/>
              <w:sz w:val="20"/>
            </w:rPr>
          </w:pPr>
          <w:r>
            <w:rPr>
              <w:b w:val="0"/>
              <w:noProof/>
              <w:sz w:val="20"/>
              <w:lang w:val="en-GB" w:eastAsia="en-GB"/>
            </w:rPr>
            <w:drawing>
              <wp:inline distT="0" distB="0" distL="0" distR="0" wp14:anchorId="4C83C491" wp14:editId="7618BD7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8518BE" w:rsidRPr="008518BE" w:rsidRDefault="008518BE" w:rsidP="008518BE">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6E0" w:rsidRPr="00A63E29" w:rsidRDefault="00A63E29" w:rsidP="00A63E29">
      <w:pPr>
        <w:pStyle w:val="Footer"/>
        <w:spacing w:after="80"/>
        <w:ind w:left="792"/>
        <w:rPr>
          <w:sz w:val="16"/>
        </w:rPr>
      </w:pPr>
      <w:r w:rsidRPr="00A63E29">
        <w:rPr>
          <w:sz w:val="16"/>
        </w:rPr>
        <w:t>__________________</w:t>
      </w:r>
    </w:p>
  </w:footnote>
  <w:footnote w:type="continuationSeparator" w:id="0">
    <w:p w:rsidR="005116E0" w:rsidRPr="00A63E29" w:rsidRDefault="00A63E29" w:rsidP="00A63E29">
      <w:pPr>
        <w:pStyle w:val="Footer"/>
        <w:spacing w:after="80"/>
        <w:ind w:left="792"/>
        <w:rPr>
          <w:sz w:val="16"/>
        </w:rPr>
      </w:pPr>
      <w:r w:rsidRPr="00A63E29">
        <w:rPr>
          <w:sz w:val="16"/>
        </w:rPr>
        <w:t>__________________</w:t>
      </w:r>
    </w:p>
  </w:footnote>
  <w:footnote w:id="1">
    <w:p w:rsidR="00797BA1" w:rsidRDefault="00A63E29" w:rsidP="00A63E29">
      <w:pPr>
        <w:pStyle w:val="FootnoteText"/>
        <w:tabs>
          <w:tab w:val="right" w:pos="1195"/>
          <w:tab w:val="left" w:pos="1267"/>
          <w:tab w:val="left" w:pos="1742"/>
          <w:tab w:val="left" w:pos="2218"/>
          <w:tab w:val="left" w:pos="2693"/>
        </w:tabs>
        <w:ind w:left="1267" w:right="1260" w:hanging="432"/>
        <w:rPr>
          <w:lang w:val="fr-FR"/>
        </w:rPr>
      </w:pPr>
      <w:r>
        <w:tab/>
      </w:r>
      <w:r w:rsidR="00797BA1">
        <w:t>*</w:t>
      </w:r>
      <w:r w:rsidR="00797BA1">
        <w:tab/>
        <w:t>Conformément au programme de travail du Comité des transports intérieurs pour la période 2012-2016 (ECE/TRANS/224, par.</w:t>
      </w:r>
      <w:r>
        <w:t> </w:t>
      </w:r>
      <w:r w:rsidR="00797BA1">
        <w:t>94, et ECE/TRANS/2012/12, activité 02.4),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518BE" w:rsidTr="008518BE">
      <w:trPr>
        <w:trHeight w:hRule="exact" w:val="864"/>
        <w:jc w:val="center"/>
      </w:trPr>
      <w:tc>
        <w:tcPr>
          <w:tcW w:w="4882" w:type="dxa"/>
          <w:shd w:val="clear" w:color="auto" w:fill="auto"/>
          <w:vAlign w:val="bottom"/>
        </w:tcPr>
        <w:p w:rsidR="008518BE" w:rsidRPr="008518BE" w:rsidRDefault="008518BE" w:rsidP="008518B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B2BDE">
            <w:rPr>
              <w:b/>
              <w:color w:val="000000"/>
            </w:rPr>
            <w:t>ECE/TRANS/WP.29/GRSG/2015/28</w:t>
          </w:r>
          <w:r>
            <w:rPr>
              <w:b/>
              <w:color w:val="000000"/>
            </w:rPr>
            <w:fldChar w:fldCharType="end"/>
          </w:r>
        </w:p>
      </w:tc>
      <w:tc>
        <w:tcPr>
          <w:tcW w:w="5127" w:type="dxa"/>
          <w:shd w:val="clear" w:color="auto" w:fill="auto"/>
          <w:vAlign w:val="bottom"/>
        </w:tcPr>
        <w:p w:rsidR="008518BE" w:rsidRDefault="008518BE" w:rsidP="008518BE">
          <w:pPr>
            <w:pStyle w:val="Header"/>
          </w:pPr>
        </w:p>
      </w:tc>
    </w:tr>
  </w:tbl>
  <w:p w:rsidR="008518BE" w:rsidRPr="008518BE" w:rsidRDefault="008518BE" w:rsidP="008518BE">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518BE" w:rsidTr="008518BE">
      <w:trPr>
        <w:trHeight w:hRule="exact" w:val="864"/>
        <w:jc w:val="center"/>
      </w:trPr>
      <w:tc>
        <w:tcPr>
          <w:tcW w:w="4882" w:type="dxa"/>
          <w:shd w:val="clear" w:color="auto" w:fill="auto"/>
          <w:vAlign w:val="bottom"/>
        </w:tcPr>
        <w:p w:rsidR="008518BE" w:rsidRDefault="008518BE" w:rsidP="008518BE">
          <w:pPr>
            <w:pStyle w:val="Header"/>
          </w:pPr>
        </w:p>
      </w:tc>
      <w:tc>
        <w:tcPr>
          <w:tcW w:w="5127" w:type="dxa"/>
          <w:shd w:val="clear" w:color="auto" w:fill="auto"/>
          <w:vAlign w:val="bottom"/>
        </w:tcPr>
        <w:p w:rsidR="008518BE" w:rsidRPr="008518BE" w:rsidRDefault="008518BE" w:rsidP="008518B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B2BDE">
            <w:rPr>
              <w:b/>
              <w:color w:val="000000"/>
            </w:rPr>
            <w:t>ECE/TRANS/WP.29/GRSG/2015/28</w:t>
          </w:r>
          <w:r>
            <w:rPr>
              <w:b/>
              <w:color w:val="000000"/>
            </w:rPr>
            <w:fldChar w:fldCharType="end"/>
          </w:r>
        </w:p>
      </w:tc>
    </w:tr>
  </w:tbl>
  <w:p w:rsidR="008518BE" w:rsidRPr="008518BE" w:rsidRDefault="008518BE" w:rsidP="008518BE">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8518BE" w:rsidTr="008518BE">
      <w:trPr>
        <w:trHeight w:hRule="exact" w:val="864"/>
      </w:trPr>
      <w:tc>
        <w:tcPr>
          <w:tcW w:w="1267" w:type="dxa"/>
          <w:tcBorders>
            <w:bottom w:val="single" w:sz="4" w:space="0" w:color="auto"/>
          </w:tcBorders>
          <w:shd w:val="clear" w:color="auto" w:fill="auto"/>
          <w:vAlign w:val="bottom"/>
        </w:tcPr>
        <w:p w:rsidR="008518BE" w:rsidRDefault="008518BE" w:rsidP="008518BE">
          <w:pPr>
            <w:pStyle w:val="Header"/>
            <w:spacing w:after="120"/>
          </w:pPr>
        </w:p>
      </w:tc>
      <w:tc>
        <w:tcPr>
          <w:tcW w:w="2059" w:type="dxa"/>
          <w:tcBorders>
            <w:bottom w:val="single" w:sz="4" w:space="0" w:color="auto"/>
          </w:tcBorders>
          <w:shd w:val="clear" w:color="auto" w:fill="auto"/>
          <w:vAlign w:val="bottom"/>
        </w:tcPr>
        <w:p w:rsidR="008518BE" w:rsidRPr="008518BE" w:rsidRDefault="008518BE" w:rsidP="008518BE">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8518BE" w:rsidRDefault="008518BE" w:rsidP="008518BE">
          <w:pPr>
            <w:pStyle w:val="Header"/>
            <w:spacing w:after="120"/>
          </w:pPr>
        </w:p>
      </w:tc>
      <w:tc>
        <w:tcPr>
          <w:tcW w:w="6653" w:type="dxa"/>
          <w:gridSpan w:val="4"/>
          <w:tcBorders>
            <w:bottom w:val="single" w:sz="4" w:space="0" w:color="auto"/>
          </w:tcBorders>
          <w:shd w:val="clear" w:color="auto" w:fill="auto"/>
          <w:vAlign w:val="bottom"/>
        </w:tcPr>
        <w:p w:rsidR="008518BE" w:rsidRPr="008518BE" w:rsidRDefault="008518BE" w:rsidP="008518BE">
          <w:pPr>
            <w:spacing w:after="80" w:line="240" w:lineRule="auto"/>
            <w:jc w:val="right"/>
            <w:rPr>
              <w:position w:val="-4"/>
            </w:rPr>
          </w:pPr>
          <w:r>
            <w:rPr>
              <w:position w:val="-4"/>
              <w:sz w:val="40"/>
            </w:rPr>
            <w:t>ECE</w:t>
          </w:r>
          <w:r>
            <w:rPr>
              <w:position w:val="-4"/>
            </w:rPr>
            <w:t>/TRANS/WP.29/GRSG/2015/28</w:t>
          </w:r>
        </w:p>
      </w:tc>
    </w:tr>
    <w:tr w:rsidR="008518BE" w:rsidRPr="008518BE" w:rsidTr="008518BE">
      <w:trPr>
        <w:gridAfter w:val="1"/>
        <w:wAfter w:w="18" w:type="dxa"/>
        <w:trHeight w:hRule="exact" w:val="2880"/>
      </w:trPr>
      <w:tc>
        <w:tcPr>
          <w:tcW w:w="1267" w:type="dxa"/>
          <w:tcBorders>
            <w:top w:val="single" w:sz="4" w:space="0" w:color="auto"/>
            <w:bottom w:val="single" w:sz="12" w:space="0" w:color="auto"/>
          </w:tcBorders>
          <w:shd w:val="clear" w:color="auto" w:fill="auto"/>
        </w:tcPr>
        <w:p w:rsidR="008518BE" w:rsidRPr="008518BE" w:rsidRDefault="008518BE" w:rsidP="008518BE">
          <w:pPr>
            <w:pStyle w:val="Header"/>
            <w:spacing w:before="120" w:line="240" w:lineRule="auto"/>
            <w:ind w:left="-72"/>
            <w:jc w:val="center"/>
          </w:pPr>
          <w:r>
            <w:t xml:space="preserve">  </w:t>
          </w:r>
          <w:r>
            <w:rPr>
              <w:noProof/>
              <w:lang w:val="en-GB" w:eastAsia="en-GB"/>
            </w:rPr>
            <w:drawing>
              <wp:inline distT="0" distB="0" distL="0" distR="0" wp14:anchorId="561FEBA2" wp14:editId="219F8098">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518BE" w:rsidRPr="008518BE" w:rsidRDefault="008518BE" w:rsidP="008518BE">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8518BE" w:rsidRPr="008518BE" w:rsidRDefault="008518BE" w:rsidP="008518BE">
          <w:pPr>
            <w:pStyle w:val="Header"/>
            <w:spacing w:before="109"/>
          </w:pPr>
        </w:p>
      </w:tc>
      <w:tc>
        <w:tcPr>
          <w:tcW w:w="3280" w:type="dxa"/>
          <w:tcBorders>
            <w:top w:val="single" w:sz="4" w:space="0" w:color="auto"/>
            <w:bottom w:val="single" w:sz="12" w:space="0" w:color="auto"/>
          </w:tcBorders>
          <w:shd w:val="clear" w:color="auto" w:fill="auto"/>
        </w:tcPr>
        <w:p w:rsidR="008518BE" w:rsidRPr="00FA709D" w:rsidRDefault="008518BE" w:rsidP="008518BE">
          <w:pPr>
            <w:pStyle w:val="Distribution"/>
            <w:rPr>
              <w:color w:val="000000"/>
              <w:lang w:val="fr-CH"/>
            </w:rPr>
          </w:pPr>
          <w:r w:rsidRPr="00FA709D">
            <w:rPr>
              <w:color w:val="000000"/>
              <w:lang w:val="fr-CH"/>
            </w:rPr>
            <w:t>Distr. générale</w:t>
          </w:r>
        </w:p>
        <w:p w:rsidR="008518BE" w:rsidRPr="00FA709D" w:rsidRDefault="00797BA1" w:rsidP="008518BE">
          <w:pPr>
            <w:pStyle w:val="Publication"/>
            <w:rPr>
              <w:color w:val="000000"/>
              <w:lang w:val="fr-CH"/>
            </w:rPr>
          </w:pPr>
          <w:r w:rsidRPr="00FA709D">
            <w:rPr>
              <w:color w:val="000000"/>
              <w:lang w:val="fr-CH"/>
            </w:rPr>
            <w:t>10 juillet</w:t>
          </w:r>
          <w:r w:rsidR="008518BE" w:rsidRPr="00FA709D">
            <w:rPr>
              <w:color w:val="000000"/>
              <w:lang w:val="fr-CH"/>
            </w:rPr>
            <w:t xml:space="preserve"> 2015</w:t>
          </w:r>
        </w:p>
        <w:p w:rsidR="008518BE" w:rsidRPr="00FA709D" w:rsidRDefault="008518BE" w:rsidP="008518BE">
          <w:pPr>
            <w:rPr>
              <w:lang w:val="fr-CH"/>
            </w:rPr>
          </w:pPr>
          <w:r w:rsidRPr="00FA709D">
            <w:rPr>
              <w:lang w:val="fr-CH"/>
            </w:rPr>
            <w:t>Français</w:t>
          </w:r>
        </w:p>
        <w:p w:rsidR="008518BE" w:rsidRPr="00FA709D" w:rsidRDefault="008518BE" w:rsidP="008518BE">
          <w:pPr>
            <w:pStyle w:val="Original"/>
            <w:rPr>
              <w:color w:val="000000"/>
              <w:lang w:val="fr-CH"/>
            </w:rPr>
          </w:pPr>
          <w:r w:rsidRPr="00FA709D">
            <w:rPr>
              <w:color w:val="000000"/>
              <w:lang w:val="fr-CH"/>
            </w:rPr>
            <w:t>Original : anglais</w:t>
          </w:r>
        </w:p>
      </w:tc>
    </w:tr>
  </w:tbl>
  <w:p w:rsidR="008518BE" w:rsidRPr="00FA709D" w:rsidRDefault="008518BE" w:rsidP="008518BE">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C6D7135"/>
    <w:multiLevelType w:val="hybridMultilevel"/>
    <w:tmpl w:val="9A0E7388"/>
    <w:lvl w:ilvl="0" w:tplc="A044D6EC">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nsid w:val="0F0B4100"/>
    <w:multiLevelType w:val="singleLevel"/>
    <w:tmpl w:val="AF0002BC"/>
    <w:lvl w:ilvl="0">
      <w:start w:val="1"/>
      <w:numFmt w:val="decimal"/>
      <w:lvlRestart w:val="0"/>
      <w:lvlText w:val="%1."/>
      <w:lvlJc w:val="left"/>
      <w:pPr>
        <w:tabs>
          <w:tab w:val="num" w:pos="475"/>
        </w:tabs>
        <w:ind w:left="0" w:firstLine="0"/>
      </w:pPr>
      <w:rPr>
        <w:w w:val="100"/>
      </w:rPr>
    </w:lvl>
  </w:abstractNum>
  <w:abstractNum w:abstractNumId="3">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946FF0"/>
    <w:multiLevelType w:val="singleLevel"/>
    <w:tmpl w:val="AF0002BC"/>
    <w:lvl w:ilvl="0">
      <w:start w:val="1"/>
      <w:numFmt w:val="decimal"/>
      <w:lvlRestart w:val="0"/>
      <w:lvlText w:val="%1."/>
      <w:lvlJc w:val="left"/>
      <w:pPr>
        <w:tabs>
          <w:tab w:val="num" w:pos="475"/>
        </w:tabs>
        <w:ind w:left="0" w:firstLine="0"/>
      </w:pPr>
      <w:rPr>
        <w:w w:val="100"/>
      </w:rPr>
    </w:lvl>
  </w:abstractNum>
  <w:num w:numId="1">
    <w:abstractNumId w:val="4"/>
  </w:num>
  <w:num w:numId="2">
    <w:abstractNumId w:val="3"/>
  </w:num>
  <w:num w:numId="3">
    <w:abstractNumId w:val="5"/>
  </w:num>
  <w:num w:numId="4">
    <w:abstractNumId w:val="6"/>
  </w:num>
  <w:num w:numId="5">
    <w:abstractNumId w:val="0"/>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SortMethod w:val="0003"/>
  <w:revisionView w:markup="0"/>
  <w:defaultTabStop w:val="475"/>
  <w:doNotHyphenateCaps/>
  <w:evenAndOddHeaders/>
  <w:characterSpacingControl w:val="doNotCompress"/>
  <w:hdrShapeDefaults>
    <o:shapedefaults v:ext="edit" spidmax="1024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533*"/>
    <w:docVar w:name="CreationDt" w:val="8/26/2015 4:27: PM"/>
    <w:docVar w:name="DocCategory" w:val="Doc"/>
    <w:docVar w:name="DocType" w:val="Final"/>
    <w:docVar w:name="DutyStation" w:val="Geneva"/>
    <w:docVar w:name="FooterJN" w:val="GE.15-11533"/>
    <w:docVar w:name="jobn" w:val="GE.15-11533 (F)"/>
    <w:docVar w:name="jobnDT" w:val="GE.15-11533 (F)   260815"/>
    <w:docVar w:name="jobnDTDT" w:val="GE.15-11533 (F)   260815   260815"/>
    <w:docVar w:name="JobNo" w:val="GE.1511533F"/>
    <w:docVar w:name="JobNo2" w:val="GE.1515366F"/>
    <w:docVar w:name="LocalDrive" w:val="0"/>
    <w:docVar w:name="OandT" w:val="C. robert"/>
    <w:docVar w:name="PaperSize" w:val="A4"/>
    <w:docVar w:name="sss1" w:val="ECE/TRANS/WP.29/GRSG/2015/28"/>
    <w:docVar w:name="sss2" w:val="-"/>
    <w:docVar w:name="Symbol1" w:val="ECE/TRANS/WP.29/GRSG/2015/28"/>
    <w:docVar w:name="Symbol2" w:val="-"/>
  </w:docVars>
  <w:rsids>
    <w:rsidRoot w:val="005116E0"/>
    <w:rsid w:val="000015B8"/>
    <w:rsid w:val="000046A5"/>
    <w:rsid w:val="000055FB"/>
    <w:rsid w:val="0001311F"/>
    <w:rsid w:val="00016483"/>
    <w:rsid w:val="00022173"/>
    <w:rsid w:val="0002226F"/>
    <w:rsid w:val="00022B4A"/>
    <w:rsid w:val="00023E37"/>
    <w:rsid w:val="000249FF"/>
    <w:rsid w:val="00025DE5"/>
    <w:rsid w:val="000274C2"/>
    <w:rsid w:val="00033DC9"/>
    <w:rsid w:val="000378DE"/>
    <w:rsid w:val="00040497"/>
    <w:rsid w:val="00041ABD"/>
    <w:rsid w:val="00046145"/>
    <w:rsid w:val="0004624F"/>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361"/>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2BDE"/>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728E"/>
    <w:rsid w:val="00332A87"/>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379F"/>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2EC2"/>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16E0"/>
    <w:rsid w:val="0051451F"/>
    <w:rsid w:val="0051666F"/>
    <w:rsid w:val="0051772A"/>
    <w:rsid w:val="00517E8B"/>
    <w:rsid w:val="00517EB2"/>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471D"/>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36C4"/>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97BA1"/>
    <w:rsid w:val="007A345A"/>
    <w:rsid w:val="007A78C2"/>
    <w:rsid w:val="007B05E9"/>
    <w:rsid w:val="007B1E17"/>
    <w:rsid w:val="007C0C1F"/>
    <w:rsid w:val="007C206E"/>
    <w:rsid w:val="007C2936"/>
    <w:rsid w:val="007C3C74"/>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1353"/>
    <w:rsid w:val="008518BE"/>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B59CE"/>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246F"/>
    <w:rsid w:val="009E76A1"/>
    <w:rsid w:val="009F004A"/>
    <w:rsid w:val="009F235E"/>
    <w:rsid w:val="009F29EB"/>
    <w:rsid w:val="009F2D3B"/>
    <w:rsid w:val="009F3C78"/>
    <w:rsid w:val="009F53BA"/>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5F3"/>
    <w:rsid w:val="00A24099"/>
    <w:rsid w:val="00A264B0"/>
    <w:rsid w:val="00A2768E"/>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3E29"/>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65D0"/>
    <w:rsid w:val="00AE73A1"/>
    <w:rsid w:val="00AF4648"/>
    <w:rsid w:val="00AF4DD3"/>
    <w:rsid w:val="00AF6B78"/>
    <w:rsid w:val="00B01631"/>
    <w:rsid w:val="00B01D80"/>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4775"/>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D677A"/>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753F"/>
    <w:rsid w:val="00E10BF1"/>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294D"/>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9D"/>
    <w:rsid w:val="00FA70CF"/>
    <w:rsid w:val="00FA71DD"/>
    <w:rsid w:val="00FB3AA4"/>
    <w:rsid w:val="00FB3C35"/>
    <w:rsid w:val="00FB43C6"/>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8518BE"/>
    <w:rPr>
      <w:sz w:val="16"/>
      <w:szCs w:val="16"/>
    </w:rPr>
  </w:style>
  <w:style w:type="paragraph" w:styleId="CommentText">
    <w:name w:val="annotation text"/>
    <w:basedOn w:val="Normal"/>
    <w:link w:val="CommentTextChar"/>
    <w:uiPriority w:val="99"/>
    <w:semiHidden/>
    <w:unhideWhenUsed/>
    <w:rsid w:val="008518BE"/>
    <w:pPr>
      <w:spacing w:line="240" w:lineRule="auto"/>
    </w:pPr>
    <w:rPr>
      <w:szCs w:val="20"/>
    </w:rPr>
  </w:style>
  <w:style w:type="character" w:customStyle="1" w:styleId="CommentTextChar">
    <w:name w:val="Comment Text Char"/>
    <w:basedOn w:val="DefaultParagraphFont"/>
    <w:link w:val="CommentText"/>
    <w:uiPriority w:val="99"/>
    <w:semiHidden/>
    <w:rsid w:val="008518BE"/>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8518BE"/>
    <w:rPr>
      <w:b/>
      <w:bCs/>
    </w:rPr>
  </w:style>
  <w:style w:type="character" w:customStyle="1" w:styleId="CommentSubjectChar">
    <w:name w:val="Comment Subject Char"/>
    <w:basedOn w:val="CommentTextChar"/>
    <w:link w:val="CommentSubject"/>
    <w:uiPriority w:val="99"/>
    <w:semiHidden/>
    <w:rsid w:val="008518BE"/>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8518BE"/>
    <w:rPr>
      <w:sz w:val="16"/>
      <w:szCs w:val="16"/>
    </w:rPr>
  </w:style>
  <w:style w:type="paragraph" w:styleId="CommentText">
    <w:name w:val="annotation text"/>
    <w:basedOn w:val="Normal"/>
    <w:link w:val="CommentTextChar"/>
    <w:uiPriority w:val="99"/>
    <w:semiHidden/>
    <w:unhideWhenUsed/>
    <w:rsid w:val="008518BE"/>
    <w:pPr>
      <w:spacing w:line="240" w:lineRule="auto"/>
    </w:pPr>
    <w:rPr>
      <w:szCs w:val="20"/>
    </w:rPr>
  </w:style>
  <w:style w:type="character" w:customStyle="1" w:styleId="CommentTextChar">
    <w:name w:val="Comment Text Char"/>
    <w:basedOn w:val="DefaultParagraphFont"/>
    <w:link w:val="CommentText"/>
    <w:uiPriority w:val="99"/>
    <w:semiHidden/>
    <w:rsid w:val="008518BE"/>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8518BE"/>
    <w:rPr>
      <w:b/>
      <w:bCs/>
    </w:rPr>
  </w:style>
  <w:style w:type="character" w:customStyle="1" w:styleId="CommentSubjectChar">
    <w:name w:val="Comment Subject Char"/>
    <w:basedOn w:val="CommentTextChar"/>
    <w:link w:val="CommentSubject"/>
    <w:uiPriority w:val="99"/>
    <w:semiHidden/>
    <w:rsid w:val="008518BE"/>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9954">
      <w:bodyDiv w:val="1"/>
      <w:marLeft w:val="0"/>
      <w:marRight w:val="0"/>
      <w:marTop w:val="0"/>
      <w:marBottom w:val="0"/>
      <w:divBdr>
        <w:top w:val="none" w:sz="0" w:space="0" w:color="auto"/>
        <w:left w:val="none" w:sz="0" w:space="0" w:color="auto"/>
        <w:bottom w:val="none" w:sz="0" w:space="0" w:color="auto"/>
        <w:right w:val="none" w:sz="0" w:space="0" w:color="auto"/>
      </w:divBdr>
    </w:div>
    <w:div w:id="16216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77BCA-B751-426E-9682-F44B20683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4746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Robert Corinne</dc:creator>
  <cp:lastModifiedBy>Benedicte Boudol</cp:lastModifiedBy>
  <cp:revision>2</cp:revision>
  <cp:lastPrinted>2015-08-26T14:43:00Z</cp:lastPrinted>
  <dcterms:created xsi:type="dcterms:W3CDTF">2015-08-27T09:08:00Z</dcterms:created>
  <dcterms:modified xsi:type="dcterms:W3CDTF">2015-08-27T09:08:00Z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1511533F</vt:lpwstr>
  </property>
  <property fmtid="{D5CDD505-2E9C-101B-9397-08002B2CF9AE}" pid="3" name="ODSRefJobNo">
    <vt:lpwstr>1515366F</vt:lpwstr>
  </property>
  <property fmtid="{D5CDD505-2E9C-101B-9397-08002B2CF9AE}" pid="4" name="Symbol1">
    <vt:lpwstr>ECE/TRANS/WP.29/GRSG/2015/28</vt:lpwstr>
  </property>
  <property fmtid="{D5CDD505-2E9C-101B-9397-08002B2CF9AE}" pid="5" name="Symbol2">
    <vt:lpwstr/>
  </property>
  <property fmtid="{D5CDD505-2E9C-101B-9397-08002B2CF9AE}" pid="6" name="Translator">
    <vt:lpwstr/>
  </property>
  <property fmtid="{D5CDD505-2E9C-101B-9397-08002B2CF9AE}" pid="7" name="Operator">
    <vt:lpwstr>C. robert</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26 août 2015</vt:lpwstr>
  </property>
  <property fmtid="{D5CDD505-2E9C-101B-9397-08002B2CF9AE}" pid="12" name="Original">
    <vt:lpwstr>anglais</vt:lpwstr>
  </property>
  <property fmtid="{D5CDD505-2E9C-101B-9397-08002B2CF9AE}" pid="13" name="Release Date">
    <vt:lpwstr>260815</vt:lpwstr>
  </property>
</Properties>
</file>