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B0F42">
            <w:pPr>
              <w:jc w:val="right"/>
            </w:pPr>
            <w:r w:rsidRPr="00C64574">
              <w:rPr>
                <w:sz w:val="40"/>
              </w:rPr>
              <w:t>ECE</w:t>
            </w:r>
            <w:r w:rsidRPr="00C64574">
              <w:t>/TRANS/WP.29/GR</w:t>
            </w:r>
            <w:r w:rsidR="000D4EB3" w:rsidRPr="00C64574">
              <w:t>SG</w:t>
            </w:r>
            <w:r w:rsidRPr="00C64574">
              <w:t>/201</w:t>
            </w:r>
            <w:r w:rsidR="001F20EF">
              <w:t>5/</w:t>
            </w:r>
            <w:r w:rsidR="00967ACA">
              <w:t>2</w:t>
            </w:r>
            <w:r w:rsidR="002B0F42">
              <w:t>9</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17326"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34FDC"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4286" w:rsidRDefault="00C96DF2" w:rsidP="00C96DF2">
      <w:pPr>
        <w:spacing w:before="120"/>
        <w:rPr>
          <w:b/>
          <w:sz w:val="28"/>
          <w:szCs w:val="28"/>
        </w:rPr>
      </w:pPr>
      <w:r w:rsidRPr="00C44286">
        <w:rPr>
          <w:b/>
          <w:sz w:val="28"/>
          <w:szCs w:val="28"/>
        </w:rPr>
        <w:t>Economic Commission for Europe</w:t>
      </w:r>
    </w:p>
    <w:p w:rsidR="00C96DF2" w:rsidRPr="00C44286" w:rsidRDefault="008F31D2" w:rsidP="00C96DF2">
      <w:pPr>
        <w:spacing w:before="120"/>
        <w:rPr>
          <w:sz w:val="28"/>
          <w:szCs w:val="28"/>
        </w:rPr>
      </w:pPr>
      <w:r w:rsidRPr="00C44286">
        <w:rPr>
          <w:sz w:val="28"/>
          <w:szCs w:val="28"/>
        </w:rPr>
        <w:t>Inland Transport Committee</w:t>
      </w:r>
    </w:p>
    <w:p w:rsidR="00EA2A77" w:rsidRPr="00C44286" w:rsidRDefault="00EA2A77" w:rsidP="00EA2A77">
      <w:pPr>
        <w:spacing w:before="120"/>
        <w:rPr>
          <w:b/>
          <w:sz w:val="24"/>
          <w:szCs w:val="24"/>
        </w:rPr>
      </w:pPr>
      <w:r w:rsidRPr="00C44286">
        <w:rPr>
          <w:b/>
          <w:sz w:val="24"/>
          <w:szCs w:val="24"/>
        </w:rPr>
        <w:t xml:space="preserve">World Forum for Harmonization of Vehicle </w:t>
      </w:r>
      <w:r w:rsidR="00D26E07" w:rsidRPr="00C44286">
        <w:rPr>
          <w:b/>
          <w:sz w:val="24"/>
          <w:szCs w:val="24"/>
        </w:rPr>
        <w:t>Regulation</w:t>
      </w:r>
      <w:r w:rsidRPr="00C44286">
        <w:rPr>
          <w:b/>
          <w:sz w:val="24"/>
          <w:szCs w:val="24"/>
        </w:rPr>
        <w:t>s</w:t>
      </w:r>
    </w:p>
    <w:p w:rsidR="003C17CC" w:rsidRPr="00C44286" w:rsidRDefault="003C17CC" w:rsidP="00EA2A77">
      <w:pPr>
        <w:spacing w:before="120"/>
        <w:rPr>
          <w:b/>
        </w:rPr>
      </w:pPr>
      <w:r w:rsidRPr="00C44286">
        <w:rPr>
          <w:b/>
        </w:rPr>
        <w:t xml:space="preserve">Working Party on </w:t>
      </w:r>
      <w:r w:rsidR="00E109DD" w:rsidRPr="00C44286">
        <w:rPr>
          <w:b/>
        </w:rPr>
        <w:t xml:space="preserve">General Safety </w:t>
      </w:r>
      <w:r w:rsidR="00F96D3C" w:rsidRPr="00C44286">
        <w:rPr>
          <w:b/>
        </w:rPr>
        <w:t>Provisions</w:t>
      </w:r>
    </w:p>
    <w:p w:rsidR="00C96DF2" w:rsidRPr="00C44286" w:rsidRDefault="00856FAA" w:rsidP="00C96DF2">
      <w:pPr>
        <w:spacing w:before="120"/>
        <w:rPr>
          <w:b/>
        </w:rPr>
      </w:pPr>
      <w:r w:rsidRPr="00C44286">
        <w:rPr>
          <w:b/>
        </w:rPr>
        <w:t>10</w:t>
      </w:r>
      <w:r w:rsidR="00967ACA" w:rsidRPr="00C44286">
        <w:rPr>
          <w:b/>
        </w:rPr>
        <w:t>9</w:t>
      </w:r>
      <w:r w:rsidR="0003564D" w:rsidRPr="00C44286">
        <w:rPr>
          <w:b/>
          <w:vertAlign w:val="superscript"/>
        </w:rPr>
        <w:t>th</w:t>
      </w:r>
      <w:r w:rsidR="003C17CC" w:rsidRPr="00C44286">
        <w:rPr>
          <w:b/>
        </w:rPr>
        <w:t xml:space="preserve"> </w:t>
      </w:r>
      <w:r w:rsidR="00182290" w:rsidRPr="00C44286">
        <w:rPr>
          <w:b/>
        </w:rPr>
        <w:t>session</w:t>
      </w:r>
    </w:p>
    <w:p w:rsidR="0067362F" w:rsidRPr="00C44286" w:rsidRDefault="00915EF6" w:rsidP="00C96DF2">
      <w:r w:rsidRPr="00C44286">
        <w:t>Gen</w:t>
      </w:r>
      <w:r w:rsidR="003C17CC" w:rsidRPr="00C44286">
        <w:t>e</w:t>
      </w:r>
      <w:r w:rsidRPr="00C44286">
        <w:t>v</w:t>
      </w:r>
      <w:r w:rsidR="003C17CC" w:rsidRPr="00C44286">
        <w:t>a</w:t>
      </w:r>
      <w:r w:rsidRPr="00C44286">
        <w:t xml:space="preserve">, </w:t>
      </w:r>
      <w:r w:rsidR="00967ACA" w:rsidRPr="00C44286">
        <w:t xml:space="preserve">29 September </w:t>
      </w:r>
      <w:r w:rsidR="0028776F" w:rsidRPr="00C44286">
        <w:t>–</w:t>
      </w:r>
      <w:r w:rsidR="00967ACA" w:rsidRPr="00C44286">
        <w:t xml:space="preserve"> 2 October</w:t>
      </w:r>
      <w:r w:rsidR="00B53C21" w:rsidRPr="00C44286">
        <w:t xml:space="preserve"> </w:t>
      </w:r>
      <w:r w:rsidR="00856FAA" w:rsidRPr="00C44286">
        <w:t>201</w:t>
      </w:r>
      <w:r w:rsidR="001F20EF" w:rsidRPr="00C44286">
        <w:t>5</w:t>
      </w:r>
    </w:p>
    <w:p w:rsidR="00B53C21" w:rsidRPr="00C44286" w:rsidRDefault="00915EF6" w:rsidP="00C96DF2">
      <w:r w:rsidRPr="00C44286">
        <w:t xml:space="preserve">Item </w:t>
      </w:r>
      <w:r w:rsidR="004D05FE">
        <w:t>13</w:t>
      </w:r>
      <w:r w:rsidRPr="00C44286">
        <w:t xml:space="preserve"> of the provisional agenda</w:t>
      </w:r>
    </w:p>
    <w:p w:rsidR="00915EF6" w:rsidRPr="00C44286" w:rsidRDefault="00C64574" w:rsidP="00C96DF2">
      <w:pPr>
        <w:rPr>
          <w:b/>
        </w:rPr>
      </w:pPr>
      <w:r w:rsidRPr="00C44286">
        <w:rPr>
          <w:b/>
        </w:rPr>
        <w:t xml:space="preserve">Regulation No. </w:t>
      </w:r>
      <w:r w:rsidR="002630BF" w:rsidRPr="00C44286">
        <w:rPr>
          <w:b/>
        </w:rPr>
        <w:t>11</w:t>
      </w:r>
      <w:r w:rsidR="00DF47C2" w:rsidRPr="00C44286">
        <w:rPr>
          <w:b/>
        </w:rPr>
        <w:t>8</w:t>
      </w:r>
      <w:r w:rsidRPr="00C44286">
        <w:rPr>
          <w:b/>
        </w:rPr>
        <w:t xml:space="preserve"> (</w:t>
      </w:r>
      <w:r w:rsidR="00DF47C2" w:rsidRPr="00C44286">
        <w:rPr>
          <w:b/>
        </w:rPr>
        <w:t>Burning behaviour</w:t>
      </w:r>
      <w:r w:rsidRPr="00C44286">
        <w:rPr>
          <w:b/>
        </w:rPr>
        <w:t>)</w:t>
      </w:r>
    </w:p>
    <w:p w:rsidR="00DF418A" w:rsidRPr="00C44286" w:rsidRDefault="00DF418A" w:rsidP="00133E6D">
      <w:pPr>
        <w:pStyle w:val="HChG"/>
        <w:tabs>
          <w:tab w:val="clear" w:pos="851"/>
        </w:tabs>
        <w:ind w:firstLine="0"/>
        <w:jc w:val="both"/>
        <w:rPr>
          <w:sz w:val="26"/>
          <w:szCs w:val="26"/>
        </w:rPr>
      </w:pPr>
      <w:r w:rsidRPr="00C44286">
        <w:rPr>
          <w:sz w:val="26"/>
          <w:szCs w:val="26"/>
        </w:rPr>
        <w:t xml:space="preserve">Proposal for </w:t>
      </w:r>
      <w:r w:rsidR="00412ED9">
        <w:rPr>
          <w:sz w:val="26"/>
          <w:szCs w:val="26"/>
        </w:rPr>
        <w:t xml:space="preserve">Supplement 2 to </w:t>
      </w:r>
      <w:r w:rsidR="002630BF" w:rsidRPr="00C44286">
        <w:rPr>
          <w:sz w:val="26"/>
          <w:szCs w:val="26"/>
        </w:rPr>
        <w:t>the 0</w:t>
      </w:r>
      <w:r w:rsidR="00412ED9">
        <w:rPr>
          <w:sz w:val="26"/>
          <w:szCs w:val="26"/>
        </w:rPr>
        <w:t>2</w:t>
      </w:r>
      <w:r w:rsidR="002630BF" w:rsidRPr="00C44286">
        <w:rPr>
          <w:sz w:val="26"/>
          <w:szCs w:val="26"/>
        </w:rPr>
        <w:t xml:space="preserve"> series of </w:t>
      </w:r>
      <w:r w:rsidR="00A83C2D" w:rsidRPr="00C44286">
        <w:rPr>
          <w:sz w:val="26"/>
          <w:szCs w:val="26"/>
        </w:rPr>
        <w:t xml:space="preserve">amendments to </w:t>
      </w:r>
      <w:r w:rsidR="00D27713" w:rsidRPr="00C44286">
        <w:rPr>
          <w:sz w:val="26"/>
          <w:szCs w:val="26"/>
        </w:rPr>
        <w:t>Regulation</w:t>
      </w:r>
      <w:r w:rsidR="009A1E55" w:rsidRPr="00C44286">
        <w:rPr>
          <w:sz w:val="26"/>
          <w:szCs w:val="26"/>
        </w:rPr>
        <w:t xml:space="preserve"> </w:t>
      </w:r>
      <w:r w:rsidR="00D27713" w:rsidRPr="00C44286">
        <w:rPr>
          <w:sz w:val="26"/>
          <w:szCs w:val="26"/>
        </w:rPr>
        <w:t xml:space="preserve">No. </w:t>
      </w:r>
      <w:r w:rsidR="002630BF" w:rsidRPr="00C44286">
        <w:rPr>
          <w:sz w:val="26"/>
          <w:szCs w:val="26"/>
        </w:rPr>
        <w:t>11</w:t>
      </w:r>
      <w:r w:rsidR="00DF47C2" w:rsidRPr="00C44286">
        <w:rPr>
          <w:sz w:val="26"/>
          <w:szCs w:val="26"/>
        </w:rPr>
        <w:t>8</w:t>
      </w:r>
      <w:r w:rsidR="007C0546" w:rsidRPr="00C44286">
        <w:rPr>
          <w:sz w:val="26"/>
          <w:szCs w:val="26"/>
        </w:rPr>
        <w:t xml:space="preserve"> (</w:t>
      </w:r>
      <w:r w:rsidR="00DF47C2" w:rsidRPr="00C44286">
        <w:rPr>
          <w:sz w:val="26"/>
          <w:szCs w:val="26"/>
        </w:rPr>
        <w:t>Burning behaviour</w:t>
      </w:r>
      <w:r w:rsidR="007C0546" w:rsidRPr="00C44286">
        <w:rPr>
          <w:sz w:val="26"/>
          <w:szCs w:val="26"/>
        </w:rPr>
        <w:t>)</w:t>
      </w:r>
    </w:p>
    <w:p w:rsidR="002B47CA" w:rsidRPr="00C44286" w:rsidRDefault="002B47CA" w:rsidP="002B47CA">
      <w:pPr>
        <w:pStyle w:val="H1G"/>
        <w:tabs>
          <w:tab w:val="clear" w:pos="851"/>
        </w:tabs>
        <w:ind w:firstLine="0"/>
        <w:rPr>
          <w:vertAlign w:val="superscript"/>
        </w:rPr>
      </w:pPr>
      <w:r w:rsidRPr="00C44286">
        <w:t xml:space="preserve">Submitted by </w:t>
      </w:r>
      <w:r w:rsidR="00DF418A" w:rsidRPr="00C44286">
        <w:t xml:space="preserve">the expert </w:t>
      </w:r>
      <w:r w:rsidR="00BD6F32" w:rsidRPr="00C44286">
        <w:t xml:space="preserve">from </w:t>
      </w:r>
      <w:r w:rsidR="00DF47C2" w:rsidRPr="00C44286">
        <w:t>Germany</w:t>
      </w:r>
      <w:r w:rsidRPr="00C44286">
        <w:rPr>
          <w:vertAlign w:val="superscript"/>
        </w:rPr>
        <w:footnoteReference w:customMarkFollows="1" w:id="2"/>
        <w:t>*</w:t>
      </w:r>
    </w:p>
    <w:p w:rsidR="00DF418A" w:rsidRPr="00C44286" w:rsidRDefault="002630BF" w:rsidP="00E466D9">
      <w:pPr>
        <w:ind w:left="1134" w:right="1134" w:firstLine="567"/>
        <w:jc w:val="both"/>
      </w:pPr>
      <w:r w:rsidRPr="00C44286">
        <w:t xml:space="preserve">The text reproduced below was prepared by the expert from </w:t>
      </w:r>
      <w:r w:rsidR="00DF47C2" w:rsidRPr="00C44286">
        <w:t>Germany</w:t>
      </w:r>
      <w:r w:rsidRPr="00C44286">
        <w:t xml:space="preserve"> </w:t>
      </w:r>
      <w:r w:rsidR="00DF47C2" w:rsidRPr="00C44286">
        <w:t xml:space="preserve">clarifying the scope and the application of </w:t>
      </w:r>
      <w:r w:rsidR="00C44286" w:rsidRPr="00C44286">
        <w:t>UN</w:t>
      </w:r>
      <w:r w:rsidR="00DF47C2" w:rsidRPr="00C44286">
        <w:t xml:space="preserve"> Regulation</w:t>
      </w:r>
      <w:r w:rsidR="00C44286" w:rsidRPr="00C44286">
        <w:t xml:space="preserve"> No. 118</w:t>
      </w:r>
      <w:r w:rsidRPr="00C44286">
        <w:t>.</w:t>
      </w:r>
      <w:r w:rsidR="00B8054C" w:rsidRPr="00B8054C">
        <w:t xml:space="preserve"> </w:t>
      </w:r>
      <w:r w:rsidR="00B8054C">
        <w:t xml:space="preserve">This </w:t>
      </w:r>
      <w:r w:rsidR="00B8054C" w:rsidRPr="00B8054C">
        <w:t xml:space="preserve">document </w:t>
      </w:r>
      <w:r w:rsidR="00B8054C">
        <w:t>t</w:t>
      </w:r>
      <w:r w:rsidR="00B8054C" w:rsidRPr="00B8054C">
        <w:t xml:space="preserve">ogether with </w:t>
      </w:r>
      <w:r w:rsidR="00B8054C" w:rsidRPr="00C44286">
        <w:t>ECE/TRANS/WP.29/GRSG/201</w:t>
      </w:r>
      <w:r w:rsidR="00B8054C">
        <w:t>5</w:t>
      </w:r>
      <w:r w:rsidR="00B8054C" w:rsidRPr="00C44286">
        <w:t>/</w:t>
      </w:r>
      <w:r w:rsidR="00B8054C">
        <w:t>28</w:t>
      </w:r>
      <w:r w:rsidR="00B8054C" w:rsidRPr="00C44286">
        <w:t xml:space="preserve"> </w:t>
      </w:r>
      <w:r w:rsidR="00B8054C" w:rsidRPr="00B8054C">
        <w:t xml:space="preserve">supersede informal document </w:t>
      </w:r>
      <w:r w:rsidRPr="00C44286">
        <w:t>GRSG-10</w:t>
      </w:r>
      <w:r w:rsidR="00DF47C2" w:rsidRPr="00C44286">
        <w:t>8</w:t>
      </w:r>
      <w:r w:rsidRPr="00C44286">
        <w:t>-09</w:t>
      </w:r>
      <w:r w:rsidR="00DF47C2" w:rsidRPr="00C44286">
        <w:t xml:space="preserve"> distributed during the 108</w:t>
      </w:r>
      <w:r w:rsidR="00DF47C2" w:rsidRPr="00C44286">
        <w:rPr>
          <w:vertAlign w:val="superscript"/>
        </w:rPr>
        <w:t>th</w:t>
      </w:r>
      <w:r w:rsidR="00DF47C2" w:rsidRPr="00C44286">
        <w:t xml:space="preserve"> session o</w:t>
      </w:r>
      <w:r w:rsidR="00C44286" w:rsidRPr="00C44286">
        <w:t>f the Working Party on General S</w:t>
      </w:r>
      <w:r w:rsidR="00DF47C2" w:rsidRPr="00C44286">
        <w:t>afety Provisions (GRSG) (see report ECE/TRANS/WP.29/GRSG/87, para. 50)</w:t>
      </w:r>
      <w:r w:rsidR="00DB1B2B" w:rsidRPr="00C44286">
        <w:t xml:space="preserve">. </w:t>
      </w:r>
      <w:r w:rsidR="005D6B0A" w:rsidRPr="00C44286">
        <w:t>The modifications to the current text of</w:t>
      </w:r>
      <w:r w:rsidR="009A1E55" w:rsidRPr="00C44286">
        <w:t xml:space="preserve"> </w:t>
      </w:r>
      <w:r w:rsidR="005D6B0A" w:rsidRPr="00C44286">
        <w:t xml:space="preserve">Regulation No. </w:t>
      </w:r>
      <w:r w:rsidRPr="00C44286">
        <w:t>11</w:t>
      </w:r>
      <w:r w:rsidR="00DF47C2" w:rsidRPr="00C44286">
        <w:t>8</w:t>
      </w:r>
      <w:r w:rsidR="005D6B0A" w:rsidRPr="00C44286">
        <w:t xml:space="preserve"> are marked in bold </w:t>
      </w:r>
      <w:r w:rsidR="00334FDC">
        <w:t xml:space="preserve">for new </w:t>
      </w:r>
      <w:r w:rsidR="00FC46DC" w:rsidRPr="00C44286">
        <w:t>characters</w:t>
      </w:r>
      <w:r w:rsidR="00334FDC">
        <w:t xml:space="preserve"> or </w:t>
      </w:r>
      <w:r w:rsidR="00334FDC" w:rsidRPr="00FC46DC">
        <w:t>strikethrough for deleted</w:t>
      </w:r>
      <w:r w:rsidR="00334FDC">
        <w:t xml:space="preserve"> characters</w:t>
      </w:r>
      <w:r w:rsidR="005D6B0A" w:rsidRPr="00C44286">
        <w:t>.</w:t>
      </w:r>
    </w:p>
    <w:p w:rsidR="00DF418A" w:rsidRPr="00C44286" w:rsidRDefault="00757F2F" w:rsidP="00DF418A">
      <w:pPr>
        <w:spacing w:before="360" w:after="240" w:line="240" w:lineRule="auto"/>
        <w:ind w:left="1134" w:right="1134" w:hanging="567"/>
        <w:jc w:val="both"/>
        <w:rPr>
          <w:b/>
          <w:sz w:val="28"/>
        </w:rPr>
      </w:pPr>
      <w:r w:rsidRPr="00C44286">
        <w:br w:type="page"/>
      </w:r>
      <w:r w:rsidR="00DF418A" w:rsidRPr="00C44286">
        <w:rPr>
          <w:b/>
          <w:sz w:val="28"/>
        </w:rPr>
        <w:lastRenderedPageBreak/>
        <w:t>I.</w:t>
      </w:r>
      <w:r w:rsidR="00DF418A" w:rsidRPr="00C44286">
        <w:rPr>
          <w:b/>
          <w:sz w:val="28"/>
        </w:rPr>
        <w:tab/>
        <w:t>Proposal</w:t>
      </w:r>
    </w:p>
    <w:p w:rsidR="00DF47C2" w:rsidRPr="00DF47C2" w:rsidRDefault="00DF47C2" w:rsidP="00DF47C2">
      <w:pPr>
        <w:spacing w:after="120" w:line="240" w:lineRule="auto"/>
        <w:ind w:left="2268" w:right="1134" w:hanging="1134"/>
        <w:jc w:val="both"/>
        <w:rPr>
          <w:iCs/>
          <w:lang w:eastAsia="ar-SA"/>
        </w:rPr>
      </w:pPr>
      <w:r w:rsidRPr="00DF47C2">
        <w:rPr>
          <w:i/>
          <w:lang w:eastAsia="ar-SA"/>
        </w:rPr>
        <w:t>Contents</w:t>
      </w:r>
      <w:r w:rsidR="00CA0CC2" w:rsidRPr="00C44286">
        <w:rPr>
          <w:i/>
          <w:lang w:eastAsia="ar-SA"/>
        </w:rPr>
        <w:t>, item 5.,</w:t>
      </w:r>
      <w:r w:rsidRPr="00DF47C2">
        <w:rPr>
          <w:iCs/>
          <w:lang w:eastAsia="ar-SA"/>
        </w:rPr>
        <w:t xml:space="preserve"> amend to read:</w:t>
      </w:r>
    </w:p>
    <w:p w:rsidR="00B8054C" w:rsidRDefault="00CA0CC2" w:rsidP="00CA0CC2">
      <w:pPr>
        <w:tabs>
          <w:tab w:val="left" w:pos="2835"/>
          <w:tab w:val="left" w:pos="8505"/>
        </w:tabs>
        <w:spacing w:before="120" w:after="120" w:line="240" w:lineRule="auto"/>
        <w:ind w:left="2268" w:right="1134" w:hanging="1134"/>
        <w:jc w:val="both"/>
      </w:pPr>
      <w:r w:rsidRPr="00C44286">
        <w:t>"5.</w:t>
      </w:r>
      <w:r w:rsidRPr="00C44286">
        <w:tab/>
      </w:r>
      <w:r w:rsidR="00DF47C2" w:rsidRPr="00DF47C2">
        <w:t xml:space="preserve">Part I: Approval of a vehicle type with regard to the burning behaviour of the </w:t>
      </w:r>
      <w:r w:rsidR="00DF47C2" w:rsidRPr="00DF47C2">
        <w:rPr>
          <w:lang w:eastAsia="ar-SA"/>
        </w:rPr>
        <w:t>components</w:t>
      </w:r>
      <w:r w:rsidR="00DF47C2" w:rsidRPr="00DF47C2">
        <w:t xml:space="preserve"> used in the interior compartment, the engine compartment and any separate heating compartment </w:t>
      </w:r>
      <w:r w:rsidR="00DF47C2" w:rsidRPr="00DF47C2">
        <w:rPr>
          <w:b/>
        </w:rPr>
        <w:t xml:space="preserve">and with regard to the burning behaviour of electric cables and cable sleeves or cable conduits </w:t>
      </w:r>
      <w:r w:rsidR="00DF47C2" w:rsidRPr="00DF47C2">
        <w:rPr>
          <w:b/>
          <w:bCs/>
        </w:rPr>
        <w:t xml:space="preserve">used </w:t>
      </w:r>
      <w:r w:rsidR="00DF47C2" w:rsidRPr="00DF47C2">
        <w:rPr>
          <w:b/>
        </w:rPr>
        <w:t xml:space="preserve">in the vehicle </w:t>
      </w:r>
      <w:r w:rsidR="00DF47C2" w:rsidRPr="00DF47C2">
        <w:t>and/or the capability to repel fuel or lubricant of insulation materials used in the engine compartment and any separate heating compartment</w:t>
      </w:r>
      <w:r w:rsidRPr="00C44286">
        <w:t>.</w:t>
      </w:r>
    </w:p>
    <w:p w:rsidR="00DF47C2" w:rsidRPr="00DF47C2" w:rsidRDefault="00FD5269" w:rsidP="00CA0CC2">
      <w:pPr>
        <w:tabs>
          <w:tab w:val="left" w:pos="2835"/>
          <w:tab w:val="left" w:pos="8505"/>
        </w:tabs>
        <w:spacing w:before="120" w:after="120" w:line="240" w:lineRule="auto"/>
        <w:ind w:left="2268" w:right="1134" w:hanging="1134"/>
        <w:jc w:val="both"/>
      </w:pPr>
      <w:r>
        <w:t>6.</w:t>
      </w:r>
      <w:r>
        <w:tab/>
      </w:r>
      <w:r w:rsidRPr="00FD5269">
        <w:t>Part II:</w:t>
      </w:r>
      <w:r>
        <w:t xml:space="preserve"> </w:t>
      </w:r>
      <w:r w:rsidRPr="00FD5269">
        <w:t>Approval of a component with regard to its burning behaviour and/or its capability to repel fuel or lubricant</w:t>
      </w:r>
      <w:r>
        <w:t>.</w:t>
      </w:r>
      <w:r w:rsidR="00CA0CC2" w:rsidRPr="00C44286">
        <w:t>"</w:t>
      </w:r>
    </w:p>
    <w:p w:rsidR="00DF47C2" w:rsidRPr="00DF47C2" w:rsidRDefault="00DF47C2" w:rsidP="00DF47C2">
      <w:pPr>
        <w:spacing w:after="120" w:line="240" w:lineRule="auto"/>
        <w:ind w:left="2268" w:right="1134" w:hanging="1134"/>
        <w:jc w:val="both"/>
        <w:rPr>
          <w:iCs/>
          <w:lang w:eastAsia="ar-SA"/>
        </w:rPr>
      </w:pPr>
      <w:r w:rsidRPr="00DF47C2">
        <w:rPr>
          <w:i/>
          <w:lang w:eastAsia="ar-SA"/>
        </w:rPr>
        <w:t>Paragraph 1</w:t>
      </w:r>
      <w:r w:rsidR="00CE38C3" w:rsidRPr="00C44286">
        <w:rPr>
          <w:i/>
          <w:lang w:eastAsia="ar-SA"/>
        </w:rPr>
        <w:t>.2.,</w:t>
      </w:r>
      <w:r w:rsidRPr="00DF47C2">
        <w:rPr>
          <w:iCs/>
          <w:lang w:eastAsia="ar-SA"/>
        </w:rPr>
        <w:t xml:space="preserve"> amend to read:</w:t>
      </w:r>
    </w:p>
    <w:p w:rsidR="00377D82" w:rsidRDefault="00CE38C3" w:rsidP="00CE38C3">
      <w:pPr>
        <w:tabs>
          <w:tab w:val="left" w:pos="2835"/>
          <w:tab w:val="left" w:pos="8505"/>
        </w:tabs>
        <w:spacing w:before="120" w:after="120" w:line="240" w:lineRule="auto"/>
        <w:ind w:left="2268" w:right="1134" w:hanging="1134"/>
        <w:jc w:val="both"/>
      </w:pPr>
      <w:r w:rsidRPr="00C44286">
        <w:t>"1.2.</w:t>
      </w:r>
      <w:r w:rsidR="00DF47C2" w:rsidRPr="00DF47C2">
        <w:tab/>
        <w:t xml:space="preserve">Part I - Approval of a vehicle type with regard to the burning behaviour and/or the capability to repel fuel or lubricant of the components used in the interior compartment, the engine compartment and any separate heating compartment </w:t>
      </w:r>
      <w:r w:rsidR="00DF47C2" w:rsidRPr="00DF47C2">
        <w:rPr>
          <w:b/>
        </w:rPr>
        <w:t>and with regard to the burning behaviour of electric cables and cable sleeves or cable conduits used in the vehicle</w:t>
      </w:r>
      <w:r w:rsidR="00DF47C2" w:rsidRPr="00DF47C2">
        <w:t>.</w:t>
      </w:r>
    </w:p>
    <w:p w:rsidR="00DF47C2" w:rsidRPr="00DF47C2" w:rsidRDefault="00377D82" w:rsidP="00CE38C3">
      <w:pPr>
        <w:tabs>
          <w:tab w:val="left" w:pos="2835"/>
          <w:tab w:val="left" w:pos="8505"/>
        </w:tabs>
        <w:spacing w:before="120" w:after="120" w:line="240" w:lineRule="auto"/>
        <w:ind w:left="2268" w:right="1134" w:hanging="1134"/>
        <w:jc w:val="both"/>
        <w:rPr>
          <w:b/>
        </w:rPr>
      </w:pPr>
      <w:r w:rsidRPr="00377D82">
        <w:t>1.3.</w:t>
      </w:r>
      <w:r w:rsidRPr="00377D82">
        <w:tab/>
        <w:t xml:space="preserve">Part II - Approval of a component with regard to its burning behaviour and/or its capability to repel fuel or lubricant </w:t>
      </w:r>
      <w:r w:rsidRPr="00377D82">
        <w:rPr>
          <w:strike/>
        </w:rPr>
        <w:t>installed in the interior compartment, the engine compartment or any separate heating compartment</w:t>
      </w:r>
      <w:r w:rsidRPr="00377D82">
        <w:t>.</w:t>
      </w:r>
      <w:r w:rsidR="00CE38C3" w:rsidRPr="00C44286">
        <w:t>"</w:t>
      </w:r>
    </w:p>
    <w:p w:rsidR="00DF47C2" w:rsidRPr="00DF47C2" w:rsidRDefault="00DF47C2" w:rsidP="00DF47C2">
      <w:pPr>
        <w:spacing w:after="120" w:line="240" w:lineRule="auto"/>
        <w:ind w:left="2268" w:right="1134" w:hanging="1134"/>
        <w:jc w:val="both"/>
        <w:rPr>
          <w:iCs/>
          <w:lang w:eastAsia="ar-SA"/>
        </w:rPr>
      </w:pPr>
      <w:r w:rsidRPr="00DF47C2">
        <w:rPr>
          <w:i/>
          <w:lang w:eastAsia="ar-SA"/>
        </w:rPr>
        <w:t>Paragraph</w:t>
      </w:r>
      <w:r w:rsidR="00CE38C3" w:rsidRPr="00C44286">
        <w:rPr>
          <w:i/>
          <w:lang w:eastAsia="ar-SA"/>
        </w:rPr>
        <w:t>s</w:t>
      </w:r>
      <w:r w:rsidRPr="00DF47C2">
        <w:rPr>
          <w:i/>
          <w:lang w:eastAsia="ar-SA"/>
        </w:rPr>
        <w:t xml:space="preserve"> 5.2.</w:t>
      </w:r>
      <w:r w:rsidR="00CE38C3" w:rsidRPr="00C44286">
        <w:rPr>
          <w:i/>
          <w:lang w:eastAsia="ar-SA"/>
        </w:rPr>
        <w:t xml:space="preserve"> to 5.2.2.,</w:t>
      </w:r>
      <w:r w:rsidRPr="00DF47C2">
        <w:rPr>
          <w:iCs/>
          <w:lang w:eastAsia="ar-SA"/>
        </w:rPr>
        <w:t xml:space="preserve"> amend to read:</w:t>
      </w:r>
    </w:p>
    <w:p w:rsidR="00DF47C2" w:rsidRPr="00DF47C2" w:rsidRDefault="00CE38C3" w:rsidP="00CE38C3">
      <w:pPr>
        <w:tabs>
          <w:tab w:val="left" w:pos="2835"/>
          <w:tab w:val="left" w:pos="8505"/>
        </w:tabs>
        <w:spacing w:before="120" w:after="120" w:line="240" w:lineRule="auto"/>
        <w:ind w:left="2268" w:right="1134" w:hanging="1134"/>
        <w:jc w:val="both"/>
      </w:pPr>
      <w:r w:rsidRPr="00C44286">
        <w:t>"</w:t>
      </w:r>
      <w:r w:rsidR="00BC4FAE" w:rsidRPr="00C44286">
        <w:t>5.2.</w:t>
      </w:r>
      <w:r w:rsidR="00BC4FAE" w:rsidRPr="00C44286">
        <w:tab/>
      </w:r>
      <w:r w:rsidR="00DF47C2" w:rsidRPr="00DF47C2">
        <w:t>Specifications</w:t>
      </w:r>
    </w:p>
    <w:p w:rsidR="00DF47C2" w:rsidRPr="00DF47C2" w:rsidRDefault="00CE38C3" w:rsidP="00CE38C3">
      <w:pPr>
        <w:tabs>
          <w:tab w:val="left" w:pos="2835"/>
          <w:tab w:val="left" w:pos="8505"/>
        </w:tabs>
        <w:spacing w:before="120" w:after="120" w:line="240" w:lineRule="auto"/>
        <w:ind w:left="2268" w:right="1134" w:hanging="1134"/>
        <w:jc w:val="both"/>
      </w:pPr>
      <w:r w:rsidRPr="00C44286">
        <w:t>5.2.1.</w:t>
      </w:r>
      <w:r w:rsidR="00DF47C2" w:rsidRPr="00DF47C2">
        <w:tab/>
        <w:t xml:space="preserve">The materials inside and no more than 13 mm beyond the interior compartment, materials of the engine compartment, </w:t>
      </w:r>
      <w:r w:rsidR="00377D82" w:rsidRPr="00377D82">
        <w:rPr>
          <w:strike/>
        </w:rPr>
        <w:t>and</w:t>
      </w:r>
      <w:r w:rsidR="00377D82">
        <w:t xml:space="preserve"> </w:t>
      </w:r>
      <w:r w:rsidR="00DF47C2" w:rsidRPr="00DF47C2">
        <w:t xml:space="preserve">materials of any separate heating compartment </w:t>
      </w:r>
      <w:r w:rsidR="00DF47C2" w:rsidRPr="00DF47C2">
        <w:rPr>
          <w:b/>
        </w:rPr>
        <w:t xml:space="preserve">and electric cables </w:t>
      </w:r>
      <w:r w:rsidR="00DF47C2" w:rsidRPr="00DF47C2">
        <w:t>used in the vehicle to be type approved shall meet the requirements of Part II of this Regulation.</w:t>
      </w:r>
    </w:p>
    <w:p w:rsidR="00377D82" w:rsidRDefault="00CE38C3" w:rsidP="00CE38C3">
      <w:pPr>
        <w:tabs>
          <w:tab w:val="left" w:pos="2835"/>
          <w:tab w:val="left" w:pos="8505"/>
        </w:tabs>
        <w:spacing w:before="120" w:after="120" w:line="240" w:lineRule="auto"/>
        <w:ind w:left="2268" w:right="1134" w:hanging="1134"/>
        <w:jc w:val="both"/>
      </w:pPr>
      <w:r w:rsidRPr="00C44286">
        <w:t>5.2.2.</w:t>
      </w:r>
      <w:r w:rsidR="00DF47C2" w:rsidRPr="00DF47C2">
        <w:tab/>
        <w:t>The materials and/or equipment used in the interior compartment, the engine compartment and any separate heating compartment and/or in devices approved as components,</w:t>
      </w:r>
      <w:r w:rsidR="00DF47C2" w:rsidRPr="00DF47C2">
        <w:rPr>
          <w:b/>
        </w:rPr>
        <w:t xml:space="preserve"> electric cables used in the vehicle</w:t>
      </w:r>
      <w:r w:rsidR="00DF47C2" w:rsidRPr="00DF47C2">
        <w:t xml:space="preserve"> shall be so installed as to minimize the risk of flame development and flame propagation.</w:t>
      </w:r>
    </w:p>
    <w:p w:rsidR="00377D82" w:rsidRDefault="00377D82" w:rsidP="00377D82">
      <w:pPr>
        <w:tabs>
          <w:tab w:val="left" w:pos="2835"/>
          <w:tab w:val="left" w:pos="8505"/>
        </w:tabs>
        <w:spacing w:before="120" w:after="120" w:line="240" w:lineRule="auto"/>
        <w:ind w:left="2268" w:right="1134" w:hanging="1134"/>
        <w:jc w:val="both"/>
      </w:pPr>
      <w:r>
        <w:t>5.2.3.</w:t>
      </w:r>
      <w:r>
        <w:tab/>
        <w:t>Such materials and/or equipment shall only be installed in accordance with their intended purposes and the test(s) which they have undergone (see paragraphs 6.2.1., 6.2.2., 6.2.3., 6.2.4., 6.2.5., 6.2.6. and 6.2.7.), especially in relation to their burning and melting behaviour (horizontal/vertical direction) and/or their capabil</w:t>
      </w:r>
      <w:r w:rsidR="00152086">
        <w:t>ity to repel fuel or lubricant.</w:t>
      </w:r>
    </w:p>
    <w:p w:rsidR="00DF47C2" w:rsidRPr="00DF47C2" w:rsidRDefault="00377D82" w:rsidP="00377D82">
      <w:pPr>
        <w:tabs>
          <w:tab w:val="left" w:pos="2835"/>
          <w:tab w:val="left" w:pos="8505"/>
        </w:tabs>
        <w:spacing w:before="120" w:after="120" w:line="240" w:lineRule="auto"/>
        <w:ind w:left="2268" w:right="1134" w:hanging="1134"/>
        <w:jc w:val="both"/>
      </w:pPr>
      <w:r>
        <w:t xml:space="preserve">5.2.4. </w:t>
      </w:r>
      <w:r>
        <w:tab/>
        <w:t>Any adhesive agent used to affix the interior material to its supporting structure shall not, as far as possible, exacerbate the burning behaviour of the material.</w:t>
      </w:r>
      <w:r w:rsidR="00CE38C3" w:rsidRPr="00C44286">
        <w:t>"</w:t>
      </w:r>
    </w:p>
    <w:p w:rsidR="00DF47C2" w:rsidRPr="00DF47C2" w:rsidRDefault="00DF47C2" w:rsidP="00DF47C2">
      <w:pPr>
        <w:spacing w:after="120" w:line="240" w:lineRule="auto"/>
        <w:ind w:left="2268" w:right="1134" w:hanging="1134"/>
        <w:jc w:val="both"/>
        <w:rPr>
          <w:iCs/>
          <w:lang w:eastAsia="ar-SA"/>
        </w:rPr>
      </w:pPr>
      <w:r w:rsidRPr="00DF47C2">
        <w:rPr>
          <w:i/>
          <w:lang w:eastAsia="ar-SA"/>
        </w:rPr>
        <w:t>Part II,</w:t>
      </w:r>
      <w:r w:rsidR="00BC4FAE" w:rsidRPr="00C44286">
        <w:rPr>
          <w:i/>
          <w:lang w:eastAsia="ar-SA"/>
        </w:rPr>
        <w:t xml:space="preserve"> paragraph</w:t>
      </w:r>
      <w:r w:rsidRPr="00DF47C2">
        <w:rPr>
          <w:i/>
          <w:lang w:eastAsia="ar-SA"/>
        </w:rPr>
        <w:t xml:space="preserve"> 6.2.6.,</w:t>
      </w:r>
      <w:r w:rsidRPr="00DF47C2">
        <w:rPr>
          <w:iCs/>
          <w:lang w:eastAsia="ar-SA"/>
        </w:rPr>
        <w:t xml:space="preserve"> amend to read:</w:t>
      </w:r>
    </w:p>
    <w:p w:rsidR="00DF47C2" w:rsidRPr="00DF47C2" w:rsidRDefault="00DF47C2" w:rsidP="00BC4FAE">
      <w:pPr>
        <w:tabs>
          <w:tab w:val="left" w:pos="2835"/>
          <w:tab w:val="left" w:pos="8505"/>
        </w:tabs>
        <w:spacing w:before="120" w:after="120" w:line="240" w:lineRule="auto"/>
        <w:ind w:left="2268" w:right="1134" w:hanging="1134"/>
        <w:jc w:val="both"/>
      </w:pPr>
      <w:r w:rsidRPr="00DF47C2">
        <w:t>"6.2.6.</w:t>
      </w:r>
      <w:r w:rsidRPr="00DF47C2">
        <w:tab/>
      </w:r>
      <w:r w:rsidRPr="00DF47C2">
        <w:rPr>
          <w:b/>
        </w:rPr>
        <w:t xml:space="preserve">Any electric cable (e.g. single-core, multi-core, screened, unscreened, sheathed cables) </w:t>
      </w:r>
      <w:r w:rsidR="00BC4FAE" w:rsidRPr="00C44286">
        <w:rPr>
          <w:b/>
        </w:rPr>
        <w:t xml:space="preserve">exceeding a length of 100 </w:t>
      </w:r>
      <w:r w:rsidRPr="00DF47C2">
        <w:rPr>
          <w:b/>
        </w:rPr>
        <w:t>mm used in the vehicle</w:t>
      </w:r>
      <w:r w:rsidRPr="00DF47C2">
        <w:t xml:space="preserve"> shall undergo the resistance to flame propagation test described in</w:t>
      </w:r>
      <w:r w:rsidR="00377D82">
        <w:t xml:space="preserve"> </w:t>
      </w:r>
      <w:r w:rsidR="00377D82" w:rsidRPr="00377D82">
        <w:rPr>
          <w:strike/>
        </w:rPr>
        <w:t>6722:2006, paragraph 12</w:t>
      </w:r>
      <w:r w:rsidRPr="00DF47C2">
        <w:t xml:space="preserve"> </w:t>
      </w:r>
      <w:r w:rsidRPr="00DF47C2">
        <w:rPr>
          <w:b/>
        </w:rPr>
        <w:t>ISO 6722-1:2011, paragraph 5.22</w:t>
      </w:r>
      <w:r w:rsidRPr="00DF47C2">
        <w:t>.</w:t>
      </w:r>
    </w:p>
    <w:p w:rsidR="00065ABB" w:rsidRPr="00065ABB" w:rsidRDefault="00065ABB" w:rsidP="00BC4FAE">
      <w:pPr>
        <w:tabs>
          <w:tab w:val="left" w:pos="2835"/>
          <w:tab w:val="left" w:pos="8505"/>
        </w:tabs>
        <w:spacing w:before="120" w:after="120" w:line="240" w:lineRule="auto"/>
        <w:ind w:left="2268" w:right="1134" w:hanging="1134"/>
        <w:jc w:val="both"/>
        <w:rPr>
          <w:b/>
        </w:rPr>
      </w:pPr>
      <w:r>
        <w:lastRenderedPageBreak/>
        <w:tab/>
      </w:r>
      <w:r w:rsidRPr="00065ABB">
        <w:rPr>
          <w:b/>
        </w:rPr>
        <w:t xml:space="preserve">The exposure to the test flame shall be finished, when the conductor (in case of single-core cables) or the first conductor (in case of multi-core cables) becomes visible, or after 15 s for cables with conductor sizes of each </w:t>
      </w:r>
      <w:r w:rsidR="00334FDC">
        <w:rPr>
          <w:b/>
        </w:rPr>
        <w:t>less or equal than</w:t>
      </w:r>
      <w:r w:rsidRPr="00065ABB">
        <w:rPr>
          <w:b/>
        </w:rPr>
        <w:t xml:space="preserve"> 2</w:t>
      </w:r>
      <w:r>
        <w:rPr>
          <w:b/>
        </w:rPr>
        <w:t>.</w:t>
      </w:r>
      <w:r w:rsidRPr="00065ABB">
        <w:rPr>
          <w:b/>
        </w:rPr>
        <w:t>5 mm</w:t>
      </w:r>
      <w:r w:rsidRPr="00065ABB">
        <w:rPr>
          <w:b/>
          <w:vertAlign w:val="superscript"/>
        </w:rPr>
        <w:t>2</w:t>
      </w:r>
      <w:r w:rsidRPr="00065ABB">
        <w:rPr>
          <w:b/>
        </w:rPr>
        <w:t xml:space="preserve"> and 30 s for cables with co</w:t>
      </w:r>
      <w:r>
        <w:rPr>
          <w:b/>
        </w:rPr>
        <w:t xml:space="preserve">nductor sizes </w:t>
      </w:r>
      <w:r w:rsidR="00334FDC">
        <w:rPr>
          <w:b/>
        </w:rPr>
        <w:t>greater than</w:t>
      </w:r>
      <w:r>
        <w:rPr>
          <w:b/>
        </w:rPr>
        <w:t xml:space="preserve"> 2.</w:t>
      </w:r>
      <w:r w:rsidRPr="00065ABB">
        <w:rPr>
          <w:b/>
        </w:rPr>
        <w:t>5 mm</w:t>
      </w:r>
      <w:r w:rsidRPr="00065ABB">
        <w:rPr>
          <w:b/>
          <w:vertAlign w:val="superscript"/>
        </w:rPr>
        <w:t>2</w:t>
      </w:r>
      <w:r w:rsidRPr="00065ABB">
        <w:rPr>
          <w:b/>
        </w:rPr>
        <w:t xml:space="preserve"> or multi-core cables with </w:t>
      </w:r>
      <w:r>
        <w:rPr>
          <w:b/>
        </w:rPr>
        <w:t xml:space="preserve">at least one conductor size </w:t>
      </w:r>
      <w:r w:rsidR="00334FDC">
        <w:rPr>
          <w:b/>
        </w:rPr>
        <w:t>greater than</w:t>
      </w:r>
      <w:r>
        <w:rPr>
          <w:b/>
        </w:rPr>
        <w:t xml:space="preserve"> 2.</w:t>
      </w:r>
      <w:r w:rsidRPr="00065ABB">
        <w:rPr>
          <w:b/>
        </w:rPr>
        <w:t>5 mm</w:t>
      </w:r>
      <w:r w:rsidRPr="00065ABB">
        <w:rPr>
          <w:b/>
          <w:vertAlign w:val="superscript"/>
        </w:rPr>
        <w:t>2</w:t>
      </w:r>
      <w:r w:rsidRPr="00065ABB">
        <w:rPr>
          <w:b/>
        </w:rPr>
        <w:t>.</w:t>
      </w:r>
    </w:p>
    <w:p w:rsidR="00065ABB" w:rsidRDefault="00BC4FAE" w:rsidP="00065ABB">
      <w:pPr>
        <w:tabs>
          <w:tab w:val="left" w:pos="2835"/>
          <w:tab w:val="left" w:pos="8505"/>
        </w:tabs>
        <w:spacing w:before="120" w:after="120" w:line="240" w:lineRule="auto"/>
        <w:ind w:left="2268" w:right="1134" w:hanging="1134"/>
        <w:jc w:val="both"/>
        <w:rPr>
          <w:lang w:eastAsia="ar-SA"/>
        </w:rPr>
      </w:pPr>
      <w:r w:rsidRPr="00C44286">
        <w:tab/>
      </w:r>
      <w:r w:rsidR="00DF47C2" w:rsidRPr="00DF47C2">
        <w:t>The</w:t>
      </w:r>
      <w:r w:rsidR="00DF47C2" w:rsidRPr="00DF47C2">
        <w:rPr>
          <w:lang w:eastAsia="ar-SA"/>
        </w:rPr>
        <w:t xml:space="preserve"> result of the test shall be considered satisfactory if, taking into account the worst test result, any combustion flame of insulating material shall extinguish within</w:t>
      </w:r>
      <w:r w:rsidRPr="00C44286">
        <w:rPr>
          <w:lang w:eastAsia="ar-SA"/>
        </w:rPr>
        <w:t xml:space="preserve"> </w:t>
      </w:r>
      <w:r w:rsidR="00DF47C2" w:rsidRPr="00DF47C2">
        <w:rPr>
          <w:lang w:eastAsia="ar-SA"/>
        </w:rPr>
        <w:t>70</w:t>
      </w:r>
      <w:r w:rsidRPr="00C44286">
        <w:rPr>
          <w:lang w:eastAsia="ar-SA"/>
        </w:rPr>
        <w:t xml:space="preserve"> </w:t>
      </w:r>
      <w:r w:rsidR="00DF47C2" w:rsidRPr="00DF47C2">
        <w:rPr>
          <w:lang w:eastAsia="ar-SA"/>
        </w:rPr>
        <w:t>seconds and a minimum of 50 mm insulation at the top of the test sample shall remain unburned.</w:t>
      </w:r>
    </w:p>
    <w:p w:rsidR="00065ABB" w:rsidRDefault="00065ABB" w:rsidP="00065ABB">
      <w:pPr>
        <w:tabs>
          <w:tab w:val="left" w:pos="2835"/>
          <w:tab w:val="left" w:pos="8505"/>
        </w:tabs>
        <w:spacing w:before="120" w:after="120" w:line="240" w:lineRule="auto"/>
        <w:ind w:left="2268" w:right="1134" w:hanging="1134"/>
        <w:jc w:val="both"/>
        <w:rPr>
          <w:lang w:eastAsia="ar-SA"/>
        </w:rPr>
      </w:pPr>
      <w:r w:rsidRPr="00DF5962">
        <w:rPr>
          <w:i/>
          <w:lang w:eastAsia="ar-SA"/>
        </w:rPr>
        <w:t>Part II, paragraph 6.2.7.4.,</w:t>
      </w:r>
      <w:r>
        <w:rPr>
          <w:lang w:eastAsia="ar-SA"/>
        </w:rPr>
        <w:t xml:space="preserve"> amend to read:</w:t>
      </w:r>
    </w:p>
    <w:p w:rsidR="00DF47C2" w:rsidRPr="00DF47C2" w:rsidRDefault="00065ABB" w:rsidP="00065ABB">
      <w:pPr>
        <w:tabs>
          <w:tab w:val="left" w:pos="2835"/>
          <w:tab w:val="left" w:pos="8505"/>
        </w:tabs>
        <w:spacing w:before="120" w:after="120" w:line="240" w:lineRule="auto"/>
        <w:ind w:left="2268" w:right="1134" w:hanging="1134"/>
        <w:jc w:val="both"/>
        <w:rPr>
          <w:lang w:eastAsia="ar-SA"/>
        </w:rPr>
      </w:pPr>
      <w:r>
        <w:rPr>
          <w:lang w:eastAsia="ar-SA"/>
        </w:rPr>
        <w:t>"6.2.7.4.</w:t>
      </w:r>
      <w:r>
        <w:rPr>
          <w:lang w:eastAsia="ar-SA"/>
        </w:rPr>
        <w:tab/>
        <w:t>Elements for which it is not possible to extract a sample in the prescribed dimensions as specified in paragraph 3.1. of</w:t>
      </w:r>
      <w:r w:rsidR="00334FDC">
        <w:rPr>
          <w:lang w:eastAsia="ar-SA"/>
        </w:rPr>
        <w:t xml:space="preserve"> Annex 6, paragraph 3. of Annex </w:t>
      </w:r>
      <w:r>
        <w:rPr>
          <w:lang w:eastAsia="ar-SA"/>
        </w:rPr>
        <w:t>7</w:t>
      </w:r>
      <w:r w:rsidRPr="00065ABB">
        <w:rPr>
          <w:b/>
          <w:lang w:eastAsia="ar-SA"/>
        </w:rPr>
        <w:t>, and paragraph 3.1. of Annex 8</w:t>
      </w:r>
      <w:r>
        <w:rPr>
          <w:lang w:eastAsia="ar-SA"/>
        </w:rPr>
        <w:t>.</w:t>
      </w:r>
      <w:r w:rsidR="00DF47C2" w:rsidRPr="00DF47C2">
        <w:rPr>
          <w:lang w:eastAsia="ar-SA"/>
        </w:rPr>
        <w:t>"</w:t>
      </w:r>
    </w:p>
    <w:p w:rsidR="00DF47C2" w:rsidRPr="00C44286" w:rsidRDefault="00DF47C2" w:rsidP="000E2AC1">
      <w:pPr>
        <w:spacing w:before="120" w:after="120" w:line="240" w:lineRule="auto"/>
        <w:ind w:left="1134"/>
        <w:jc w:val="both"/>
        <w:rPr>
          <w:lang w:eastAsia="ar-SA"/>
        </w:rPr>
      </w:pPr>
    </w:p>
    <w:p w:rsidR="00DF418A" w:rsidRPr="00C44286" w:rsidRDefault="00E87504" w:rsidP="00E87504">
      <w:pPr>
        <w:pStyle w:val="HChG"/>
      </w:pPr>
      <w:r w:rsidRPr="00C44286">
        <w:tab/>
        <w:t>II.</w:t>
      </w:r>
      <w:r w:rsidRPr="00C44286">
        <w:tab/>
        <w:t>Justification</w:t>
      </w:r>
    </w:p>
    <w:p w:rsidR="00065ABB" w:rsidRDefault="009A3FB3" w:rsidP="00065ABB">
      <w:pPr>
        <w:tabs>
          <w:tab w:val="left" w:pos="1701"/>
          <w:tab w:val="left" w:pos="8505"/>
        </w:tabs>
        <w:spacing w:before="120" w:after="120" w:line="240" w:lineRule="auto"/>
        <w:ind w:left="1134" w:right="1134"/>
        <w:jc w:val="both"/>
        <w:rPr>
          <w:lang w:eastAsia="ar-SA"/>
        </w:rPr>
      </w:pPr>
      <w:r w:rsidRPr="00C44286">
        <w:rPr>
          <w:lang w:eastAsia="ar-SA"/>
        </w:rPr>
        <w:t>1.</w:t>
      </w:r>
      <w:r w:rsidRPr="00C44286">
        <w:rPr>
          <w:lang w:eastAsia="ar-SA"/>
        </w:rPr>
        <w:tab/>
      </w:r>
      <w:r w:rsidR="00065ABB">
        <w:rPr>
          <w:lang w:eastAsia="ar-SA"/>
        </w:rPr>
        <w:t xml:space="preserve">The original proposal of </w:t>
      </w:r>
      <w:r w:rsidR="00152086">
        <w:rPr>
          <w:lang w:eastAsia="ar-SA"/>
        </w:rPr>
        <w:t>the 01 series amendments submitted by some C</w:t>
      </w:r>
      <w:r w:rsidR="00065ABB">
        <w:rPr>
          <w:lang w:eastAsia="ar-SA"/>
        </w:rPr>
        <w:t xml:space="preserve">ontracting </w:t>
      </w:r>
      <w:r w:rsidR="00152086">
        <w:rPr>
          <w:lang w:eastAsia="ar-SA"/>
        </w:rPr>
        <w:t>P</w:t>
      </w:r>
      <w:r w:rsidR="00065ABB">
        <w:rPr>
          <w:lang w:eastAsia="ar-SA"/>
        </w:rPr>
        <w:t>arties (France, Sweden, Norway, Germany) focus</w:t>
      </w:r>
      <w:r w:rsidR="00152086">
        <w:rPr>
          <w:lang w:eastAsia="ar-SA"/>
        </w:rPr>
        <w:t>ed</w:t>
      </w:r>
      <w:r w:rsidR="00065ABB">
        <w:rPr>
          <w:lang w:eastAsia="ar-SA"/>
        </w:rPr>
        <w:t xml:space="preserve"> on all electric cables used in the vehicle. The current text of </w:t>
      </w:r>
      <w:r w:rsidR="00152086">
        <w:rPr>
          <w:lang w:eastAsia="ar-SA"/>
        </w:rPr>
        <w:t xml:space="preserve">UN </w:t>
      </w:r>
      <w:r w:rsidR="00065ABB">
        <w:rPr>
          <w:lang w:eastAsia="ar-SA"/>
        </w:rPr>
        <w:t>Regulation No. 118 permit</w:t>
      </w:r>
      <w:r w:rsidR="00152086">
        <w:rPr>
          <w:lang w:eastAsia="ar-SA"/>
        </w:rPr>
        <w:t>s</w:t>
      </w:r>
      <w:r w:rsidR="00065ABB">
        <w:rPr>
          <w:lang w:eastAsia="ar-SA"/>
        </w:rPr>
        <w:t xml:space="preserve"> the </w:t>
      </w:r>
      <w:r w:rsidR="00152086">
        <w:rPr>
          <w:lang w:eastAsia="ar-SA"/>
        </w:rPr>
        <w:t>interpretation that</w:t>
      </w:r>
      <w:r w:rsidR="00065ABB">
        <w:rPr>
          <w:lang w:eastAsia="ar-SA"/>
        </w:rPr>
        <w:t xml:space="preserve"> </w:t>
      </w:r>
      <w:r w:rsidR="00152086">
        <w:rPr>
          <w:lang w:eastAsia="ar-SA"/>
        </w:rPr>
        <w:t xml:space="preserve">only </w:t>
      </w:r>
      <w:r w:rsidR="00065ABB">
        <w:rPr>
          <w:lang w:eastAsia="ar-SA"/>
        </w:rPr>
        <w:t xml:space="preserve">electric cables used in the interior compartment, the engine compartment and any separate heating compartment have to be tested concerning flame propagation. The proposal clarifies the application </w:t>
      </w:r>
      <w:r w:rsidR="00152086">
        <w:rPr>
          <w:lang w:eastAsia="ar-SA"/>
        </w:rPr>
        <w:t xml:space="preserve">of the provisions </w:t>
      </w:r>
      <w:r w:rsidR="00065ABB">
        <w:rPr>
          <w:lang w:eastAsia="ar-SA"/>
        </w:rPr>
        <w:t>to any cable used in the entire vehicle, not only to those in the interior compartment, engine compartment a</w:t>
      </w:r>
      <w:r w:rsidR="00152086">
        <w:rPr>
          <w:lang w:eastAsia="ar-SA"/>
        </w:rPr>
        <w:t>nd separate heater compartment.</w:t>
      </w:r>
    </w:p>
    <w:p w:rsidR="00152086" w:rsidRDefault="00065ABB" w:rsidP="00065ABB">
      <w:pPr>
        <w:tabs>
          <w:tab w:val="left" w:pos="1701"/>
          <w:tab w:val="left" w:pos="8505"/>
        </w:tabs>
        <w:spacing w:before="120" w:after="120" w:line="240" w:lineRule="auto"/>
        <w:ind w:left="1134" w:right="1134"/>
        <w:jc w:val="both"/>
        <w:rPr>
          <w:lang w:eastAsia="ar-SA"/>
        </w:rPr>
      </w:pPr>
      <w:r>
        <w:rPr>
          <w:lang w:eastAsia="ar-SA"/>
        </w:rPr>
        <w:t>2.</w:t>
      </w:r>
      <w:r>
        <w:rPr>
          <w:lang w:eastAsia="ar-SA"/>
        </w:rPr>
        <w:tab/>
      </w:r>
      <w:r w:rsidR="00152086">
        <w:rPr>
          <w:lang w:eastAsia="ar-SA"/>
        </w:rPr>
        <w:t>Thus, the</w:t>
      </w:r>
      <w:r>
        <w:rPr>
          <w:lang w:eastAsia="ar-SA"/>
        </w:rPr>
        <w:t xml:space="preserve"> references </w:t>
      </w:r>
      <w:r w:rsidR="00152086">
        <w:rPr>
          <w:lang w:eastAsia="ar-SA"/>
        </w:rPr>
        <w:t xml:space="preserve">in paragraph 1.3. </w:t>
      </w:r>
      <w:r>
        <w:rPr>
          <w:lang w:eastAsia="ar-SA"/>
        </w:rPr>
        <w:t>to the three dif</w:t>
      </w:r>
      <w:r w:rsidR="00152086">
        <w:rPr>
          <w:lang w:eastAsia="ar-SA"/>
        </w:rPr>
        <w:t>ferent compartments are deleted</w:t>
      </w:r>
      <w:r>
        <w:rPr>
          <w:lang w:eastAsia="ar-SA"/>
        </w:rPr>
        <w:t xml:space="preserve"> align</w:t>
      </w:r>
      <w:r w:rsidR="00152086">
        <w:rPr>
          <w:lang w:eastAsia="ar-SA"/>
        </w:rPr>
        <w:t>ing</w:t>
      </w:r>
      <w:r>
        <w:rPr>
          <w:lang w:eastAsia="ar-SA"/>
        </w:rPr>
        <w:t xml:space="preserve"> </w:t>
      </w:r>
      <w:r w:rsidR="00152086">
        <w:rPr>
          <w:lang w:eastAsia="ar-SA"/>
        </w:rPr>
        <w:t xml:space="preserve">the </w:t>
      </w:r>
      <w:r>
        <w:rPr>
          <w:lang w:eastAsia="ar-SA"/>
        </w:rPr>
        <w:t xml:space="preserve">paragraph with </w:t>
      </w:r>
      <w:r w:rsidR="00152086">
        <w:rPr>
          <w:lang w:eastAsia="ar-SA"/>
        </w:rPr>
        <w:t xml:space="preserve">the table of </w:t>
      </w:r>
      <w:r>
        <w:rPr>
          <w:lang w:eastAsia="ar-SA"/>
        </w:rPr>
        <w:t xml:space="preserve">contents, point 6. and the </w:t>
      </w:r>
      <w:r w:rsidR="00152086">
        <w:rPr>
          <w:lang w:eastAsia="ar-SA"/>
        </w:rPr>
        <w:t>title of C</w:t>
      </w:r>
      <w:r>
        <w:rPr>
          <w:lang w:eastAsia="ar-SA"/>
        </w:rPr>
        <w:t>hapter 6.</w:t>
      </w:r>
    </w:p>
    <w:p w:rsidR="00065ABB" w:rsidRDefault="00152086" w:rsidP="003023B6">
      <w:pPr>
        <w:tabs>
          <w:tab w:val="left" w:pos="1701"/>
          <w:tab w:val="left" w:pos="8505"/>
        </w:tabs>
        <w:spacing w:before="120" w:after="120" w:line="240" w:lineRule="auto"/>
        <w:ind w:left="1134" w:right="1134"/>
        <w:jc w:val="both"/>
        <w:rPr>
          <w:lang w:eastAsia="ar-SA"/>
        </w:rPr>
      </w:pPr>
      <w:r>
        <w:rPr>
          <w:lang w:eastAsia="ar-SA"/>
        </w:rPr>
        <w:t>3</w:t>
      </w:r>
      <w:r w:rsidR="00065ABB">
        <w:rPr>
          <w:lang w:eastAsia="ar-SA"/>
        </w:rPr>
        <w:t>.</w:t>
      </w:r>
      <w:r w:rsidR="00065ABB">
        <w:rPr>
          <w:lang w:eastAsia="ar-SA"/>
        </w:rPr>
        <w:tab/>
        <w:t xml:space="preserve">The current text of </w:t>
      </w:r>
      <w:r>
        <w:rPr>
          <w:lang w:eastAsia="ar-SA"/>
        </w:rPr>
        <w:t xml:space="preserve">UN </w:t>
      </w:r>
      <w:r w:rsidR="00065ABB">
        <w:rPr>
          <w:lang w:eastAsia="ar-SA"/>
        </w:rPr>
        <w:t xml:space="preserve">Regulation No. 118 on the burning behaviour of electric cables </w:t>
      </w:r>
      <w:r>
        <w:rPr>
          <w:lang w:eastAsia="ar-SA"/>
        </w:rPr>
        <w:t>resulted in</w:t>
      </w:r>
      <w:r w:rsidR="00065ABB">
        <w:rPr>
          <w:lang w:eastAsia="ar-SA"/>
        </w:rPr>
        <w:t xml:space="preserve"> discussions and different interpretations of the provisions. One interpretation is that the requirement would have to be applied </w:t>
      </w:r>
      <w:r w:rsidR="001D37CC">
        <w:rPr>
          <w:lang w:eastAsia="ar-SA"/>
        </w:rPr>
        <w:t xml:space="preserve">only </w:t>
      </w:r>
      <w:r w:rsidR="00065ABB">
        <w:rPr>
          <w:lang w:eastAsia="ar-SA"/>
        </w:rPr>
        <w:t xml:space="preserve">to the electric cables covered by </w:t>
      </w:r>
      <w:r w:rsidR="00334FDC">
        <w:rPr>
          <w:lang w:eastAsia="ar-SA"/>
        </w:rPr>
        <w:t xml:space="preserve">standard </w:t>
      </w:r>
      <w:r w:rsidR="00065ABB">
        <w:rPr>
          <w:lang w:eastAsia="ar-SA"/>
        </w:rPr>
        <w:t>ISO 6722. This was n</w:t>
      </w:r>
      <w:r w:rsidR="001D37CC">
        <w:rPr>
          <w:lang w:eastAsia="ar-SA"/>
        </w:rPr>
        <w:t>ot</w:t>
      </w:r>
      <w:r w:rsidR="00065ABB">
        <w:rPr>
          <w:lang w:eastAsia="ar-SA"/>
        </w:rPr>
        <w:t xml:space="preserve"> the intention of the original proposal </w:t>
      </w:r>
      <w:r w:rsidR="001D37CC">
        <w:rPr>
          <w:lang w:eastAsia="ar-SA"/>
        </w:rPr>
        <w:t>and</w:t>
      </w:r>
      <w:r w:rsidR="00065ABB">
        <w:rPr>
          <w:lang w:eastAsia="ar-SA"/>
        </w:rPr>
        <w:t xml:space="preserve"> would </w:t>
      </w:r>
      <w:r w:rsidR="001D37CC">
        <w:rPr>
          <w:lang w:eastAsia="ar-SA"/>
        </w:rPr>
        <w:t>not</w:t>
      </w:r>
      <w:r w:rsidR="00065ABB">
        <w:rPr>
          <w:lang w:eastAsia="ar-SA"/>
        </w:rPr>
        <w:t xml:space="preserve"> ensure a better protection against fire.</w:t>
      </w:r>
      <w:r w:rsidR="003023B6">
        <w:rPr>
          <w:lang w:eastAsia="ar-SA"/>
        </w:rPr>
        <w:t xml:space="preserve"> </w:t>
      </w:r>
      <w:r w:rsidR="001D37CC">
        <w:rPr>
          <w:lang w:eastAsia="ar-SA"/>
        </w:rPr>
        <w:t>Th</w:t>
      </w:r>
      <w:r w:rsidR="003023B6">
        <w:rPr>
          <w:lang w:eastAsia="ar-SA"/>
        </w:rPr>
        <w:t>erefore, th</w:t>
      </w:r>
      <w:r w:rsidR="001D37CC">
        <w:rPr>
          <w:lang w:eastAsia="ar-SA"/>
        </w:rPr>
        <w:t xml:space="preserve">is proposal aims at clarifying the </w:t>
      </w:r>
      <w:r w:rsidR="003023B6">
        <w:rPr>
          <w:lang w:eastAsia="ar-SA"/>
        </w:rPr>
        <w:t>provisions</w:t>
      </w:r>
      <w:r w:rsidR="001D37CC">
        <w:rPr>
          <w:lang w:eastAsia="ar-SA"/>
        </w:rPr>
        <w:t xml:space="preserve"> </w:t>
      </w:r>
      <w:r w:rsidR="00065ABB">
        <w:rPr>
          <w:lang w:eastAsia="ar-SA"/>
        </w:rPr>
        <w:t>to test any cable (e.g. single-core, multi-core, screened, unscreened, sheathed cables), not onl</w:t>
      </w:r>
      <w:r w:rsidR="003023B6">
        <w:rPr>
          <w:lang w:eastAsia="ar-SA"/>
        </w:rPr>
        <w:t>y those dealt with in ISO 6722.</w:t>
      </w:r>
    </w:p>
    <w:p w:rsidR="00065ABB" w:rsidRDefault="00065ABB" w:rsidP="003023B6">
      <w:pPr>
        <w:tabs>
          <w:tab w:val="left" w:pos="1701"/>
          <w:tab w:val="left" w:pos="8505"/>
        </w:tabs>
        <w:spacing w:before="120" w:after="120" w:line="240" w:lineRule="auto"/>
        <w:ind w:left="1134" w:right="1134"/>
        <w:jc w:val="both"/>
        <w:rPr>
          <w:lang w:eastAsia="ar-SA"/>
        </w:rPr>
      </w:pPr>
      <w:r>
        <w:rPr>
          <w:lang w:eastAsia="ar-SA"/>
        </w:rPr>
        <w:t>4.</w:t>
      </w:r>
      <w:r>
        <w:rPr>
          <w:lang w:eastAsia="ar-SA"/>
        </w:rPr>
        <w:tab/>
        <w:t>As short electric cables, cable sleeves and cable conduits fitted to components like e.g. alternators, starters, control devices, etc. have no significant effect on the fire propagation, it seems justified to focus on those materials exceeding a length of e.g. 100</w:t>
      </w:r>
      <w:r w:rsidR="003023B6">
        <w:rPr>
          <w:lang w:eastAsia="ar-SA"/>
        </w:rPr>
        <w:t> mm. Thus, the amended p</w:t>
      </w:r>
      <w:r>
        <w:rPr>
          <w:lang w:eastAsia="ar-SA"/>
        </w:rPr>
        <w:t>aragraph 6.2.6. propose</w:t>
      </w:r>
      <w:r w:rsidR="003023B6">
        <w:rPr>
          <w:lang w:eastAsia="ar-SA"/>
        </w:rPr>
        <w:t>s</w:t>
      </w:r>
      <w:r>
        <w:rPr>
          <w:lang w:eastAsia="ar-SA"/>
        </w:rPr>
        <w:t xml:space="preserve"> to test electric cables to those materials that exceed a length of e.g. 100 mm.</w:t>
      </w:r>
    </w:p>
    <w:p w:rsidR="00065ABB" w:rsidRDefault="00065ABB" w:rsidP="00065ABB">
      <w:pPr>
        <w:tabs>
          <w:tab w:val="left" w:pos="1701"/>
          <w:tab w:val="left" w:pos="8505"/>
        </w:tabs>
        <w:spacing w:before="120" w:after="120" w:line="240" w:lineRule="auto"/>
        <w:ind w:left="1134" w:right="1134"/>
        <w:jc w:val="both"/>
        <w:rPr>
          <w:lang w:eastAsia="ar-SA"/>
        </w:rPr>
      </w:pPr>
      <w:r>
        <w:rPr>
          <w:lang w:eastAsia="ar-SA"/>
        </w:rPr>
        <w:t>5.</w:t>
      </w:r>
      <w:r>
        <w:rPr>
          <w:lang w:eastAsia="ar-SA"/>
        </w:rPr>
        <w:tab/>
      </w:r>
      <w:r w:rsidR="003023B6">
        <w:rPr>
          <w:lang w:eastAsia="ar-SA"/>
        </w:rPr>
        <w:t>The</w:t>
      </w:r>
      <w:r>
        <w:rPr>
          <w:lang w:eastAsia="ar-SA"/>
        </w:rPr>
        <w:t xml:space="preserve"> reference </w:t>
      </w:r>
      <w:r w:rsidR="003023B6">
        <w:rPr>
          <w:lang w:eastAsia="ar-SA"/>
        </w:rPr>
        <w:t xml:space="preserve">in paragraph 6.2.6. of UN Regulation No. 118 </w:t>
      </w:r>
      <w:r>
        <w:rPr>
          <w:lang w:eastAsia="ar-SA"/>
        </w:rPr>
        <w:t xml:space="preserve">to the cable test </w:t>
      </w:r>
      <w:r w:rsidR="003023B6">
        <w:rPr>
          <w:lang w:eastAsia="ar-SA"/>
        </w:rPr>
        <w:t>specified in</w:t>
      </w:r>
      <w:r>
        <w:rPr>
          <w:lang w:eastAsia="ar-SA"/>
        </w:rPr>
        <w:t xml:space="preserve"> paragraph 12. of ISO 6722 is outdated. The correct reference is paragraph 5.22. of ISO 6722-1:2011.</w:t>
      </w:r>
    </w:p>
    <w:p w:rsidR="00065ABB" w:rsidRPr="00C44286" w:rsidRDefault="00065ABB" w:rsidP="00065ABB">
      <w:pPr>
        <w:tabs>
          <w:tab w:val="left" w:pos="1701"/>
          <w:tab w:val="left" w:pos="8505"/>
        </w:tabs>
        <w:spacing w:before="120" w:after="120" w:line="240" w:lineRule="auto"/>
        <w:ind w:left="1134" w:right="1134"/>
        <w:jc w:val="both"/>
        <w:rPr>
          <w:lang w:eastAsia="ar-SA"/>
        </w:rPr>
      </w:pPr>
      <w:r>
        <w:rPr>
          <w:lang w:eastAsia="ar-SA"/>
        </w:rPr>
        <w:t>6.</w:t>
      </w:r>
      <w:r>
        <w:rPr>
          <w:lang w:eastAsia="ar-SA"/>
        </w:rPr>
        <w:tab/>
        <w:t>In paragraph 6.2.7.4</w:t>
      </w:r>
      <w:r w:rsidR="003023B6">
        <w:rPr>
          <w:lang w:eastAsia="ar-SA"/>
        </w:rPr>
        <w:t>.,</w:t>
      </w:r>
      <w:r>
        <w:rPr>
          <w:lang w:eastAsia="ar-SA"/>
        </w:rPr>
        <w:t xml:space="preserve"> the </w:t>
      </w:r>
      <w:r w:rsidR="00E75A0A">
        <w:rPr>
          <w:lang w:eastAsia="ar-SA"/>
        </w:rPr>
        <w:t>wording</w:t>
      </w:r>
      <w:r>
        <w:rPr>
          <w:lang w:eastAsia="ar-SA"/>
        </w:rPr>
        <w:t xml:space="preserve"> </w:t>
      </w:r>
      <w:r w:rsidR="003023B6">
        <w:rPr>
          <w:lang w:eastAsia="ar-SA"/>
        </w:rPr>
        <w:t>"</w:t>
      </w:r>
      <w:r>
        <w:rPr>
          <w:lang w:eastAsia="ar-SA"/>
        </w:rPr>
        <w:t>and paragraph 3.1. of Annex 8</w:t>
      </w:r>
      <w:r w:rsidR="003023B6">
        <w:rPr>
          <w:lang w:eastAsia="ar-SA"/>
        </w:rPr>
        <w:t>"</w:t>
      </w:r>
      <w:r>
        <w:rPr>
          <w:lang w:eastAsia="ar-SA"/>
        </w:rPr>
        <w:t xml:space="preserve"> is reinserted, due to a</w:t>
      </w:r>
      <w:r w:rsidR="003023B6">
        <w:rPr>
          <w:lang w:eastAsia="ar-SA"/>
        </w:rPr>
        <w:t>n error</w:t>
      </w:r>
      <w:r>
        <w:rPr>
          <w:lang w:eastAsia="ar-SA"/>
        </w:rPr>
        <w:t xml:space="preserve"> occurred in Revision 1 and </w:t>
      </w:r>
      <w:r w:rsidR="00E75A0A">
        <w:rPr>
          <w:lang w:eastAsia="ar-SA"/>
        </w:rPr>
        <w:t>aligning</w:t>
      </w:r>
      <w:r>
        <w:rPr>
          <w:lang w:eastAsia="ar-SA"/>
        </w:rPr>
        <w:t xml:space="preserve"> the </w:t>
      </w:r>
      <w:r w:rsidR="00E75A0A">
        <w:rPr>
          <w:lang w:eastAsia="ar-SA"/>
        </w:rPr>
        <w:t xml:space="preserve">provisions at an </w:t>
      </w:r>
      <w:r>
        <w:rPr>
          <w:lang w:eastAsia="ar-SA"/>
        </w:rPr>
        <w:t>equivalent status compared to Annex</w:t>
      </w:r>
      <w:r w:rsidR="00E75A0A">
        <w:rPr>
          <w:lang w:eastAsia="ar-SA"/>
        </w:rPr>
        <w:t>es</w:t>
      </w:r>
      <w:r>
        <w:rPr>
          <w:lang w:eastAsia="ar-SA"/>
        </w:rPr>
        <w:t xml:space="preserve"> 6 and 7.</w:t>
      </w:r>
    </w:p>
    <w:p w:rsidR="00C31258" w:rsidRPr="000D0516" w:rsidRDefault="00C31258" w:rsidP="00C31258">
      <w:pPr>
        <w:spacing w:before="240"/>
        <w:ind w:left="1134" w:right="1134"/>
        <w:jc w:val="center"/>
        <w:rPr>
          <w:u w:val="single"/>
        </w:rPr>
      </w:pPr>
      <w:bookmarkStart w:id="0" w:name="_GoBack"/>
      <w:bookmarkEnd w:id="0"/>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16" w:rsidRDefault="00D21D16"/>
  </w:endnote>
  <w:endnote w:type="continuationSeparator" w:id="0">
    <w:p w:rsidR="00D21D16" w:rsidRDefault="00D21D16"/>
  </w:endnote>
  <w:endnote w:type="continuationNotice" w:id="1">
    <w:p w:rsidR="00D21D16" w:rsidRDefault="00D21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1732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17326">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B17326">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16" w:rsidRPr="000B175B" w:rsidRDefault="00D21D16" w:rsidP="000B175B">
      <w:pPr>
        <w:tabs>
          <w:tab w:val="right" w:pos="2155"/>
        </w:tabs>
        <w:spacing w:after="80"/>
        <w:ind w:left="680"/>
        <w:rPr>
          <w:u w:val="single"/>
        </w:rPr>
      </w:pPr>
      <w:r>
        <w:rPr>
          <w:u w:val="single"/>
        </w:rPr>
        <w:tab/>
      </w:r>
    </w:p>
  </w:footnote>
  <w:footnote w:type="continuationSeparator" w:id="0">
    <w:p w:rsidR="00D21D16" w:rsidRPr="00FC68B7" w:rsidRDefault="00D21D16" w:rsidP="00FC68B7">
      <w:pPr>
        <w:tabs>
          <w:tab w:val="left" w:pos="2155"/>
        </w:tabs>
        <w:spacing w:after="80"/>
        <w:ind w:left="680"/>
        <w:rPr>
          <w:u w:val="single"/>
        </w:rPr>
      </w:pPr>
      <w:r>
        <w:rPr>
          <w:u w:val="single"/>
        </w:rPr>
        <w:tab/>
      </w:r>
    </w:p>
  </w:footnote>
  <w:footnote w:type="continuationNotice" w:id="1">
    <w:p w:rsidR="00D21D16" w:rsidRDefault="00D21D16"/>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967ACA">
      <w:t>2</w:t>
    </w:r>
    <w:r w:rsidR="00B8054C">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F86A82">
      <w:t>5</w:t>
    </w:r>
    <w:r>
      <w:t>/</w:t>
    </w:r>
    <w:r w:rsidR="00F86A82">
      <w:t>2</w:t>
    </w:r>
    <w:r w:rsidR="00B8054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20"/>
  </w:num>
  <w:num w:numId="16">
    <w:abstractNumId w:val="10"/>
  </w:num>
  <w:num w:numId="17">
    <w:abstractNumId w:val="14"/>
  </w:num>
  <w:num w:numId="18">
    <w:abstractNumId w:val="19"/>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5ABB"/>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086"/>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7CC"/>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0F42"/>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3B6"/>
    <w:rsid w:val="0030272D"/>
    <w:rsid w:val="00302E18"/>
    <w:rsid w:val="0030598C"/>
    <w:rsid w:val="00312F59"/>
    <w:rsid w:val="0031733E"/>
    <w:rsid w:val="003229D8"/>
    <w:rsid w:val="003237A4"/>
    <w:rsid w:val="00325908"/>
    <w:rsid w:val="00326932"/>
    <w:rsid w:val="00330F1A"/>
    <w:rsid w:val="00334FDC"/>
    <w:rsid w:val="00336789"/>
    <w:rsid w:val="003406CC"/>
    <w:rsid w:val="0034070E"/>
    <w:rsid w:val="0034168B"/>
    <w:rsid w:val="003450DD"/>
    <w:rsid w:val="003451F4"/>
    <w:rsid w:val="003516C1"/>
    <w:rsid w:val="00352181"/>
    <w:rsid w:val="00352709"/>
    <w:rsid w:val="00356E54"/>
    <w:rsid w:val="003619B5"/>
    <w:rsid w:val="00361AC3"/>
    <w:rsid w:val="00362DB7"/>
    <w:rsid w:val="00365763"/>
    <w:rsid w:val="00371178"/>
    <w:rsid w:val="00377817"/>
    <w:rsid w:val="00377D82"/>
    <w:rsid w:val="003800C8"/>
    <w:rsid w:val="00383155"/>
    <w:rsid w:val="0038516A"/>
    <w:rsid w:val="00391650"/>
    <w:rsid w:val="00392E47"/>
    <w:rsid w:val="00394CC7"/>
    <w:rsid w:val="00396E5F"/>
    <w:rsid w:val="003A06B5"/>
    <w:rsid w:val="003A135A"/>
    <w:rsid w:val="003A3D17"/>
    <w:rsid w:val="003A41F4"/>
    <w:rsid w:val="003A5432"/>
    <w:rsid w:val="003A5828"/>
    <w:rsid w:val="003A6810"/>
    <w:rsid w:val="003B1EDF"/>
    <w:rsid w:val="003C17CC"/>
    <w:rsid w:val="003C2CC4"/>
    <w:rsid w:val="003C46E4"/>
    <w:rsid w:val="003C4BA1"/>
    <w:rsid w:val="003C534D"/>
    <w:rsid w:val="003D4B23"/>
    <w:rsid w:val="003E120B"/>
    <w:rsid w:val="003E130E"/>
    <w:rsid w:val="003E44F5"/>
    <w:rsid w:val="003E7294"/>
    <w:rsid w:val="003F00E3"/>
    <w:rsid w:val="003F23F3"/>
    <w:rsid w:val="003F4275"/>
    <w:rsid w:val="003F6FC1"/>
    <w:rsid w:val="004019C4"/>
    <w:rsid w:val="00403D20"/>
    <w:rsid w:val="0040438C"/>
    <w:rsid w:val="00410C89"/>
    <w:rsid w:val="00412ED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05FE"/>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651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216D"/>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A1FFD"/>
    <w:rsid w:val="007A238A"/>
    <w:rsid w:val="007A4165"/>
    <w:rsid w:val="007A52E6"/>
    <w:rsid w:val="007B2A30"/>
    <w:rsid w:val="007B6BA5"/>
    <w:rsid w:val="007C0546"/>
    <w:rsid w:val="007C2E71"/>
    <w:rsid w:val="007C3390"/>
    <w:rsid w:val="007C3B1C"/>
    <w:rsid w:val="007C4F4B"/>
    <w:rsid w:val="007D0567"/>
    <w:rsid w:val="007D2276"/>
    <w:rsid w:val="007D24C3"/>
    <w:rsid w:val="007D4509"/>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17326"/>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054C"/>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FAE"/>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4286"/>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0CC2"/>
    <w:rsid w:val="00CA194A"/>
    <w:rsid w:val="00CA6DDD"/>
    <w:rsid w:val="00CA713F"/>
    <w:rsid w:val="00CB3E03"/>
    <w:rsid w:val="00CC138B"/>
    <w:rsid w:val="00CC1F27"/>
    <w:rsid w:val="00CD4AA6"/>
    <w:rsid w:val="00CE38C3"/>
    <w:rsid w:val="00CE4A8F"/>
    <w:rsid w:val="00CE5946"/>
    <w:rsid w:val="00CE7719"/>
    <w:rsid w:val="00CE7816"/>
    <w:rsid w:val="00CF1FA5"/>
    <w:rsid w:val="00CF263E"/>
    <w:rsid w:val="00CF2B7C"/>
    <w:rsid w:val="00CF7C95"/>
    <w:rsid w:val="00D0541A"/>
    <w:rsid w:val="00D05E5E"/>
    <w:rsid w:val="00D12117"/>
    <w:rsid w:val="00D153A7"/>
    <w:rsid w:val="00D2031B"/>
    <w:rsid w:val="00D21D16"/>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190"/>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4E1E"/>
    <w:rsid w:val="00DE5FF7"/>
    <w:rsid w:val="00DF418A"/>
    <w:rsid w:val="00DF47C2"/>
    <w:rsid w:val="00DF49B0"/>
    <w:rsid w:val="00DF5962"/>
    <w:rsid w:val="00E00FC9"/>
    <w:rsid w:val="00E031C0"/>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5A0A"/>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D5269"/>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FDA5-5274-44E7-A9C0-7E6858DD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15</TotalTime>
  <Pages>3</Pages>
  <Words>1027</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5</cp:revision>
  <cp:lastPrinted>2015-02-10T09:04:00Z</cp:lastPrinted>
  <dcterms:created xsi:type="dcterms:W3CDTF">2015-07-10T09:19:00Z</dcterms:created>
  <dcterms:modified xsi:type="dcterms:W3CDTF">2015-07-10T09:45:00Z</dcterms:modified>
</cp:coreProperties>
</file>