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827"/>
        <w:gridCol w:w="2268"/>
      </w:tblGrid>
      <w:tr w:rsidR="00B56E9C" w:rsidTr="00D1468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D1468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14683" w:rsidRDefault="00B56E9C" w:rsidP="00D1468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1468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D14683" w:rsidP="00834BC9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/TRANS/WP.29/GRSP/2015/</w:t>
            </w:r>
            <w:r w:rsidR="002D0AEC">
              <w:t>29</w:t>
            </w:r>
          </w:p>
        </w:tc>
      </w:tr>
      <w:tr w:rsidR="00B56E9C" w:rsidTr="001D51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4DC7" w:rsidP="00D14683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14683" w:rsidRDefault="00D773DF" w:rsidP="00D14683">
            <w:pPr>
              <w:spacing w:before="120" w:line="420" w:lineRule="exact"/>
              <w:rPr>
                <w:sz w:val="40"/>
                <w:szCs w:val="40"/>
              </w:rPr>
            </w:pPr>
            <w:r w:rsidRPr="00D1468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D14683" w:rsidP="00D14683">
            <w:pPr>
              <w:spacing w:before="240" w:line="240" w:lineRule="exact"/>
            </w:pPr>
            <w:r>
              <w:t>Distr.: General</w:t>
            </w:r>
          </w:p>
          <w:p w:rsidR="00D14683" w:rsidRDefault="004E46C7" w:rsidP="00D14683">
            <w:pPr>
              <w:spacing w:line="240" w:lineRule="exact"/>
            </w:pPr>
            <w:r>
              <w:t>2</w:t>
            </w:r>
            <w:r w:rsidR="00B54DC7">
              <w:t>2</w:t>
            </w:r>
            <w:r w:rsidR="00C750B3">
              <w:t xml:space="preserve"> September</w:t>
            </w:r>
            <w:r w:rsidR="00834BC9">
              <w:t xml:space="preserve"> </w:t>
            </w:r>
            <w:r w:rsidR="00D14683">
              <w:t>2015</w:t>
            </w:r>
          </w:p>
          <w:p w:rsidR="00D14683" w:rsidRDefault="00D14683" w:rsidP="00D14683">
            <w:pPr>
              <w:spacing w:line="240" w:lineRule="exact"/>
            </w:pPr>
          </w:p>
          <w:p w:rsidR="00D14683" w:rsidRDefault="00D14683" w:rsidP="00D14683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D14683" w:rsidRPr="003527A4" w:rsidRDefault="00D14683" w:rsidP="00D14683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D14683" w:rsidRPr="003527A4" w:rsidRDefault="00D14683" w:rsidP="00D14683">
      <w:pPr>
        <w:rPr>
          <w:b/>
        </w:rPr>
      </w:pPr>
      <w:r>
        <w:rPr>
          <w:b/>
        </w:rPr>
        <w:t>Fifty-</w:t>
      </w:r>
      <w:r w:rsidR="00542BE8">
        <w:rPr>
          <w:b/>
        </w:rPr>
        <w:t>eighth</w:t>
      </w:r>
      <w:r>
        <w:rPr>
          <w:b/>
        </w:rPr>
        <w:t xml:space="preserve"> </w:t>
      </w:r>
      <w:proofErr w:type="gramStart"/>
      <w:r>
        <w:rPr>
          <w:b/>
        </w:rPr>
        <w:t>session</w:t>
      </w:r>
      <w:proofErr w:type="gramEnd"/>
    </w:p>
    <w:p w:rsidR="00D14683" w:rsidRPr="003527A4" w:rsidRDefault="00D14683" w:rsidP="00D14683">
      <w:pPr>
        <w:rPr>
          <w:bCs/>
        </w:rPr>
      </w:pPr>
      <w:r>
        <w:t>Geneva, 8-</w:t>
      </w:r>
      <w:r w:rsidR="00C14E4E">
        <w:t>11</w:t>
      </w:r>
      <w:r>
        <w:t xml:space="preserve"> </w:t>
      </w:r>
      <w:r w:rsidR="00C14E4E">
        <w:t>December</w:t>
      </w:r>
      <w:r>
        <w:t xml:space="preserve"> 2015</w:t>
      </w:r>
    </w:p>
    <w:p w:rsidR="00D14683" w:rsidRPr="008E21DC" w:rsidRDefault="00D14683" w:rsidP="00D14683">
      <w:pPr>
        <w:rPr>
          <w:bCs/>
        </w:rPr>
      </w:pPr>
      <w:r>
        <w:rPr>
          <w:bCs/>
        </w:rPr>
        <w:t xml:space="preserve">Item </w:t>
      </w:r>
      <w:r w:rsidR="004E46C7">
        <w:rPr>
          <w:bCs/>
        </w:rPr>
        <w:t>19</w:t>
      </w:r>
      <w:r w:rsidRPr="008E21DC">
        <w:rPr>
          <w:bCs/>
        </w:rPr>
        <w:t xml:space="preserve"> of the provisional agenda</w:t>
      </w:r>
    </w:p>
    <w:p w:rsidR="00D14683" w:rsidRDefault="00D14683" w:rsidP="00D14683">
      <w:pPr>
        <w:rPr>
          <w:b/>
        </w:rPr>
      </w:pPr>
      <w:r>
        <w:rPr>
          <w:b/>
        </w:rPr>
        <w:t xml:space="preserve">Regulation No. </w:t>
      </w:r>
      <w:r w:rsidR="00E329E4">
        <w:rPr>
          <w:b/>
        </w:rPr>
        <w:t>1</w:t>
      </w:r>
      <w:r w:rsidR="004E46C7">
        <w:rPr>
          <w:b/>
        </w:rPr>
        <w:t>29</w:t>
      </w:r>
      <w:r>
        <w:rPr>
          <w:b/>
        </w:rPr>
        <w:t xml:space="preserve"> (</w:t>
      </w:r>
      <w:r w:rsidR="004E46C7">
        <w:rPr>
          <w:b/>
        </w:rPr>
        <w:t>Enhanced Child Restraint Systems</w:t>
      </w:r>
      <w:r w:rsidR="00E329E4">
        <w:rPr>
          <w:b/>
        </w:rPr>
        <w:t>)</w:t>
      </w:r>
    </w:p>
    <w:p w:rsidR="00D14683" w:rsidRDefault="004E46C7" w:rsidP="00C750B3">
      <w:pPr>
        <w:pStyle w:val="HChG"/>
        <w:jc w:val="both"/>
      </w:pPr>
      <w:r>
        <w:tab/>
      </w:r>
      <w:r>
        <w:tab/>
        <w:t>Proposal for Supplement 5</w:t>
      </w:r>
      <w:r w:rsidR="00D14683">
        <w:t xml:space="preserve"> to Regulation No. </w:t>
      </w:r>
      <w:r w:rsidR="00377081">
        <w:t>1</w:t>
      </w:r>
      <w:r>
        <w:t>29</w:t>
      </w:r>
      <w:r w:rsidR="00D14683">
        <w:t xml:space="preserve"> (</w:t>
      </w:r>
      <w:r w:rsidRPr="004E46C7">
        <w:t>Enhanced Child Restraint Systems</w:t>
      </w:r>
      <w:r w:rsidR="00D14683">
        <w:t>)</w:t>
      </w:r>
    </w:p>
    <w:p w:rsidR="00D14683" w:rsidRPr="004D3A1C" w:rsidRDefault="00D14683" w:rsidP="00D14683">
      <w:pPr>
        <w:pStyle w:val="H1G"/>
        <w:ind w:firstLine="0"/>
      </w:pPr>
      <w:r>
        <w:t xml:space="preserve">Submitted by </w:t>
      </w:r>
      <w:r w:rsidRPr="00C94EE1">
        <w:t xml:space="preserve">the expert from the </w:t>
      </w:r>
      <w:r w:rsidR="004E46C7">
        <w:t>European Association of Automotive Suppliers</w:t>
      </w:r>
      <w:r>
        <w:t xml:space="preserve"> 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D14683" w:rsidRPr="00166E9C" w:rsidRDefault="000E3BC5" w:rsidP="00D14683">
      <w:pPr>
        <w:pStyle w:val="SingleTxtG"/>
        <w:ind w:firstLine="567"/>
        <w:rPr>
          <w:lang w:val="en-US"/>
        </w:rPr>
      </w:pPr>
      <w:r>
        <w:rPr>
          <w:szCs w:val="23"/>
        </w:rPr>
        <w:t xml:space="preserve">The text reproduced below was prepared by the expert from the </w:t>
      </w:r>
      <w:r w:rsidR="004E46C7">
        <w:t>European Association of Automotive Suppliers (CLEPA)</w:t>
      </w:r>
      <w:r w:rsidR="00C25B4A">
        <w:rPr>
          <w:szCs w:val="23"/>
        </w:rPr>
        <w:t xml:space="preserve"> </w:t>
      </w:r>
      <w:r w:rsidR="00377081">
        <w:rPr>
          <w:szCs w:val="23"/>
        </w:rPr>
        <w:t>to</w:t>
      </w:r>
      <w:r w:rsidR="00162CC8">
        <w:rPr>
          <w:szCs w:val="23"/>
        </w:rPr>
        <w:t xml:space="preserve"> </w:t>
      </w:r>
      <w:r w:rsidR="004E46C7">
        <w:rPr>
          <w:szCs w:val="23"/>
        </w:rPr>
        <w:t>introduce</w:t>
      </w:r>
      <w:r w:rsidR="00AB4B1F">
        <w:rPr>
          <w:szCs w:val="23"/>
        </w:rPr>
        <w:t xml:space="preserve"> </w:t>
      </w:r>
      <w:r w:rsidR="00874951">
        <w:rPr>
          <w:szCs w:val="23"/>
        </w:rPr>
        <w:t xml:space="preserve">a missing integral fixture to test possible configurations of </w:t>
      </w:r>
      <w:r w:rsidR="00874951" w:rsidRPr="004E46C7">
        <w:t>Enhanced Child Restraint Systems</w:t>
      </w:r>
      <w:r w:rsidR="00874951">
        <w:rPr>
          <w:szCs w:val="23"/>
        </w:rPr>
        <w:t xml:space="preserve"> (ECRS). </w:t>
      </w:r>
      <w:r>
        <w:rPr>
          <w:szCs w:val="23"/>
        </w:rPr>
        <w:t xml:space="preserve">The modifications to the current text of the </w:t>
      </w:r>
      <w:r w:rsidR="00C25B4A">
        <w:rPr>
          <w:szCs w:val="23"/>
        </w:rPr>
        <w:t xml:space="preserve">UN </w:t>
      </w:r>
      <w:r>
        <w:rPr>
          <w:szCs w:val="23"/>
        </w:rPr>
        <w:t>Regulation are marked in bold for new or strikethrough for deleted characters.</w:t>
      </w:r>
    </w:p>
    <w:p w:rsidR="000E3BC5" w:rsidRPr="000E13A1" w:rsidRDefault="00D14683" w:rsidP="000E13A1">
      <w:pPr>
        <w:pStyle w:val="HChG"/>
        <w:numPr>
          <w:ilvl w:val="0"/>
          <w:numId w:val="18"/>
        </w:numPr>
      </w:pPr>
      <w:r>
        <w:br w:type="page"/>
      </w:r>
      <w:r w:rsidR="000E3BC5">
        <w:lastRenderedPageBreak/>
        <w:t>Proposal</w:t>
      </w:r>
    </w:p>
    <w:p w:rsidR="002B5A41" w:rsidRDefault="002B5A41" w:rsidP="002B5A4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E03A64">
        <w:rPr>
          <w:i/>
        </w:rPr>
        <w:t xml:space="preserve">Paragraph </w:t>
      </w:r>
      <w:r>
        <w:rPr>
          <w:i/>
        </w:rPr>
        <w:t>6.1.2., Table 1</w:t>
      </w:r>
      <w:r w:rsidRPr="00E03A64">
        <w:rPr>
          <w:i/>
        </w:rPr>
        <w:t xml:space="preserve">, </w:t>
      </w:r>
      <w:r w:rsidRPr="00E03A64">
        <w:t>amend to read</w:t>
      </w:r>
      <w:r w:rsidRPr="00E03A64">
        <w:rPr>
          <w:iCs/>
        </w:rPr>
        <w:t>:</w:t>
      </w:r>
    </w:p>
    <w:p w:rsidR="002B5A41" w:rsidRPr="004354BC" w:rsidRDefault="002B5A41" w:rsidP="002B5A41">
      <w:pPr>
        <w:tabs>
          <w:tab w:val="num" w:pos="1080"/>
        </w:tabs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4354BC">
        <w:rPr>
          <w:lang w:val="en-US"/>
        </w:rPr>
        <w:t>Table 1</w:t>
      </w:r>
    </w:p>
    <w:p w:rsidR="002B5A41" w:rsidRPr="004354BC" w:rsidRDefault="002B5A41" w:rsidP="002B5A41">
      <w:pPr>
        <w:spacing w:after="120"/>
        <w:ind w:left="1134" w:right="1134"/>
        <w:jc w:val="both"/>
        <w:rPr>
          <w:b/>
          <w:bCs/>
          <w:lang w:val="en-US"/>
        </w:rPr>
      </w:pPr>
      <w:r w:rsidRPr="004354BC">
        <w:rPr>
          <w:b/>
          <w:bCs/>
          <w:lang w:val="en-US"/>
        </w:rPr>
        <w:t>Possible configurations for type approval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285"/>
        <w:gridCol w:w="1984"/>
        <w:gridCol w:w="1737"/>
      </w:tblGrid>
      <w:tr w:rsidR="002B5A41" w:rsidRPr="00F73288" w:rsidTr="00AE5B44">
        <w:tc>
          <w:tcPr>
            <w:tcW w:w="1365" w:type="dxa"/>
          </w:tcPr>
          <w:p w:rsidR="002B5A41" w:rsidRPr="004354BC" w:rsidRDefault="002B5A41" w:rsidP="00AE5B44">
            <w:pPr>
              <w:spacing w:before="80" w:after="80" w:line="200" w:lineRule="atLeast"/>
              <w:ind w:left="113" w:right="113"/>
              <w:rPr>
                <w:i/>
                <w:sz w:val="16"/>
                <w:lang w:val="en-US"/>
              </w:rPr>
            </w:pPr>
          </w:p>
        </w:tc>
        <w:tc>
          <w:tcPr>
            <w:tcW w:w="2285" w:type="dxa"/>
            <w:vAlign w:val="bottom"/>
          </w:tcPr>
          <w:p w:rsidR="002B5A41" w:rsidRPr="00F73288" w:rsidDel="003B3BD3" w:rsidRDefault="002B5A41" w:rsidP="00AE5B44">
            <w:pPr>
              <w:spacing w:before="80" w:after="80" w:line="200" w:lineRule="atLeast"/>
              <w:ind w:left="113" w:right="113"/>
              <w:rPr>
                <w:i/>
                <w:sz w:val="16"/>
              </w:rPr>
            </w:pPr>
            <w:r w:rsidRPr="00F73288">
              <w:rPr>
                <w:i/>
                <w:sz w:val="16"/>
              </w:rPr>
              <w:t>Orientation</w:t>
            </w:r>
          </w:p>
        </w:tc>
        <w:tc>
          <w:tcPr>
            <w:tcW w:w="3721" w:type="dxa"/>
            <w:gridSpan w:val="2"/>
            <w:vAlign w:val="bottom"/>
          </w:tcPr>
          <w:p w:rsidR="002B5A41" w:rsidRPr="00F73288" w:rsidDel="00185037" w:rsidRDefault="002B5A41" w:rsidP="00AE5B44">
            <w:pPr>
              <w:spacing w:before="80" w:after="80" w:line="200" w:lineRule="atLeast"/>
              <w:ind w:left="113" w:right="113"/>
              <w:jc w:val="center"/>
              <w:rPr>
                <w:i/>
                <w:sz w:val="16"/>
              </w:rPr>
            </w:pPr>
            <w:r w:rsidRPr="00F73288">
              <w:rPr>
                <w:i/>
                <w:sz w:val="16"/>
              </w:rPr>
              <w:t>Category</w:t>
            </w:r>
          </w:p>
        </w:tc>
      </w:tr>
      <w:tr w:rsidR="002B5A41" w:rsidRPr="004354BC" w:rsidTr="00AE5B44">
        <w:tc>
          <w:tcPr>
            <w:tcW w:w="1365" w:type="dxa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</w:p>
        </w:tc>
        <w:tc>
          <w:tcPr>
            <w:tcW w:w="2285" w:type="dxa"/>
            <w:vAlign w:val="bottom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</w:p>
        </w:tc>
        <w:tc>
          <w:tcPr>
            <w:tcW w:w="1984" w:type="dxa"/>
            <w:vAlign w:val="center"/>
          </w:tcPr>
          <w:p w:rsidR="002B5A41" w:rsidRPr="00F73288" w:rsidRDefault="002B5A41" w:rsidP="00AE5B44">
            <w:pPr>
              <w:spacing w:before="80" w:after="80" w:line="200" w:lineRule="atLeast"/>
              <w:ind w:left="113" w:right="113"/>
              <w:rPr>
                <w:i/>
                <w:sz w:val="16"/>
              </w:rPr>
            </w:pPr>
            <w:proofErr w:type="spellStart"/>
            <w:r w:rsidRPr="00F73288">
              <w:rPr>
                <w:i/>
                <w:sz w:val="16"/>
              </w:rPr>
              <w:t>i</w:t>
            </w:r>
            <w:proofErr w:type="spellEnd"/>
            <w:r w:rsidRPr="00F73288">
              <w:rPr>
                <w:i/>
                <w:sz w:val="16"/>
              </w:rPr>
              <w:t>-Size CRS</w:t>
            </w:r>
          </w:p>
        </w:tc>
        <w:tc>
          <w:tcPr>
            <w:tcW w:w="1737" w:type="dxa"/>
            <w:vAlign w:val="center"/>
          </w:tcPr>
          <w:p w:rsidR="002B5A41" w:rsidRPr="004354BC" w:rsidRDefault="002B5A41" w:rsidP="00AE5B44">
            <w:pPr>
              <w:spacing w:before="80" w:after="80" w:line="200" w:lineRule="atLeast"/>
              <w:ind w:left="113" w:right="113"/>
              <w:rPr>
                <w:i/>
                <w:sz w:val="16"/>
                <w:lang w:val="en-US"/>
              </w:rPr>
            </w:pPr>
            <w:r w:rsidRPr="004354BC">
              <w:rPr>
                <w:i/>
                <w:sz w:val="16"/>
                <w:lang w:val="en-US"/>
              </w:rPr>
              <w:t>Integral Specific Vehicle ISOFIX CRS</w:t>
            </w:r>
          </w:p>
        </w:tc>
      </w:tr>
      <w:tr w:rsidR="002B5A41" w:rsidRPr="00F73288" w:rsidTr="00AE5B44">
        <w:tc>
          <w:tcPr>
            <w:tcW w:w="1365" w:type="dxa"/>
            <w:vMerge w:val="restart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  <w:r w:rsidRPr="00F73288">
              <w:rPr>
                <w:sz w:val="18"/>
              </w:rPr>
              <w:t>INTEGRAL</w:t>
            </w:r>
          </w:p>
        </w:tc>
        <w:tc>
          <w:tcPr>
            <w:tcW w:w="2285" w:type="dxa"/>
          </w:tcPr>
          <w:p w:rsidR="002B5A41" w:rsidRPr="00932E80" w:rsidRDefault="002B5A41" w:rsidP="00AE5B44">
            <w:pPr>
              <w:spacing w:before="40" w:after="120"/>
              <w:ind w:left="113"/>
            </w:pPr>
            <w:r w:rsidRPr="00932E80">
              <w:t>Lateral facing (carry-cot)</w:t>
            </w:r>
          </w:p>
        </w:tc>
        <w:tc>
          <w:tcPr>
            <w:tcW w:w="1984" w:type="dxa"/>
          </w:tcPr>
          <w:p w:rsidR="002B5A41" w:rsidRPr="00932E80" w:rsidRDefault="002B5A41" w:rsidP="00AE5B44">
            <w:pPr>
              <w:spacing w:before="40" w:after="120"/>
              <w:ind w:left="113" w:right="113"/>
            </w:pPr>
            <w:r w:rsidRPr="00932E80">
              <w:rPr>
                <w:strike/>
              </w:rPr>
              <w:t>N/A</w:t>
            </w:r>
            <w:r w:rsidRPr="00932E80">
              <w:t xml:space="preserve"> </w:t>
            </w:r>
            <w:r>
              <w:t xml:space="preserve">  </w:t>
            </w:r>
            <w:r w:rsidRPr="00932E80">
              <w:rPr>
                <w:b/>
              </w:rPr>
              <w:t>A</w:t>
            </w:r>
          </w:p>
        </w:tc>
        <w:tc>
          <w:tcPr>
            <w:tcW w:w="1737" w:type="dxa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  <w:r w:rsidRPr="00F73288">
              <w:t>A</w:t>
            </w:r>
          </w:p>
        </w:tc>
      </w:tr>
      <w:tr w:rsidR="002B5A41" w:rsidRPr="00F73288" w:rsidTr="00AE5B44">
        <w:tblPrEx>
          <w:tblCellMar>
            <w:left w:w="108" w:type="dxa"/>
            <w:right w:w="108" w:type="dxa"/>
          </w:tblCellMar>
        </w:tblPrEx>
        <w:tc>
          <w:tcPr>
            <w:tcW w:w="1365" w:type="dxa"/>
            <w:vMerge/>
          </w:tcPr>
          <w:p w:rsidR="002B5A41" w:rsidRPr="00F73288" w:rsidRDefault="002B5A41" w:rsidP="00AE5B44">
            <w:pPr>
              <w:tabs>
                <w:tab w:val="left" w:pos="378"/>
              </w:tabs>
              <w:spacing w:before="40" w:after="120"/>
              <w:ind w:left="113" w:right="113"/>
            </w:pPr>
          </w:p>
        </w:tc>
        <w:tc>
          <w:tcPr>
            <w:tcW w:w="2285" w:type="dxa"/>
          </w:tcPr>
          <w:p w:rsidR="002B5A41" w:rsidRPr="00F73288" w:rsidRDefault="002B5A41" w:rsidP="00AE5B44">
            <w:pPr>
              <w:tabs>
                <w:tab w:val="left" w:pos="378"/>
              </w:tabs>
              <w:spacing w:before="40" w:after="120"/>
              <w:ind w:left="-4" w:right="113"/>
            </w:pPr>
            <w:r w:rsidRPr="00F73288">
              <w:t>Rearward facing</w:t>
            </w:r>
          </w:p>
        </w:tc>
        <w:tc>
          <w:tcPr>
            <w:tcW w:w="1984" w:type="dxa"/>
          </w:tcPr>
          <w:p w:rsidR="002B5A41" w:rsidRPr="00F73288" w:rsidRDefault="002B5A41" w:rsidP="00AE5B44">
            <w:pPr>
              <w:spacing w:before="40" w:after="120"/>
              <w:ind w:right="113"/>
            </w:pPr>
            <w:r w:rsidRPr="00F73288">
              <w:t>A</w:t>
            </w:r>
          </w:p>
        </w:tc>
        <w:tc>
          <w:tcPr>
            <w:tcW w:w="1737" w:type="dxa"/>
          </w:tcPr>
          <w:p w:rsidR="002B5A41" w:rsidRPr="00F73288" w:rsidRDefault="002B5A41" w:rsidP="00AE5B44">
            <w:pPr>
              <w:spacing w:before="40" w:after="120"/>
              <w:ind w:right="113"/>
            </w:pPr>
            <w:r w:rsidRPr="00F73288">
              <w:t>A</w:t>
            </w:r>
          </w:p>
        </w:tc>
      </w:tr>
      <w:tr w:rsidR="002B5A41" w:rsidRPr="003B0EDE" w:rsidTr="00AE5B44">
        <w:tc>
          <w:tcPr>
            <w:tcW w:w="1365" w:type="dxa"/>
            <w:vMerge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</w:p>
        </w:tc>
        <w:tc>
          <w:tcPr>
            <w:tcW w:w="2285" w:type="dxa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  <w:r w:rsidRPr="00F73288">
              <w:t xml:space="preserve">Forward </w:t>
            </w:r>
            <w:bookmarkStart w:id="0" w:name="_GoBack"/>
            <w:bookmarkEnd w:id="0"/>
            <w:r w:rsidRPr="00F73288">
              <w:t>facing (integral)</w:t>
            </w:r>
          </w:p>
        </w:tc>
        <w:tc>
          <w:tcPr>
            <w:tcW w:w="1984" w:type="dxa"/>
          </w:tcPr>
          <w:p w:rsidR="002B5A41" w:rsidRPr="00F73288" w:rsidRDefault="002B5A41" w:rsidP="00AE5B44">
            <w:pPr>
              <w:spacing w:before="40" w:after="120"/>
              <w:ind w:left="113" w:right="113"/>
            </w:pPr>
            <w:r w:rsidRPr="00F73288">
              <w:t>A</w:t>
            </w:r>
          </w:p>
        </w:tc>
        <w:tc>
          <w:tcPr>
            <w:tcW w:w="1737" w:type="dxa"/>
          </w:tcPr>
          <w:p w:rsidR="002B5A41" w:rsidRPr="003B0EDE" w:rsidRDefault="002B5A41" w:rsidP="00AE5B44">
            <w:pPr>
              <w:spacing w:before="40" w:after="120"/>
              <w:ind w:left="113" w:right="113"/>
            </w:pPr>
            <w:r w:rsidRPr="00F73288">
              <w:t>A</w:t>
            </w:r>
          </w:p>
        </w:tc>
      </w:tr>
    </w:tbl>
    <w:p w:rsidR="002B5A41" w:rsidRDefault="002B5A41" w:rsidP="002B5A41">
      <w:pPr>
        <w:pStyle w:val="SingleTxtG"/>
        <w:ind w:left="2268" w:hanging="1134"/>
      </w:pPr>
      <w:proofErr w:type="gramStart"/>
      <w:r>
        <w:t>With :</w:t>
      </w:r>
      <w:proofErr w:type="gramEnd"/>
    </w:p>
    <w:p w:rsidR="002B5A41" w:rsidRPr="002B5A41" w:rsidRDefault="002B5A41" w:rsidP="002B5A41">
      <w:pPr>
        <w:pStyle w:val="SingleTxtG"/>
        <w:ind w:left="2268" w:hanging="1134"/>
        <w:rPr>
          <w:spacing w:val="-2"/>
        </w:rPr>
      </w:pPr>
      <w:r>
        <w:t>…"</w:t>
      </w:r>
      <w:r>
        <w:rPr>
          <w:spacing w:val="-2"/>
        </w:rPr>
        <w:t xml:space="preserve"> </w:t>
      </w:r>
    </w:p>
    <w:p w:rsidR="002B5A41" w:rsidRDefault="002B5A41" w:rsidP="002B5A4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E03A64">
        <w:rPr>
          <w:i/>
        </w:rPr>
        <w:t xml:space="preserve">Paragraph </w:t>
      </w:r>
      <w:r>
        <w:rPr>
          <w:i/>
        </w:rPr>
        <w:t xml:space="preserve">6.3.2.2., </w:t>
      </w:r>
      <w:r w:rsidRPr="002B5A41">
        <w:t>amend to read</w:t>
      </w:r>
      <w:r>
        <w:t>:</w:t>
      </w:r>
    </w:p>
    <w:p w:rsidR="002B5A41" w:rsidRPr="004354BC" w:rsidRDefault="002B5A41" w:rsidP="002B5A41">
      <w:pPr>
        <w:tabs>
          <w:tab w:val="num" w:pos="1134"/>
        </w:tabs>
        <w:spacing w:after="120"/>
        <w:ind w:left="2268" w:right="1134" w:hanging="1134"/>
        <w:jc w:val="both"/>
        <w:rPr>
          <w:bCs/>
          <w:lang w:val="en-US"/>
        </w:rPr>
      </w:pPr>
      <w:r>
        <w:rPr>
          <w:bCs/>
          <w:lang w:val="en-US"/>
        </w:rPr>
        <w:t>"</w:t>
      </w:r>
      <w:r w:rsidR="00CA7023">
        <w:rPr>
          <w:bCs/>
          <w:lang w:val="en-US"/>
        </w:rPr>
        <w:t>6.3.2.2.</w:t>
      </w:r>
      <w:r w:rsidR="00CA7023">
        <w:rPr>
          <w:bCs/>
          <w:lang w:val="en-US"/>
        </w:rPr>
        <w:tab/>
      </w:r>
      <w:r w:rsidRPr="004354BC">
        <w:rPr>
          <w:bCs/>
          <w:lang w:val="en-US"/>
        </w:rPr>
        <w:t>External dimensions</w:t>
      </w:r>
    </w:p>
    <w:p w:rsidR="002B5A41" w:rsidRPr="004354BC" w:rsidRDefault="002B5A41" w:rsidP="00CA7023">
      <w:pPr>
        <w:tabs>
          <w:tab w:val="num" w:pos="1134"/>
        </w:tabs>
        <w:spacing w:after="120"/>
        <w:ind w:left="2268" w:right="1134"/>
        <w:jc w:val="both"/>
        <w:rPr>
          <w:lang w:val="en-US"/>
        </w:rPr>
      </w:pPr>
      <w:r w:rsidRPr="004354BC">
        <w:rPr>
          <w:bCs/>
          <w:lang w:val="en-US"/>
        </w:rPr>
        <w:t>The maximum dimensions for width, height and depth of the</w:t>
      </w:r>
      <w:r w:rsidRPr="004354BC">
        <w:rPr>
          <w:lang w:val="en-US"/>
        </w:rPr>
        <w:t xml:space="preserve"> Child Restraint System and the locations of the ISOFIX anchorages system with which its attachments </w:t>
      </w:r>
      <w:r w:rsidRPr="004354BC">
        <w:rPr>
          <w:bCs/>
          <w:lang w:val="en-US"/>
        </w:rPr>
        <w:t>shall</w:t>
      </w:r>
      <w:r w:rsidRPr="004354BC">
        <w:rPr>
          <w:lang w:val="en-US"/>
        </w:rPr>
        <w:t xml:space="preserve"> engage, shall be defined by the Vehicle Seat Fixture (VSF) as defined in </w:t>
      </w:r>
      <w:hyperlink w:anchor="_DEFINITIONS" w:history="1">
        <w:r w:rsidRPr="004354BC">
          <w:rPr>
            <w:lang w:val="en-US"/>
          </w:rPr>
          <w:t xml:space="preserve">paragraph </w:t>
        </w:r>
      </w:hyperlink>
      <w:r w:rsidRPr="004354BC">
        <w:rPr>
          <w:lang w:val="en-US"/>
        </w:rPr>
        <w:t xml:space="preserve">2.17. </w:t>
      </w:r>
      <w:proofErr w:type="gramStart"/>
      <w:r w:rsidRPr="004354BC">
        <w:rPr>
          <w:lang w:val="en-US"/>
        </w:rPr>
        <w:t>of</w:t>
      </w:r>
      <w:proofErr w:type="gramEnd"/>
      <w:r w:rsidRPr="004354BC">
        <w:rPr>
          <w:lang w:val="en-US"/>
        </w:rPr>
        <w:t xml:space="preserve"> this Regulation.</w:t>
      </w:r>
    </w:p>
    <w:p w:rsidR="002B5A41" w:rsidRPr="004354BC" w:rsidRDefault="002B5A41" w:rsidP="002B5A41">
      <w:pPr>
        <w:spacing w:after="120"/>
        <w:ind w:left="2835" w:right="1134" w:hanging="567"/>
        <w:jc w:val="both"/>
        <w:rPr>
          <w:lang w:val="en-US"/>
        </w:rPr>
      </w:pPr>
      <w:r w:rsidRPr="004354BC">
        <w:rPr>
          <w:lang w:val="en-US"/>
        </w:rPr>
        <w:t>(a)</w:t>
      </w:r>
      <w:r w:rsidRPr="004354BC">
        <w:rPr>
          <w:lang w:val="en-US"/>
        </w:rPr>
        <w:tab/>
      </w:r>
      <w:proofErr w:type="spellStart"/>
      <w:r w:rsidRPr="004354BC">
        <w:rPr>
          <w:lang w:val="en-US"/>
        </w:rPr>
        <w:t>i</w:t>
      </w:r>
      <w:proofErr w:type="spellEnd"/>
      <w:r w:rsidRPr="004354BC">
        <w:rPr>
          <w:lang w:val="en-US"/>
        </w:rPr>
        <w:t xml:space="preserve">-Size </w:t>
      </w:r>
      <w:proofErr w:type="gramStart"/>
      <w:r w:rsidRPr="004354BC">
        <w:rPr>
          <w:lang w:val="en-US"/>
        </w:rPr>
        <w:t>Forward</w:t>
      </w:r>
      <w:proofErr w:type="gramEnd"/>
      <w:r w:rsidRPr="004354BC">
        <w:rPr>
          <w:lang w:val="en-US"/>
        </w:rPr>
        <w:t xml:space="preserve"> facing Child Restraint Systems </w:t>
      </w:r>
      <w:r w:rsidRPr="004354BC">
        <w:rPr>
          <w:bCs/>
          <w:lang w:val="en-US"/>
        </w:rPr>
        <w:t>shall</w:t>
      </w:r>
      <w:r w:rsidRPr="004354BC">
        <w:rPr>
          <w:lang w:val="en-US"/>
        </w:rPr>
        <w:t xml:space="preserve"> fit </w:t>
      </w:r>
      <w:bookmarkStart w:id="1" w:name="OLE_LINK6"/>
      <w:bookmarkStart w:id="2" w:name="OLE_LINK7"/>
      <w:r w:rsidRPr="004354BC">
        <w:rPr>
          <w:lang w:val="en-US"/>
        </w:rPr>
        <w:t>within the ISO/</w:t>
      </w:r>
      <w:r w:rsidRPr="004354BC">
        <w:rPr>
          <w:bCs/>
          <w:lang w:val="en-US"/>
        </w:rPr>
        <w:t>F2x</w:t>
      </w:r>
      <w:r w:rsidRPr="004354BC">
        <w:rPr>
          <w:lang w:val="en-US"/>
        </w:rPr>
        <w:t xml:space="preserve"> size envelope for a </w:t>
      </w:r>
      <w:r w:rsidRPr="004354BC">
        <w:rPr>
          <w:bCs/>
          <w:lang w:val="en-US"/>
        </w:rPr>
        <w:t>reduced-</w:t>
      </w:r>
      <w:r w:rsidRPr="004354BC">
        <w:rPr>
          <w:lang w:val="en-US"/>
        </w:rPr>
        <w:t>height forward-facing toddler CRS (height</w:t>
      </w:r>
      <w:r w:rsidRPr="004354BC">
        <w:rPr>
          <w:bCs/>
          <w:lang w:val="en-US"/>
        </w:rPr>
        <w:t xml:space="preserve"> 650</w:t>
      </w:r>
      <w:r w:rsidRPr="004354BC">
        <w:rPr>
          <w:lang w:val="en-US"/>
        </w:rPr>
        <w:t xml:space="preserve"> mm) ISOFIX SIZE CLASS </w:t>
      </w:r>
      <w:r w:rsidRPr="004354BC">
        <w:rPr>
          <w:bCs/>
          <w:lang w:val="en-US"/>
        </w:rPr>
        <w:t>B1</w:t>
      </w:r>
      <w:bookmarkEnd w:id="1"/>
      <w:bookmarkEnd w:id="2"/>
      <w:r w:rsidRPr="004354BC">
        <w:rPr>
          <w:lang w:val="en-US"/>
        </w:rPr>
        <w:t>;</w:t>
      </w:r>
    </w:p>
    <w:p w:rsidR="002B5A41" w:rsidRPr="004354BC" w:rsidRDefault="002B5A41" w:rsidP="002B5A41">
      <w:pPr>
        <w:spacing w:after="120"/>
        <w:ind w:left="2835" w:right="1134" w:hanging="567"/>
        <w:jc w:val="both"/>
        <w:rPr>
          <w:lang w:val="en-US"/>
        </w:rPr>
      </w:pPr>
      <w:r w:rsidRPr="004354BC">
        <w:rPr>
          <w:lang w:val="en-US"/>
        </w:rPr>
        <w:t>(b)</w:t>
      </w:r>
      <w:r w:rsidRPr="004354BC">
        <w:rPr>
          <w:lang w:val="en-US"/>
        </w:rPr>
        <w:tab/>
      </w:r>
      <w:proofErr w:type="spellStart"/>
      <w:r w:rsidRPr="004354BC">
        <w:rPr>
          <w:lang w:val="en-US"/>
        </w:rPr>
        <w:t>i</w:t>
      </w:r>
      <w:proofErr w:type="spellEnd"/>
      <w:r w:rsidRPr="004354BC">
        <w:rPr>
          <w:lang w:val="en-US"/>
        </w:rPr>
        <w:t xml:space="preserve">-Size Rearward facing Child Restraint Systems </w:t>
      </w:r>
      <w:r w:rsidRPr="004354BC">
        <w:rPr>
          <w:bCs/>
          <w:lang w:val="en-US"/>
        </w:rPr>
        <w:t>shall</w:t>
      </w:r>
      <w:r w:rsidRPr="004354BC">
        <w:rPr>
          <w:lang w:val="en-US"/>
        </w:rPr>
        <w:t xml:space="preserve"> fit within the ISO/R2 size envelope for a reduced-size rearward-facing toddler CRS ISOFIX SIZE CLASS D;</w:t>
      </w:r>
    </w:p>
    <w:p w:rsidR="002B5A41" w:rsidRPr="004354BC" w:rsidRDefault="002B5A41" w:rsidP="002B5A41">
      <w:pPr>
        <w:spacing w:after="120"/>
        <w:ind w:left="2835" w:right="1134" w:hanging="567"/>
        <w:jc w:val="both"/>
        <w:rPr>
          <w:b/>
          <w:lang w:val="en-US"/>
        </w:rPr>
      </w:pPr>
      <w:r w:rsidRPr="004354BC">
        <w:rPr>
          <w:b/>
          <w:lang w:val="en-US"/>
        </w:rPr>
        <w:t xml:space="preserve">(c) </w:t>
      </w:r>
      <w:r w:rsidRPr="004354BC">
        <w:rPr>
          <w:b/>
          <w:lang w:val="en-US"/>
        </w:rPr>
        <w:tab/>
      </w:r>
      <w:proofErr w:type="spellStart"/>
      <w:r w:rsidRPr="004354BC">
        <w:rPr>
          <w:b/>
          <w:lang w:val="en-US"/>
        </w:rPr>
        <w:t>i</w:t>
      </w:r>
      <w:proofErr w:type="spellEnd"/>
      <w:r w:rsidRPr="004354BC">
        <w:rPr>
          <w:b/>
          <w:lang w:val="en-US"/>
        </w:rPr>
        <w:t>-size Lateral facing Child Restraint Systems shall fit within the left lateral facing or right lateral facing, F</w:t>
      </w:r>
      <w:r w:rsidRPr="004354BC">
        <w:rPr>
          <w:b/>
          <w:vertAlign w:val="subscript"/>
          <w:lang w:val="en-US"/>
        </w:rPr>
        <w:t xml:space="preserve"> </w:t>
      </w:r>
      <w:r w:rsidRPr="004354BC">
        <w:rPr>
          <w:b/>
          <w:lang w:val="en-US"/>
        </w:rPr>
        <w:t>or G respectively</w:t>
      </w:r>
      <w:r w:rsidR="005B04EB">
        <w:rPr>
          <w:b/>
          <w:lang w:val="en-US"/>
        </w:rPr>
        <w:t>;</w:t>
      </w:r>
    </w:p>
    <w:p w:rsidR="002B5A41" w:rsidRPr="004354BC" w:rsidRDefault="002B5A41" w:rsidP="002B5A41">
      <w:pPr>
        <w:spacing w:after="120"/>
        <w:ind w:left="2835" w:right="1134" w:hanging="567"/>
        <w:jc w:val="both"/>
        <w:rPr>
          <w:lang w:val="en-US"/>
        </w:rPr>
      </w:pPr>
      <w:r w:rsidRPr="004354BC">
        <w:rPr>
          <w:b/>
          <w:lang w:val="en-US"/>
        </w:rPr>
        <w:t>(</w:t>
      </w:r>
      <w:proofErr w:type="gramStart"/>
      <w:r w:rsidRPr="004354BC">
        <w:rPr>
          <w:b/>
          <w:lang w:val="en-US"/>
        </w:rPr>
        <w:t>d</w:t>
      </w:r>
      <w:proofErr w:type="gramEnd"/>
      <w:r w:rsidRPr="004354BC">
        <w:rPr>
          <w:b/>
          <w:lang w:val="en-US"/>
        </w:rPr>
        <w:t>)</w:t>
      </w:r>
      <w:r w:rsidRPr="004354BC">
        <w:rPr>
          <w:b/>
          <w:lang w:val="en-US"/>
        </w:rPr>
        <w:tab/>
      </w:r>
      <w:r w:rsidRPr="004354BC">
        <w:rPr>
          <w:lang w:val="en-US"/>
        </w:rPr>
        <w:t>"</w:t>
      </w:r>
      <w:r w:rsidRPr="004354BC">
        <w:rPr>
          <w:bCs/>
          <w:lang w:val="en-US"/>
        </w:rPr>
        <w:t>Specific</w:t>
      </w:r>
      <w:r w:rsidRPr="004354BC">
        <w:rPr>
          <w:lang w:val="en-US"/>
        </w:rPr>
        <w:t xml:space="preserve"> vehicle ISOFIX" Child Restraint Systems may fit within any ISO size envelope.</w:t>
      </w:r>
      <w:r w:rsidR="00CA7023">
        <w:rPr>
          <w:lang w:val="en-US"/>
        </w:rPr>
        <w:t>"</w:t>
      </w:r>
    </w:p>
    <w:p w:rsidR="000E3BC5" w:rsidRDefault="000E3BC5" w:rsidP="000E3BC5">
      <w:pPr>
        <w:pStyle w:val="HChG"/>
        <w:rPr>
          <w:bCs/>
          <w:lang w:val="en-US"/>
        </w:rPr>
      </w:pPr>
      <w:r>
        <w:rPr>
          <w:bCs/>
          <w:lang w:val="en-US"/>
        </w:rPr>
        <w:tab/>
      </w:r>
      <w:r w:rsidRPr="00873FB0">
        <w:rPr>
          <w:bCs/>
          <w:lang w:val="en-US"/>
        </w:rPr>
        <w:t>I</w:t>
      </w:r>
      <w:r w:rsidRPr="00873FB0">
        <w:rPr>
          <w:rFonts w:hint="eastAsia"/>
          <w:bCs/>
          <w:lang w:val="en-US"/>
        </w:rPr>
        <w:t>I</w:t>
      </w:r>
      <w:r w:rsidRPr="00873FB0">
        <w:rPr>
          <w:bCs/>
          <w:lang w:val="en-US"/>
        </w:rPr>
        <w:t>.</w:t>
      </w:r>
      <w:r w:rsidRPr="00873FB0">
        <w:rPr>
          <w:bCs/>
          <w:lang w:val="en-US"/>
        </w:rPr>
        <w:tab/>
      </w:r>
      <w:r>
        <w:t>Justification</w:t>
      </w:r>
      <w:r w:rsidRPr="00873FB0">
        <w:rPr>
          <w:bCs/>
          <w:lang w:val="en-US"/>
        </w:rPr>
        <w:t xml:space="preserve"> </w:t>
      </w:r>
    </w:p>
    <w:p w:rsidR="00CA7023" w:rsidRPr="00CA7023" w:rsidRDefault="00CA7023" w:rsidP="00CA7023">
      <w:pPr>
        <w:pStyle w:val="SingleTxtG"/>
        <w:rPr>
          <w:lang w:val="en-US"/>
        </w:rPr>
      </w:pPr>
      <w:r>
        <w:rPr>
          <w:szCs w:val="23"/>
        </w:rPr>
        <w:tab/>
      </w:r>
      <w:r w:rsidR="00A92357">
        <w:rPr>
          <w:lang w:val="en-US"/>
        </w:rPr>
        <w:tab/>
      </w:r>
      <w:proofErr w:type="gramStart"/>
      <w:r w:rsidR="00A92357">
        <w:rPr>
          <w:szCs w:val="23"/>
        </w:rPr>
        <w:t>Completion of missing integral fixtures for UN Regulation No. 129 (ECRS).</w:t>
      </w:r>
      <w:proofErr w:type="gramEnd"/>
      <w:r w:rsidR="00A92357">
        <w:rPr>
          <w:sz w:val="19"/>
          <w:szCs w:val="19"/>
          <w:lang w:val="en-US"/>
        </w:rPr>
        <w:t xml:space="preserve"> For further detailed explanation, see presentation </w:t>
      </w:r>
      <w:r w:rsidR="00A92357">
        <w:rPr>
          <w:lang w:val="en-US"/>
        </w:rPr>
        <w:t>GRSP-58-01.</w:t>
      </w:r>
    </w:p>
    <w:p w:rsidR="00915EF6" w:rsidRPr="00C750B3" w:rsidRDefault="00C750B3" w:rsidP="00C750B3">
      <w:pPr>
        <w:spacing w:before="240"/>
        <w:ind w:left="1134" w:right="1134"/>
        <w:jc w:val="center"/>
        <w:rPr>
          <w:u w:val="single"/>
        </w:rPr>
      </w:pP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sectPr w:rsidR="00915EF6" w:rsidRPr="00C750B3" w:rsidSect="00D1468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C" w:rsidRDefault="0052094C"/>
  </w:endnote>
  <w:endnote w:type="continuationSeparator" w:id="0">
    <w:p w:rsidR="0052094C" w:rsidRDefault="0052094C"/>
  </w:endnote>
  <w:endnote w:type="continuationNotice" w:id="1">
    <w:p w:rsidR="0052094C" w:rsidRDefault="0052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264EDA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CA7023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F6" w:rsidRPr="00D14683" w:rsidRDefault="00B54DC7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683">
      <w:rPr>
        <w:sz w:val="20"/>
      </w:rPr>
      <w:t>GE.</w:t>
    </w:r>
    <w:r w:rsidR="000E3BC5"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C" w:rsidRPr="000B175B" w:rsidRDefault="005209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094C" w:rsidRPr="00FC68B7" w:rsidRDefault="005209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094C" w:rsidRDefault="0052094C"/>
  </w:footnote>
  <w:footnote w:id="2">
    <w:p w:rsidR="00D14683" w:rsidRPr="002232AF" w:rsidRDefault="00D14683" w:rsidP="00D14683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>
    <w:pPr>
      <w:pStyle w:val="Header"/>
    </w:pPr>
    <w:r>
      <w:t>ECE/TRANS/WP.29/GRSP/2015/</w:t>
    </w:r>
    <w:r w:rsidR="002D0AEC">
      <w:t>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Header"/>
      <w:jc w:val="right"/>
    </w:pPr>
    <w:r>
      <w:t>ECE/TRANS/WP.29/GRSP/2015/</w:t>
    </w:r>
    <w:proofErr w:type="gramStart"/>
    <w:r w:rsidR="002A69F4">
      <w:t>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3"/>
    <w:rsid w:val="00003F99"/>
    <w:rsid w:val="00046B1F"/>
    <w:rsid w:val="00050F6B"/>
    <w:rsid w:val="00052635"/>
    <w:rsid w:val="00057E97"/>
    <w:rsid w:val="000646F4"/>
    <w:rsid w:val="00072C8C"/>
    <w:rsid w:val="000733B5"/>
    <w:rsid w:val="00081815"/>
    <w:rsid w:val="00083C2A"/>
    <w:rsid w:val="000931C0"/>
    <w:rsid w:val="000A436F"/>
    <w:rsid w:val="000B0595"/>
    <w:rsid w:val="000B175B"/>
    <w:rsid w:val="000B2F02"/>
    <w:rsid w:val="000B3A0F"/>
    <w:rsid w:val="000B4EF7"/>
    <w:rsid w:val="000C28F2"/>
    <w:rsid w:val="000C2C03"/>
    <w:rsid w:val="000C2D2E"/>
    <w:rsid w:val="000E0415"/>
    <w:rsid w:val="000E13A1"/>
    <w:rsid w:val="000E3BC5"/>
    <w:rsid w:val="000F0772"/>
    <w:rsid w:val="000F436F"/>
    <w:rsid w:val="001103AA"/>
    <w:rsid w:val="00115C12"/>
    <w:rsid w:val="0011666B"/>
    <w:rsid w:val="0012063C"/>
    <w:rsid w:val="00134250"/>
    <w:rsid w:val="001413A4"/>
    <w:rsid w:val="001558CD"/>
    <w:rsid w:val="001570A7"/>
    <w:rsid w:val="00162CC8"/>
    <w:rsid w:val="00165F3A"/>
    <w:rsid w:val="00182290"/>
    <w:rsid w:val="00183157"/>
    <w:rsid w:val="0018324F"/>
    <w:rsid w:val="001A3955"/>
    <w:rsid w:val="001B4B04"/>
    <w:rsid w:val="001C18E2"/>
    <w:rsid w:val="001C6663"/>
    <w:rsid w:val="001C7895"/>
    <w:rsid w:val="001D0C8C"/>
    <w:rsid w:val="001D1419"/>
    <w:rsid w:val="001D26DF"/>
    <w:rsid w:val="001D3A03"/>
    <w:rsid w:val="001D5147"/>
    <w:rsid w:val="001E6C26"/>
    <w:rsid w:val="001E7B67"/>
    <w:rsid w:val="00202DA8"/>
    <w:rsid w:val="00211E0B"/>
    <w:rsid w:val="0024772E"/>
    <w:rsid w:val="002578FB"/>
    <w:rsid w:val="00264EDA"/>
    <w:rsid w:val="00267F5F"/>
    <w:rsid w:val="00286B4D"/>
    <w:rsid w:val="002A69F4"/>
    <w:rsid w:val="002B53F9"/>
    <w:rsid w:val="002B5A41"/>
    <w:rsid w:val="002C3BD0"/>
    <w:rsid w:val="002C4940"/>
    <w:rsid w:val="002D0AEC"/>
    <w:rsid w:val="002D4643"/>
    <w:rsid w:val="002D63CB"/>
    <w:rsid w:val="002F175C"/>
    <w:rsid w:val="002F7DE0"/>
    <w:rsid w:val="00302E18"/>
    <w:rsid w:val="00304755"/>
    <w:rsid w:val="003229D8"/>
    <w:rsid w:val="00331DFA"/>
    <w:rsid w:val="00332907"/>
    <w:rsid w:val="00341C83"/>
    <w:rsid w:val="00352709"/>
    <w:rsid w:val="003619B5"/>
    <w:rsid w:val="00361AC3"/>
    <w:rsid w:val="00365763"/>
    <w:rsid w:val="00371178"/>
    <w:rsid w:val="00375FCA"/>
    <w:rsid w:val="00377081"/>
    <w:rsid w:val="0038570D"/>
    <w:rsid w:val="00392E47"/>
    <w:rsid w:val="003A6810"/>
    <w:rsid w:val="003B0225"/>
    <w:rsid w:val="003C2CC4"/>
    <w:rsid w:val="003C534D"/>
    <w:rsid w:val="003D1AC8"/>
    <w:rsid w:val="003D4B23"/>
    <w:rsid w:val="003E130E"/>
    <w:rsid w:val="003E1FCF"/>
    <w:rsid w:val="003E6C9E"/>
    <w:rsid w:val="003E79E2"/>
    <w:rsid w:val="00404EE7"/>
    <w:rsid w:val="00406ACA"/>
    <w:rsid w:val="00410C89"/>
    <w:rsid w:val="004167DE"/>
    <w:rsid w:val="00422E03"/>
    <w:rsid w:val="00426B9B"/>
    <w:rsid w:val="004312B4"/>
    <w:rsid w:val="004325CB"/>
    <w:rsid w:val="00442A83"/>
    <w:rsid w:val="00450153"/>
    <w:rsid w:val="0045495B"/>
    <w:rsid w:val="004561E5"/>
    <w:rsid w:val="0048397A"/>
    <w:rsid w:val="00485CBB"/>
    <w:rsid w:val="004866B7"/>
    <w:rsid w:val="00491D33"/>
    <w:rsid w:val="00492886"/>
    <w:rsid w:val="004C2461"/>
    <w:rsid w:val="004C7462"/>
    <w:rsid w:val="004D2E22"/>
    <w:rsid w:val="004D6601"/>
    <w:rsid w:val="004E46C7"/>
    <w:rsid w:val="004E6D1D"/>
    <w:rsid w:val="004E77B2"/>
    <w:rsid w:val="005046E1"/>
    <w:rsid w:val="00504B2D"/>
    <w:rsid w:val="0052094C"/>
    <w:rsid w:val="0052136D"/>
    <w:rsid w:val="0052775E"/>
    <w:rsid w:val="00536456"/>
    <w:rsid w:val="005420F2"/>
    <w:rsid w:val="00542BE8"/>
    <w:rsid w:val="0054402A"/>
    <w:rsid w:val="0056209A"/>
    <w:rsid w:val="005628B6"/>
    <w:rsid w:val="005851DF"/>
    <w:rsid w:val="00586686"/>
    <w:rsid w:val="005941EC"/>
    <w:rsid w:val="005952CB"/>
    <w:rsid w:val="0059724D"/>
    <w:rsid w:val="005B04EB"/>
    <w:rsid w:val="005B206A"/>
    <w:rsid w:val="005B320C"/>
    <w:rsid w:val="005B3DB3"/>
    <w:rsid w:val="005B4E13"/>
    <w:rsid w:val="005C342F"/>
    <w:rsid w:val="005C7D1E"/>
    <w:rsid w:val="005C7D71"/>
    <w:rsid w:val="005D55B9"/>
    <w:rsid w:val="005F7B75"/>
    <w:rsid w:val="006001EE"/>
    <w:rsid w:val="00605042"/>
    <w:rsid w:val="00611FC4"/>
    <w:rsid w:val="006176FB"/>
    <w:rsid w:val="006271CC"/>
    <w:rsid w:val="006279C8"/>
    <w:rsid w:val="00640B26"/>
    <w:rsid w:val="00644E74"/>
    <w:rsid w:val="00652D0A"/>
    <w:rsid w:val="00662BB6"/>
    <w:rsid w:val="006676D6"/>
    <w:rsid w:val="00671B51"/>
    <w:rsid w:val="0067362F"/>
    <w:rsid w:val="00676606"/>
    <w:rsid w:val="00684C21"/>
    <w:rsid w:val="006A2530"/>
    <w:rsid w:val="006C3589"/>
    <w:rsid w:val="006C6D4F"/>
    <w:rsid w:val="006D37AF"/>
    <w:rsid w:val="006D51D0"/>
    <w:rsid w:val="006D5625"/>
    <w:rsid w:val="006D5FB9"/>
    <w:rsid w:val="006D658E"/>
    <w:rsid w:val="006E2C1E"/>
    <w:rsid w:val="006E46A8"/>
    <w:rsid w:val="006E564B"/>
    <w:rsid w:val="006E7191"/>
    <w:rsid w:val="006F34EB"/>
    <w:rsid w:val="00703577"/>
    <w:rsid w:val="00705894"/>
    <w:rsid w:val="0072632A"/>
    <w:rsid w:val="007327D5"/>
    <w:rsid w:val="00757D7C"/>
    <w:rsid w:val="007629C8"/>
    <w:rsid w:val="0077047D"/>
    <w:rsid w:val="007B6BA5"/>
    <w:rsid w:val="007C045F"/>
    <w:rsid w:val="007C3390"/>
    <w:rsid w:val="007C4F4B"/>
    <w:rsid w:val="007D1A12"/>
    <w:rsid w:val="007E01E9"/>
    <w:rsid w:val="007E6249"/>
    <w:rsid w:val="007E63F3"/>
    <w:rsid w:val="007F6611"/>
    <w:rsid w:val="0080540A"/>
    <w:rsid w:val="00811920"/>
    <w:rsid w:val="00812F0B"/>
    <w:rsid w:val="00815AD0"/>
    <w:rsid w:val="00815EDB"/>
    <w:rsid w:val="00816E35"/>
    <w:rsid w:val="008242D7"/>
    <w:rsid w:val="008257B1"/>
    <w:rsid w:val="0083046D"/>
    <w:rsid w:val="00832334"/>
    <w:rsid w:val="00834BC9"/>
    <w:rsid w:val="00843191"/>
    <w:rsid w:val="00843767"/>
    <w:rsid w:val="008679D9"/>
    <w:rsid w:val="00874951"/>
    <w:rsid w:val="008878DE"/>
    <w:rsid w:val="008979B1"/>
    <w:rsid w:val="008A1ED5"/>
    <w:rsid w:val="008A6B25"/>
    <w:rsid w:val="008A6C4F"/>
    <w:rsid w:val="008B2335"/>
    <w:rsid w:val="008B2E36"/>
    <w:rsid w:val="008E0678"/>
    <w:rsid w:val="008E2B2F"/>
    <w:rsid w:val="008F31D2"/>
    <w:rsid w:val="00915EF6"/>
    <w:rsid w:val="009223CA"/>
    <w:rsid w:val="00940F93"/>
    <w:rsid w:val="009448C3"/>
    <w:rsid w:val="009451F6"/>
    <w:rsid w:val="0095131A"/>
    <w:rsid w:val="00955924"/>
    <w:rsid w:val="009760F3"/>
    <w:rsid w:val="00976CFB"/>
    <w:rsid w:val="009964F6"/>
    <w:rsid w:val="009A0830"/>
    <w:rsid w:val="009A0E8D"/>
    <w:rsid w:val="009B0F0E"/>
    <w:rsid w:val="009B26E7"/>
    <w:rsid w:val="009B64BB"/>
    <w:rsid w:val="009F5CB6"/>
    <w:rsid w:val="00A00697"/>
    <w:rsid w:val="00A00A3F"/>
    <w:rsid w:val="00A01489"/>
    <w:rsid w:val="00A1023C"/>
    <w:rsid w:val="00A3026E"/>
    <w:rsid w:val="00A338F1"/>
    <w:rsid w:val="00A35BE0"/>
    <w:rsid w:val="00A46A28"/>
    <w:rsid w:val="00A57F4F"/>
    <w:rsid w:val="00A6129C"/>
    <w:rsid w:val="00A716F1"/>
    <w:rsid w:val="00A72F22"/>
    <w:rsid w:val="00A7360F"/>
    <w:rsid w:val="00A748A6"/>
    <w:rsid w:val="00A769F4"/>
    <w:rsid w:val="00A776B4"/>
    <w:rsid w:val="00A92357"/>
    <w:rsid w:val="00A93636"/>
    <w:rsid w:val="00A93ECC"/>
    <w:rsid w:val="00A94361"/>
    <w:rsid w:val="00AA293C"/>
    <w:rsid w:val="00AA72CC"/>
    <w:rsid w:val="00AB19AE"/>
    <w:rsid w:val="00AB3399"/>
    <w:rsid w:val="00AB4B1F"/>
    <w:rsid w:val="00AC230D"/>
    <w:rsid w:val="00AD1FB1"/>
    <w:rsid w:val="00AD3972"/>
    <w:rsid w:val="00AE5B44"/>
    <w:rsid w:val="00AF35A1"/>
    <w:rsid w:val="00B04EFB"/>
    <w:rsid w:val="00B30179"/>
    <w:rsid w:val="00B421C1"/>
    <w:rsid w:val="00B53C21"/>
    <w:rsid w:val="00B54DC7"/>
    <w:rsid w:val="00B55C71"/>
    <w:rsid w:val="00B56E4A"/>
    <w:rsid w:val="00B56E9C"/>
    <w:rsid w:val="00B64B1F"/>
    <w:rsid w:val="00B6553F"/>
    <w:rsid w:val="00B7475F"/>
    <w:rsid w:val="00B77D05"/>
    <w:rsid w:val="00B81206"/>
    <w:rsid w:val="00B81E12"/>
    <w:rsid w:val="00B90F1E"/>
    <w:rsid w:val="00B97750"/>
    <w:rsid w:val="00BA6647"/>
    <w:rsid w:val="00BC2AC9"/>
    <w:rsid w:val="00BC3FA0"/>
    <w:rsid w:val="00BC74E9"/>
    <w:rsid w:val="00BF30B3"/>
    <w:rsid w:val="00BF68A8"/>
    <w:rsid w:val="00C01A73"/>
    <w:rsid w:val="00C11A03"/>
    <w:rsid w:val="00C14E4E"/>
    <w:rsid w:val="00C22C0C"/>
    <w:rsid w:val="00C256D3"/>
    <w:rsid w:val="00C25B4A"/>
    <w:rsid w:val="00C35A05"/>
    <w:rsid w:val="00C401F7"/>
    <w:rsid w:val="00C4527F"/>
    <w:rsid w:val="00C463DD"/>
    <w:rsid w:val="00C4724C"/>
    <w:rsid w:val="00C500A9"/>
    <w:rsid w:val="00C629A0"/>
    <w:rsid w:val="00C64629"/>
    <w:rsid w:val="00C745C3"/>
    <w:rsid w:val="00C750B3"/>
    <w:rsid w:val="00C96DF2"/>
    <w:rsid w:val="00CA7023"/>
    <w:rsid w:val="00CB3E03"/>
    <w:rsid w:val="00CC65BA"/>
    <w:rsid w:val="00CD4AA6"/>
    <w:rsid w:val="00CE4A8F"/>
    <w:rsid w:val="00D036C2"/>
    <w:rsid w:val="00D14683"/>
    <w:rsid w:val="00D2031B"/>
    <w:rsid w:val="00D248B6"/>
    <w:rsid w:val="00D25FE2"/>
    <w:rsid w:val="00D26E07"/>
    <w:rsid w:val="00D36374"/>
    <w:rsid w:val="00D43252"/>
    <w:rsid w:val="00D47EEA"/>
    <w:rsid w:val="00D52637"/>
    <w:rsid w:val="00D773DF"/>
    <w:rsid w:val="00D82D07"/>
    <w:rsid w:val="00D83295"/>
    <w:rsid w:val="00D95303"/>
    <w:rsid w:val="00D95714"/>
    <w:rsid w:val="00D978C6"/>
    <w:rsid w:val="00DA3C1C"/>
    <w:rsid w:val="00DC0508"/>
    <w:rsid w:val="00DC2458"/>
    <w:rsid w:val="00DC6D39"/>
    <w:rsid w:val="00E046DF"/>
    <w:rsid w:val="00E17ACC"/>
    <w:rsid w:val="00E205F5"/>
    <w:rsid w:val="00E22B0C"/>
    <w:rsid w:val="00E27346"/>
    <w:rsid w:val="00E329E4"/>
    <w:rsid w:val="00E40A45"/>
    <w:rsid w:val="00E560CA"/>
    <w:rsid w:val="00E62F96"/>
    <w:rsid w:val="00E71BC8"/>
    <w:rsid w:val="00E7260F"/>
    <w:rsid w:val="00E73F5D"/>
    <w:rsid w:val="00E74331"/>
    <w:rsid w:val="00E77E4E"/>
    <w:rsid w:val="00E96630"/>
    <w:rsid w:val="00E978FA"/>
    <w:rsid w:val="00EA2A77"/>
    <w:rsid w:val="00EC0D83"/>
    <w:rsid w:val="00ED7A2A"/>
    <w:rsid w:val="00EE7A9E"/>
    <w:rsid w:val="00EF1D7F"/>
    <w:rsid w:val="00F07024"/>
    <w:rsid w:val="00F072E9"/>
    <w:rsid w:val="00F16B31"/>
    <w:rsid w:val="00F214F0"/>
    <w:rsid w:val="00F2549C"/>
    <w:rsid w:val="00F31E5F"/>
    <w:rsid w:val="00F53261"/>
    <w:rsid w:val="00F6100A"/>
    <w:rsid w:val="00F81E8E"/>
    <w:rsid w:val="00F93781"/>
    <w:rsid w:val="00FB613B"/>
    <w:rsid w:val="00FC68B7"/>
    <w:rsid w:val="00FD3F98"/>
    <w:rsid w:val="00FD5B03"/>
    <w:rsid w:val="00FE0C30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link w:val="Header"/>
    <w:uiPriority w:val="99"/>
    <w:rsid w:val="00C750B3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link w:val="Header"/>
    <w:uiPriority w:val="99"/>
    <w:rsid w:val="00C750B3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DF4C-F084-4DAD-A2E0-6C132A4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10</TotalTime>
  <Pages>2</Pages>
  <Words>333</Words>
  <Characters>1932</Characters>
  <Application>Microsoft Office Word</Application>
  <DocSecurity>0</DocSecurity>
  <Lines>73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2232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_DEFINITIONS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Benedicte Boudol</cp:lastModifiedBy>
  <cp:revision>3</cp:revision>
  <cp:lastPrinted>2015-09-22T09:54:00Z</cp:lastPrinted>
  <dcterms:created xsi:type="dcterms:W3CDTF">2015-09-22T09:47:00Z</dcterms:created>
  <dcterms:modified xsi:type="dcterms:W3CDTF">2015-09-22T09:56:00Z</dcterms:modified>
</cp:coreProperties>
</file>