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3FADB" w14:textId="77777777" w:rsidR="002C6270" w:rsidRDefault="002C6270" w:rsidP="004961C1">
      <w:pPr>
        <w:jc w:val="center"/>
        <w:rPr>
          <w:b/>
          <w:sz w:val="28"/>
          <w:szCs w:val="28"/>
        </w:rPr>
      </w:pPr>
    </w:p>
    <w:p w14:paraId="0C9E9767" w14:textId="475F1847" w:rsidR="004961C1" w:rsidRDefault="001565F1" w:rsidP="004961C1">
      <w:pPr>
        <w:jc w:val="center"/>
        <w:rPr>
          <w:b/>
          <w:sz w:val="28"/>
          <w:szCs w:val="28"/>
        </w:rPr>
      </w:pPr>
      <w:r w:rsidRPr="003E79CD">
        <w:rPr>
          <w:b/>
          <w:sz w:val="28"/>
          <w:szCs w:val="28"/>
        </w:rPr>
        <w:t>U</w:t>
      </w:r>
      <w:r w:rsidR="004961C1">
        <w:rPr>
          <w:b/>
          <w:sz w:val="28"/>
          <w:szCs w:val="28"/>
        </w:rPr>
        <w:t>nited States of America</w:t>
      </w:r>
      <w:r w:rsidRPr="003E79CD">
        <w:rPr>
          <w:b/>
          <w:sz w:val="28"/>
          <w:szCs w:val="28"/>
        </w:rPr>
        <w:t xml:space="preserve"> Perspecti</w:t>
      </w:r>
      <w:r w:rsidR="00D90C3B" w:rsidRPr="003E79CD">
        <w:rPr>
          <w:b/>
          <w:sz w:val="28"/>
          <w:szCs w:val="28"/>
        </w:rPr>
        <w:t>ve on</w:t>
      </w:r>
    </w:p>
    <w:p w14:paraId="6B19ED6E" w14:textId="3B22F6B4" w:rsidR="00153322" w:rsidRPr="003E79CD" w:rsidRDefault="00D90C3B" w:rsidP="004961C1">
      <w:pPr>
        <w:jc w:val="center"/>
        <w:rPr>
          <w:b/>
          <w:sz w:val="28"/>
          <w:szCs w:val="28"/>
        </w:rPr>
      </w:pPr>
      <w:r w:rsidRPr="003E79CD">
        <w:rPr>
          <w:b/>
          <w:sz w:val="28"/>
          <w:szCs w:val="28"/>
        </w:rPr>
        <w:t xml:space="preserve">Child Restraints and Child Restraint </w:t>
      </w:r>
      <w:r w:rsidR="001565F1" w:rsidRPr="003E79CD">
        <w:rPr>
          <w:b/>
          <w:sz w:val="28"/>
          <w:szCs w:val="28"/>
        </w:rPr>
        <w:t>Anchorage Systems</w:t>
      </w:r>
    </w:p>
    <w:p w14:paraId="5CB6965C" w14:textId="77777777" w:rsidR="00FC106A" w:rsidRDefault="00FC106A" w:rsidP="00FC106A">
      <w:r w:rsidRPr="00DA1DDD">
        <w:rPr>
          <w:rFonts w:cs="Times New Roman"/>
          <w:bCs/>
        </w:rPr>
        <w:t>NHTSA estimates that a CRS can reduce the risk of fatality by 71% for children less than 1 year old and by 54% for children 1-4 years old.</w:t>
      </w:r>
      <w:r>
        <w:rPr>
          <w:rFonts w:cs="Times New Roman"/>
          <w:bCs/>
        </w:rPr>
        <w:t xml:space="preserve"> </w:t>
      </w:r>
      <w:r>
        <w:rPr>
          <w:rFonts w:ascii="Times New Roman" w:hAnsi="Times New Roman" w:cs="Times New Roman"/>
          <w:bCs/>
          <w:sz w:val="24"/>
          <w:szCs w:val="24"/>
        </w:rPr>
        <w:t xml:space="preserve"> </w:t>
      </w:r>
      <w:r>
        <w:t xml:space="preserve">NHTSA recommends children under the age of 1 year be restrained in rear-facing car seats, 1-3 year olds be restrained rear-facing as long as possible (until they outgrow the car seat), and 4-7 year olds be restrained in forward facing car seats with a harness </w:t>
      </w:r>
      <w:r w:rsidRPr="009C7BAE">
        <w:t>and</w:t>
      </w:r>
      <w:r>
        <w:t xml:space="preserve"> tether until they outgrow the car seat.  NHTSA also recommends children 0-12 years old be restrained in rear seating positions.</w:t>
      </w:r>
    </w:p>
    <w:p w14:paraId="63B33BEF" w14:textId="77777777" w:rsidR="001565F1" w:rsidRDefault="00D90C3B">
      <w:r w:rsidRPr="008F7502">
        <w:t>NHTSA’s National Child Restraint Use Special Study (NCRUSS</w:t>
      </w:r>
      <w:r>
        <w:t xml:space="preserve">), conducted in 2011, observed the use of car seats and booster seats for child passengers (birth to 8 year old) in 4, 167 vehicles.  NCRUSS is a nationally representative survey.   </w:t>
      </w:r>
    </w:p>
    <w:p w14:paraId="6E0F2AF8" w14:textId="77777777" w:rsidR="007A316A" w:rsidRDefault="007A316A">
      <w:r>
        <w:t>Results from the NCRUSS survey indicated that 96% of the children were in rear seating positions and 94% were in car seats or booster seats.  The method of installation of car seats is as follows:</w:t>
      </w:r>
    </w:p>
    <w:tbl>
      <w:tblPr>
        <w:tblStyle w:val="TableGrid"/>
        <w:tblW w:w="0" w:type="auto"/>
        <w:tblLook w:val="04A0" w:firstRow="1" w:lastRow="0" w:firstColumn="1" w:lastColumn="0" w:noHBand="0" w:noVBand="1"/>
      </w:tblPr>
      <w:tblGrid>
        <w:gridCol w:w="2628"/>
        <w:gridCol w:w="2250"/>
        <w:gridCol w:w="2700"/>
        <w:gridCol w:w="1998"/>
      </w:tblGrid>
      <w:tr w:rsidR="007A316A" w14:paraId="4B4E3EFA" w14:textId="77777777" w:rsidTr="007A316A">
        <w:tc>
          <w:tcPr>
            <w:tcW w:w="2628" w:type="dxa"/>
          </w:tcPr>
          <w:p w14:paraId="56F0628E" w14:textId="77777777" w:rsidR="007A316A" w:rsidRDefault="007A316A">
            <w:r>
              <w:t>Installation method</w:t>
            </w:r>
          </w:p>
        </w:tc>
        <w:tc>
          <w:tcPr>
            <w:tcW w:w="2250" w:type="dxa"/>
          </w:tcPr>
          <w:p w14:paraId="5F01C22B" w14:textId="77777777" w:rsidR="007A316A" w:rsidRDefault="007A316A">
            <w:r>
              <w:t>Rear Facing infant CRS</w:t>
            </w:r>
          </w:p>
        </w:tc>
        <w:tc>
          <w:tcPr>
            <w:tcW w:w="2700" w:type="dxa"/>
          </w:tcPr>
          <w:p w14:paraId="6182CAA1" w14:textId="77777777" w:rsidR="007A316A" w:rsidRDefault="007A316A">
            <w:r>
              <w:t>Convertible Rear facing CRS</w:t>
            </w:r>
          </w:p>
        </w:tc>
        <w:tc>
          <w:tcPr>
            <w:tcW w:w="1998" w:type="dxa"/>
          </w:tcPr>
          <w:p w14:paraId="71A4689D" w14:textId="77777777" w:rsidR="007A316A" w:rsidRDefault="007A316A">
            <w:r>
              <w:t>Forward Facing CRS</w:t>
            </w:r>
          </w:p>
        </w:tc>
      </w:tr>
      <w:tr w:rsidR="007A316A" w14:paraId="1E151485" w14:textId="77777777" w:rsidTr="007A316A">
        <w:tc>
          <w:tcPr>
            <w:tcW w:w="2628" w:type="dxa"/>
          </w:tcPr>
          <w:p w14:paraId="13D2E50C" w14:textId="77777777" w:rsidR="007A316A" w:rsidRDefault="007A316A">
            <w:r>
              <w:t>Lower anchors</w:t>
            </w:r>
          </w:p>
        </w:tc>
        <w:tc>
          <w:tcPr>
            <w:tcW w:w="2250" w:type="dxa"/>
          </w:tcPr>
          <w:p w14:paraId="1CA9CA3D" w14:textId="77777777" w:rsidR="007A316A" w:rsidRDefault="007A316A">
            <w:r>
              <w:t>57%</w:t>
            </w:r>
          </w:p>
        </w:tc>
        <w:tc>
          <w:tcPr>
            <w:tcW w:w="2700" w:type="dxa"/>
          </w:tcPr>
          <w:p w14:paraId="38C04793" w14:textId="77777777" w:rsidR="007A316A" w:rsidRDefault="007A316A">
            <w:r>
              <w:t>67%</w:t>
            </w:r>
          </w:p>
        </w:tc>
        <w:tc>
          <w:tcPr>
            <w:tcW w:w="1998" w:type="dxa"/>
          </w:tcPr>
          <w:p w14:paraId="43869BD5" w14:textId="77777777" w:rsidR="007A316A" w:rsidRDefault="007A316A">
            <w:r>
              <w:t>46%</w:t>
            </w:r>
          </w:p>
        </w:tc>
      </w:tr>
      <w:tr w:rsidR="007A316A" w14:paraId="4961D879" w14:textId="77777777" w:rsidTr="007A316A">
        <w:tc>
          <w:tcPr>
            <w:tcW w:w="2628" w:type="dxa"/>
          </w:tcPr>
          <w:p w14:paraId="29C0F980" w14:textId="77777777" w:rsidR="007A316A" w:rsidRDefault="007A316A">
            <w:r>
              <w:t>Seat belt</w:t>
            </w:r>
          </w:p>
        </w:tc>
        <w:tc>
          <w:tcPr>
            <w:tcW w:w="2250" w:type="dxa"/>
          </w:tcPr>
          <w:p w14:paraId="6B306C67" w14:textId="77777777" w:rsidR="007A316A" w:rsidRDefault="007A316A">
            <w:r>
              <w:t>34%</w:t>
            </w:r>
          </w:p>
        </w:tc>
        <w:tc>
          <w:tcPr>
            <w:tcW w:w="2700" w:type="dxa"/>
          </w:tcPr>
          <w:p w14:paraId="3BBBA181" w14:textId="77777777" w:rsidR="007A316A" w:rsidRDefault="007A316A">
            <w:r>
              <w:t>23%</w:t>
            </w:r>
          </w:p>
        </w:tc>
        <w:tc>
          <w:tcPr>
            <w:tcW w:w="1998" w:type="dxa"/>
          </w:tcPr>
          <w:p w14:paraId="282FB5E5" w14:textId="77777777" w:rsidR="007A316A" w:rsidRDefault="007A316A">
            <w:r>
              <w:t>44%</w:t>
            </w:r>
          </w:p>
        </w:tc>
      </w:tr>
      <w:tr w:rsidR="007A316A" w14:paraId="5B8721D4" w14:textId="77777777" w:rsidTr="007A316A">
        <w:tc>
          <w:tcPr>
            <w:tcW w:w="2628" w:type="dxa"/>
          </w:tcPr>
          <w:p w14:paraId="49BA8255" w14:textId="77777777" w:rsidR="007A316A" w:rsidRDefault="007A316A">
            <w:r>
              <w:t>Lower anchors + seat belts</w:t>
            </w:r>
          </w:p>
        </w:tc>
        <w:tc>
          <w:tcPr>
            <w:tcW w:w="2250" w:type="dxa"/>
          </w:tcPr>
          <w:p w14:paraId="1326D1B2" w14:textId="77777777" w:rsidR="007A316A" w:rsidRDefault="007A316A">
            <w:r>
              <w:t>8%</w:t>
            </w:r>
          </w:p>
        </w:tc>
        <w:tc>
          <w:tcPr>
            <w:tcW w:w="2700" w:type="dxa"/>
          </w:tcPr>
          <w:p w14:paraId="534752D5" w14:textId="77777777" w:rsidR="007A316A" w:rsidRDefault="007A316A">
            <w:r>
              <w:t>9%</w:t>
            </w:r>
          </w:p>
        </w:tc>
        <w:tc>
          <w:tcPr>
            <w:tcW w:w="1998" w:type="dxa"/>
          </w:tcPr>
          <w:p w14:paraId="7241A5EB" w14:textId="77777777" w:rsidR="007A316A" w:rsidRDefault="007A316A">
            <w:r>
              <w:t>6%</w:t>
            </w:r>
          </w:p>
        </w:tc>
      </w:tr>
    </w:tbl>
    <w:p w14:paraId="6A29ACC9" w14:textId="77777777" w:rsidR="008A3E02" w:rsidRDefault="007A316A">
      <w:r>
        <w:t xml:space="preserve"> </w:t>
      </w:r>
    </w:p>
    <w:p w14:paraId="5BD69500" w14:textId="32CB1A05" w:rsidR="008A3E02" w:rsidRDefault="00A31812">
      <w:r>
        <w:t>Per the NCRUSS survey, t</w:t>
      </w:r>
      <w:r w:rsidR="007A316A">
        <w:t xml:space="preserve">ether use for forward facing CRSs </w:t>
      </w:r>
      <w:r>
        <w:t>was</w:t>
      </w:r>
      <w:r w:rsidR="007A316A">
        <w:t xml:space="preserve"> 42%</w:t>
      </w:r>
      <w:r w:rsidR="003E79CD">
        <w:t xml:space="preserve"> (48% tether use with lower anchor installation and 12% tether use with seat belt installation).</w:t>
      </w:r>
      <w:r w:rsidR="008A3E02">
        <w:t xml:space="preserve">  NHTSA has ongoing consumer education efforts to improve tether use for forward facing seats in both lower anchor and seat belt installations.</w:t>
      </w:r>
    </w:p>
    <w:p w14:paraId="521F161D" w14:textId="0B439697" w:rsidR="008A3E02" w:rsidRDefault="00C03529">
      <w:pPr>
        <w:rPr>
          <w:rFonts w:cs="Times New Roman"/>
        </w:rPr>
      </w:pPr>
      <w:r>
        <w:t xml:space="preserve">Child restraint anchorages were required </w:t>
      </w:r>
      <w:r w:rsidR="008A3E02">
        <w:t>i</w:t>
      </w:r>
      <w:r w:rsidR="00E03E38">
        <w:t xml:space="preserve">n order </w:t>
      </w:r>
      <w:r>
        <w:t xml:space="preserve">to standardize and improve the ease of installing car seats.  </w:t>
      </w:r>
      <w:r w:rsidR="00E03E38">
        <w:t>According to the NCRUSS survey, a</w:t>
      </w:r>
      <w:r>
        <w:t>mong the car seats that were installed using lower anchors, 11% were loosely installed while installed using seat belts, 27% were loosely installed.  Nearly all car seats sold in the United States have flexible lower anchor attachments (</w:t>
      </w:r>
      <w:r w:rsidR="00F65CDF">
        <w:t>&lt;&lt;1 percent have ISOFIX attachments)</w:t>
      </w:r>
      <w:r w:rsidR="00465063">
        <w:t xml:space="preserve"> in addition to having means to install them using seat belts</w:t>
      </w:r>
      <w:r w:rsidR="00F65CDF">
        <w:t xml:space="preserve">. </w:t>
      </w:r>
      <w:r w:rsidR="00D31280">
        <w:t xml:space="preserve"> Also, v</w:t>
      </w:r>
      <w:r w:rsidR="00465063">
        <w:t>ehicles with three or more rear seating positions are required to be equipped with child restraint anchorage systems at no fewer than two rear seating positions and a tether anchorage at an additional seating position</w:t>
      </w:r>
      <w:r w:rsidR="00D31280">
        <w:t xml:space="preserve">.  </w:t>
      </w:r>
      <w:r>
        <w:rPr>
          <w:rFonts w:cs="Times New Roman"/>
        </w:rPr>
        <w:t>NHTSA believes s</w:t>
      </w:r>
      <w:r w:rsidRPr="00C03529">
        <w:rPr>
          <w:rFonts w:cs="Times New Roman"/>
        </w:rPr>
        <w:t xml:space="preserve">tandardization increases the likelihood of correct installation of child restraints, as consumers do not need to learn novel ways of installing child restraints each time a new child restraint is used.  Standardization also </w:t>
      </w:r>
      <w:r w:rsidR="00F65CDF">
        <w:rPr>
          <w:rFonts w:cs="Times New Roman"/>
        </w:rPr>
        <w:t xml:space="preserve">helps with easy and simple messaging for consumer education.  </w:t>
      </w:r>
    </w:p>
    <w:p w14:paraId="1A0C0E4C" w14:textId="77777777" w:rsidR="002C6270" w:rsidRDefault="002C6270">
      <w:pPr>
        <w:rPr>
          <w:rFonts w:cs="Times New Roman"/>
        </w:rPr>
      </w:pPr>
      <w:r>
        <w:rPr>
          <w:rFonts w:cs="Times New Roman"/>
        </w:rPr>
        <w:br w:type="page"/>
      </w:r>
    </w:p>
    <w:p w14:paraId="0DA02CB5" w14:textId="60619132" w:rsidR="006726AE" w:rsidRDefault="00F65CDF">
      <w:pPr>
        <w:rPr>
          <w:rFonts w:cs="Times New Roman"/>
        </w:rPr>
      </w:pPr>
      <w:r>
        <w:rPr>
          <w:rFonts w:cs="Times New Roman"/>
        </w:rPr>
        <w:lastRenderedPageBreak/>
        <w:t>NHTSA’s focus is on improving child restraint use</w:t>
      </w:r>
      <w:r w:rsidR="003E79CD">
        <w:rPr>
          <w:rFonts w:cs="Times New Roman"/>
        </w:rPr>
        <w:t xml:space="preserve"> and reducing misuse.  NHTSA</w:t>
      </w:r>
      <w:r>
        <w:rPr>
          <w:rFonts w:cs="Times New Roman"/>
        </w:rPr>
        <w:t xml:space="preserve"> initiated rulemaking to improve the usability of child restraint anchorage system (</w:t>
      </w:r>
      <w:r w:rsidR="00CD1569">
        <w:rPr>
          <w:rFonts w:cs="Times New Roman"/>
        </w:rPr>
        <w:t xml:space="preserve">80 FR 3744, Docket No. </w:t>
      </w:r>
      <w:proofErr w:type="gramStart"/>
      <w:r w:rsidR="00CD1569">
        <w:rPr>
          <w:rFonts w:cs="Times New Roman"/>
        </w:rPr>
        <w:t>NHTSA-2014-0123).</w:t>
      </w:r>
      <w:proofErr w:type="gramEnd"/>
      <w:r w:rsidR="003E79CD">
        <w:rPr>
          <w:rFonts w:cs="Times New Roman"/>
        </w:rPr>
        <w:t xml:space="preserve">  The goal of this rulemaking is to improve the ease of use of the lower anchorages and tether anchorages and to increase the rate of correct use of child restraints. </w:t>
      </w:r>
      <w:r w:rsidR="00CD1569">
        <w:rPr>
          <w:rFonts w:cs="Times New Roman"/>
        </w:rPr>
        <w:t xml:space="preserve">  </w:t>
      </w:r>
    </w:p>
    <w:p w14:paraId="54DFCAE2" w14:textId="5D4FB763" w:rsidR="00BF45C1" w:rsidRDefault="00C80ABE">
      <w:pPr>
        <w:rPr>
          <w:rFonts w:cs="Times New Roman"/>
        </w:rPr>
      </w:pPr>
      <w:r>
        <w:rPr>
          <w:rFonts w:cs="Times New Roman"/>
        </w:rPr>
        <w:t xml:space="preserve">NHTSA believes that the current tether anchor zone in FMVSS No. 225 is reasonable with minor modifications to improve accessibility of the anchors.  </w:t>
      </w:r>
      <w:r w:rsidR="00CD1569">
        <w:rPr>
          <w:rFonts w:cs="Times New Roman"/>
        </w:rPr>
        <w:t xml:space="preserve">NHTSA </w:t>
      </w:r>
      <w:r w:rsidR="006726AE">
        <w:rPr>
          <w:rFonts w:cs="Times New Roman"/>
        </w:rPr>
        <w:t>performed sled tests using different fore-aft and lateral tether anchorage locations at extreme points within the allowable zone in FMVSS No. 225 and found no difference in CRS performance (see further details in the</w:t>
      </w:r>
      <w:r>
        <w:rPr>
          <w:rFonts w:cs="Times New Roman"/>
        </w:rPr>
        <w:t xml:space="preserve"> notice and in the docket - Docket No. </w:t>
      </w:r>
      <w:proofErr w:type="gramStart"/>
      <w:r>
        <w:rPr>
          <w:rFonts w:cs="Times New Roman"/>
        </w:rPr>
        <w:t>NHTSA-2014-0</w:t>
      </w:r>
      <w:r w:rsidR="001B1931">
        <w:rPr>
          <w:rFonts w:cs="Times New Roman"/>
        </w:rPr>
        <w:t>123</w:t>
      </w:r>
      <w:r>
        <w:rPr>
          <w:rFonts w:cs="Times New Roman"/>
        </w:rPr>
        <w:t>-000</w:t>
      </w:r>
      <w:r w:rsidR="001B1931">
        <w:rPr>
          <w:rFonts w:cs="Times New Roman"/>
        </w:rPr>
        <w:t>3</w:t>
      </w:r>
      <w:r>
        <w:rPr>
          <w:rFonts w:cs="Times New Roman"/>
        </w:rPr>
        <w:t>).</w:t>
      </w:r>
      <w:proofErr w:type="gramEnd"/>
      <w:r w:rsidR="00181F18">
        <w:rPr>
          <w:rFonts w:cs="Times New Roman"/>
        </w:rPr>
        <w:t xml:space="preserve">   Tether anchor zones that are significantly larger than that specified in FMVSS No. 225 may reduce the level of protection afforded by child restraints and reduce the usability of tether anchors.</w:t>
      </w:r>
    </w:p>
    <w:p w14:paraId="2877239C" w14:textId="77777777" w:rsidR="006726AE" w:rsidRDefault="00C80ABE">
      <w:pPr>
        <w:rPr>
          <w:rFonts w:cs="Times New Roman"/>
        </w:rPr>
      </w:pPr>
      <w:r>
        <w:rPr>
          <w:rFonts w:cs="Times New Roman"/>
        </w:rPr>
        <w:t xml:space="preserve">NHTSA believes </w:t>
      </w:r>
      <w:r w:rsidR="003E79CD">
        <w:rPr>
          <w:rFonts w:cs="Times New Roman"/>
        </w:rPr>
        <w:t xml:space="preserve">that </w:t>
      </w:r>
      <w:r w:rsidR="009C7BAE">
        <w:rPr>
          <w:rFonts w:cs="Times New Roman"/>
        </w:rPr>
        <w:t xml:space="preserve">static </w:t>
      </w:r>
      <w:r>
        <w:rPr>
          <w:rFonts w:cs="Times New Roman"/>
        </w:rPr>
        <w:t xml:space="preserve">test loads lower than 15 </w:t>
      </w:r>
      <w:proofErr w:type="spellStart"/>
      <w:proofErr w:type="gramStart"/>
      <w:r>
        <w:rPr>
          <w:rFonts w:cs="Times New Roman"/>
        </w:rPr>
        <w:t>kN</w:t>
      </w:r>
      <w:proofErr w:type="spellEnd"/>
      <w:proofErr w:type="gramEnd"/>
      <w:r>
        <w:rPr>
          <w:rFonts w:cs="Times New Roman"/>
        </w:rPr>
        <w:t xml:space="preserve"> may not ensure sufficient strength of the child restraint anchors in real world crashes.  </w:t>
      </w:r>
      <w:r w:rsidR="00BF45C1">
        <w:rPr>
          <w:rFonts w:cs="Times New Roman"/>
        </w:rPr>
        <w:t>Vehicle crash tests conducted by Transport Canada and NHTSA’s sled tests indi</w:t>
      </w:r>
      <w:r w:rsidR="009C7BAE">
        <w:rPr>
          <w:rFonts w:cs="Times New Roman"/>
        </w:rPr>
        <w:t>cate that</w:t>
      </w:r>
      <w:r w:rsidR="003E79CD">
        <w:rPr>
          <w:rFonts w:cs="Times New Roman"/>
        </w:rPr>
        <w:t xml:space="preserve"> </w:t>
      </w:r>
      <w:r w:rsidR="008A3E02">
        <w:rPr>
          <w:rFonts w:cs="Times New Roman"/>
        </w:rPr>
        <w:t xml:space="preserve">due to stiffer vehicle front-end (higher crash acceleration) </w:t>
      </w:r>
      <w:r w:rsidR="00E03E38">
        <w:rPr>
          <w:rFonts w:cs="Times New Roman"/>
        </w:rPr>
        <w:t xml:space="preserve">and heavier child restraints, </w:t>
      </w:r>
      <w:r w:rsidR="008A3E02">
        <w:rPr>
          <w:rFonts w:cs="Times New Roman"/>
        </w:rPr>
        <w:t xml:space="preserve">there is a likelihood of anchor loads exceeding their strength level in real world crashes.  Total loads on child restraint anchorages in excess of 20 </w:t>
      </w:r>
      <w:proofErr w:type="spellStart"/>
      <w:proofErr w:type="gramStart"/>
      <w:r w:rsidR="008A3E02">
        <w:rPr>
          <w:rFonts w:cs="Times New Roman"/>
        </w:rPr>
        <w:t>kN</w:t>
      </w:r>
      <w:proofErr w:type="spellEnd"/>
      <w:proofErr w:type="gramEnd"/>
      <w:r w:rsidR="008A3E02">
        <w:rPr>
          <w:rFonts w:cs="Times New Roman"/>
        </w:rPr>
        <w:t xml:space="preserve"> were recorded in vehicle crash tests with one lower anchor failure</w:t>
      </w:r>
      <w:r w:rsidR="008F7502">
        <w:rPr>
          <w:rFonts w:cs="Times New Roman"/>
        </w:rPr>
        <w:t xml:space="preserve"> (Docket No. </w:t>
      </w:r>
      <w:proofErr w:type="gramStart"/>
      <w:r w:rsidR="001B1931">
        <w:rPr>
          <w:rFonts w:cs="Times New Roman"/>
        </w:rPr>
        <w:t xml:space="preserve">NHTSA-2014-0026-0002 and </w:t>
      </w:r>
      <w:r w:rsidR="008F7502">
        <w:rPr>
          <w:rFonts w:cs="Times New Roman"/>
        </w:rPr>
        <w:t>NHTSA-2014-0026-0005)</w:t>
      </w:r>
      <w:r w:rsidR="008A3E02">
        <w:rPr>
          <w:rFonts w:cs="Times New Roman"/>
        </w:rPr>
        <w:t>.</w:t>
      </w:r>
      <w:proofErr w:type="gramEnd"/>
      <w:r w:rsidR="008A3E02">
        <w:rPr>
          <w:rFonts w:cs="Times New Roman"/>
        </w:rPr>
        <w:t xml:space="preserve">  </w:t>
      </w:r>
    </w:p>
    <w:p w14:paraId="7D9DD389" w14:textId="77777777" w:rsidR="009C7BAE" w:rsidRDefault="009C7BAE">
      <w:pPr>
        <w:rPr>
          <w:rFonts w:cs="Times New Roman"/>
        </w:rPr>
      </w:pPr>
      <w:r>
        <w:rPr>
          <w:rFonts w:cs="Times New Roman"/>
        </w:rPr>
        <w:t xml:space="preserve">NHTSA is </w:t>
      </w:r>
      <w:r w:rsidR="00E03E38">
        <w:rPr>
          <w:rFonts w:cs="Times New Roman"/>
        </w:rPr>
        <w:t xml:space="preserve">also </w:t>
      </w:r>
      <w:r>
        <w:rPr>
          <w:rFonts w:cs="Times New Roman"/>
        </w:rPr>
        <w:t xml:space="preserve">conducting research to improve the compatibility among vehicles and child restraints.  Child restraint envelopes were developed and compatibility was assessed in various vehicle models.  See </w:t>
      </w:r>
      <w:hyperlink r:id="rId7" w:history="1">
        <w:r w:rsidRPr="00536A0C">
          <w:rPr>
            <w:rStyle w:val="Hyperlink"/>
            <w:rFonts w:cs="Times New Roman"/>
          </w:rPr>
          <w:t>http://www.umtri.umich.edu/our-results/projects/umtri-workshop-new-tools-child-occupant-protection</w:t>
        </w:r>
      </w:hyperlink>
      <w:r>
        <w:rPr>
          <w:rFonts w:cs="Times New Roman"/>
        </w:rPr>
        <w:t>.</w:t>
      </w:r>
    </w:p>
    <w:p w14:paraId="2AC933FE" w14:textId="77777777" w:rsidR="00C80ABE" w:rsidRDefault="009C7BAE">
      <w:pPr>
        <w:rPr>
          <w:rFonts w:cs="Times New Roman"/>
        </w:rPr>
      </w:pPr>
      <w:r>
        <w:rPr>
          <w:rFonts w:cs="Times New Roman"/>
        </w:rPr>
        <w:t xml:space="preserve">  </w:t>
      </w:r>
    </w:p>
    <w:sectPr w:rsidR="00C80ABE" w:rsidSect="002C6270">
      <w:headerReference w:type="even" r:id="rId8"/>
      <w:headerReference w:type="default" r:id="rId9"/>
      <w:footerReference w:type="even" r:id="rId10"/>
      <w:footerReference w:type="default" r:id="rId11"/>
      <w:headerReference w:type="first" r:id="rId12"/>
      <w:footerReference w:type="first" r:id="rId13"/>
      <w:pgSz w:w="12240" w:h="15840" w:code="1"/>
      <w:pgMar w:top="1440" w:right="1077" w:bottom="1440"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8B469" w14:textId="77777777" w:rsidR="00D96460" w:rsidRDefault="00D96460" w:rsidP="0081668C">
      <w:pPr>
        <w:spacing w:after="0" w:line="240" w:lineRule="auto"/>
      </w:pPr>
      <w:r>
        <w:separator/>
      </w:r>
    </w:p>
  </w:endnote>
  <w:endnote w:type="continuationSeparator" w:id="0">
    <w:p w14:paraId="6983E6FC" w14:textId="77777777" w:rsidR="00D96460" w:rsidRDefault="00D96460" w:rsidP="0081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A8D08" w14:textId="77777777" w:rsidR="00C84DE2" w:rsidRDefault="00C84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EF2F1" w14:textId="77777777" w:rsidR="00C84DE2" w:rsidRDefault="00C84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F63AF" w14:textId="77777777" w:rsidR="00C84DE2" w:rsidRDefault="00C84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26A24" w14:textId="77777777" w:rsidR="00D96460" w:rsidRDefault="00D96460" w:rsidP="0081668C">
      <w:pPr>
        <w:spacing w:after="0" w:line="240" w:lineRule="auto"/>
      </w:pPr>
      <w:r>
        <w:separator/>
      </w:r>
    </w:p>
  </w:footnote>
  <w:footnote w:type="continuationSeparator" w:id="0">
    <w:p w14:paraId="3DD272E3" w14:textId="77777777" w:rsidR="00D96460" w:rsidRDefault="00D96460" w:rsidP="0081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132A" w14:textId="77777777" w:rsidR="00C84DE2" w:rsidRDefault="00C84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B8E9" w14:textId="77777777" w:rsidR="00C84DE2" w:rsidRDefault="00C84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34" w:type="dxa"/>
      <w:tblLook w:val="0000" w:firstRow="0" w:lastRow="0" w:firstColumn="0" w:lastColumn="0" w:noHBand="0" w:noVBand="0"/>
    </w:tblPr>
    <w:tblGrid>
      <w:gridCol w:w="4395"/>
      <w:gridCol w:w="4961"/>
    </w:tblGrid>
    <w:tr w:rsidR="002C6270" w:rsidRPr="00B95EC0" w14:paraId="254969F9" w14:textId="77777777" w:rsidTr="00092795">
      <w:tc>
        <w:tcPr>
          <w:tcW w:w="4395" w:type="dxa"/>
        </w:tcPr>
        <w:p w14:paraId="0107E7F3" w14:textId="6B8012DB" w:rsidR="002C6270" w:rsidRPr="00B95EC0" w:rsidRDefault="002C6270" w:rsidP="00092795">
          <w:pPr>
            <w:pStyle w:val="Quote"/>
            <w:spacing w:after="0"/>
            <w:rPr>
              <w:rFonts w:ascii="Times New Roman" w:hAnsi="Times New Roman"/>
              <w:i w:val="0"/>
              <w:sz w:val="20"/>
              <w:szCs w:val="20"/>
              <w:lang w:val="en-GB"/>
            </w:rPr>
          </w:pPr>
          <w:r w:rsidRPr="00B95EC0">
            <w:rPr>
              <w:rFonts w:ascii="Times New Roman" w:hAnsi="Times New Roman"/>
              <w:i w:val="0"/>
              <w:sz w:val="20"/>
              <w:szCs w:val="20"/>
              <w:lang w:val="en-GB"/>
            </w:rPr>
            <w:t>Submitted by the expert</w:t>
          </w:r>
          <w:r>
            <w:rPr>
              <w:rFonts w:ascii="Times New Roman" w:hAnsi="Times New Roman"/>
              <w:i w:val="0"/>
              <w:sz w:val="20"/>
              <w:szCs w:val="20"/>
              <w:lang w:val="en-GB"/>
            </w:rPr>
            <w:t>s</w:t>
          </w:r>
          <w:r w:rsidR="00C84DE2">
            <w:rPr>
              <w:rFonts w:ascii="Times New Roman" w:hAnsi="Times New Roman"/>
              <w:i w:val="0"/>
              <w:sz w:val="20"/>
              <w:szCs w:val="20"/>
              <w:lang w:val="en-GB"/>
            </w:rPr>
            <w:t xml:space="preserve"> from </w:t>
          </w:r>
          <w:r w:rsidR="00C84DE2">
            <w:rPr>
              <w:rFonts w:ascii="Times New Roman" w:hAnsi="Times New Roman"/>
              <w:i w:val="0"/>
              <w:sz w:val="20"/>
              <w:szCs w:val="20"/>
              <w:lang w:val="en-GB"/>
            </w:rPr>
            <w:br/>
          </w:r>
          <w:r w:rsidR="00C84DE2">
            <w:rPr>
              <w:rFonts w:ascii="Times New Roman" w:hAnsi="Times New Roman"/>
              <w:i w:val="0"/>
              <w:sz w:val="20"/>
              <w:szCs w:val="20"/>
              <w:lang w:val="en-GB"/>
            </w:rPr>
            <w:t xml:space="preserve">United States of </w:t>
          </w:r>
          <w:r>
            <w:rPr>
              <w:rFonts w:ascii="Times New Roman" w:hAnsi="Times New Roman"/>
              <w:i w:val="0"/>
              <w:sz w:val="20"/>
              <w:szCs w:val="20"/>
              <w:lang w:val="en-GB"/>
            </w:rPr>
            <w:t>America</w:t>
          </w:r>
        </w:p>
      </w:tc>
      <w:tc>
        <w:tcPr>
          <w:tcW w:w="4961" w:type="dxa"/>
        </w:tcPr>
        <w:p w14:paraId="275A13FF" w14:textId="77777777" w:rsidR="002C6270" w:rsidRPr="00B95EC0" w:rsidRDefault="002C6270" w:rsidP="00092795">
          <w:pPr>
            <w:pStyle w:val="Quote"/>
            <w:spacing w:after="0"/>
            <w:ind w:left="1734"/>
            <w:rPr>
              <w:rFonts w:ascii="Times New Roman" w:hAnsi="Times New Roman"/>
              <w:b/>
              <w:bCs/>
              <w:i w:val="0"/>
              <w:sz w:val="20"/>
              <w:szCs w:val="20"/>
              <w:lang w:val="en-GB" w:eastAsia="ko-KR"/>
            </w:rPr>
          </w:pPr>
          <w:r w:rsidRPr="00B95EC0">
            <w:rPr>
              <w:rFonts w:ascii="Times New Roman" w:hAnsi="Times New Roman"/>
              <w:i w:val="0"/>
              <w:sz w:val="20"/>
              <w:szCs w:val="20"/>
              <w:u w:val="single"/>
              <w:lang w:val="en-GB"/>
            </w:rPr>
            <w:t>Informal document</w:t>
          </w:r>
          <w:r w:rsidRPr="00B95EC0">
            <w:rPr>
              <w:rFonts w:ascii="Times New Roman" w:hAnsi="Times New Roman"/>
              <w:i w:val="0"/>
              <w:sz w:val="20"/>
              <w:szCs w:val="20"/>
              <w:lang w:val="en-GB"/>
            </w:rPr>
            <w:t xml:space="preserve"> </w:t>
          </w:r>
          <w:r w:rsidRPr="00B95EC0">
            <w:rPr>
              <w:rFonts w:ascii="Times New Roman" w:hAnsi="Times New Roman"/>
              <w:b/>
              <w:bCs/>
              <w:i w:val="0"/>
              <w:sz w:val="20"/>
              <w:szCs w:val="20"/>
              <w:lang w:val="en-GB"/>
            </w:rPr>
            <w:t>GRSP-5</w:t>
          </w:r>
          <w:r>
            <w:rPr>
              <w:rFonts w:ascii="Times New Roman" w:hAnsi="Times New Roman"/>
              <w:b/>
              <w:bCs/>
              <w:i w:val="0"/>
              <w:sz w:val="20"/>
              <w:szCs w:val="20"/>
              <w:lang w:val="en-GB"/>
            </w:rPr>
            <w:t>8</w:t>
          </w:r>
          <w:r w:rsidRPr="00B95EC0">
            <w:rPr>
              <w:rFonts w:ascii="Times New Roman" w:hAnsi="Times New Roman"/>
              <w:b/>
              <w:bCs/>
              <w:i w:val="0"/>
              <w:sz w:val="20"/>
              <w:szCs w:val="20"/>
              <w:lang w:val="en-GB"/>
            </w:rPr>
            <w:t>-</w:t>
          </w:r>
          <w:r>
            <w:rPr>
              <w:rFonts w:ascii="Times New Roman" w:hAnsi="Times New Roman"/>
              <w:b/>
              <w:bCs/>
              <w:i w:val="0"/>
              <w:sz w:val="20"/>
              <w:szCs w:val="20"/>
              <w:lang w:val="en-GB" w:eastAsia="ko-KR"/>
            </w:rPr>
            <w:t>24</w:t>
          </w:r>
        </w:p>
        <w:p w14:paraId="45BDD263" w14:textId="77777777" w:rsidR="002C6270" w:rsidRPr="00B95EC0" w:rsidRDefault="002C6270" w:rsidP="00092795">
          <w:pPr>
            <w:pStyle w:val="Quote"/>
            <w:spacing w:after="0"/>
            <w:ind w:left="1734"/>
            <w:rPr>
              <w:rFonts w:ascii="Times New Roman" w:hAnsi="Times New Roman"/>
              <w:i w:val="0"/>
              <w:sz w:val="20"/>
              <w:szCs w:val="20"/>
              <w:lang w:val="en-GB"/>
            </w:rPr>
          </w:pPr>
          <w:r w:rsidRPr="00B95EC0">
            <w:rPr>
              <w:rFonts w:ascii="Times New Roman" w:hAnsi="Times New Roman"/>
              <w:i w:val="0"/>
              <w:sz w:val="20"/>
              <w:szCs w:val="20"/>
              <w:lang w:val="en-GB"/>
            </w:rPr>
            <w:t>(5</w:t>
          </w:r>
          <w:r>
            <w:rPr>
              <w:rFonts w:ascii="Times New Roman" w:hAnsi="Times New Roman"/>
              <w:i w:val="0"/>
              <w:sz w:val="20"/>
              <w:szCs w:val="20"/>
              <w:lang w:val="en-GB"/>
            </w:rPr>
            <w:t>8</w:t>
          </w:r>
          <w:r w:rsidRPr="00B95EC0">
            <w:rPr>
              <w:rFonts w:ascii="Times New Roman" w:hAnsi="Times New Roman"/>
              <w:i w:val="0"/>
              <w:sz w:val="20"/>
              <w:szCs w:val="20"/>
              <w:vertAlign w:val="superscript"/>
              <w:lang w:val="en-GB"/>
            </w:rPr>
            <w:t>th</w:t>
          </w:r>
          <w:r w:rsidRPr="00B95EC0">
            <w:rPr>
              <w:rFonts w:ascii="Times New Roman" w:hAnsi="Times New Roman"/>
              <w:i w:val="0"/>
              <w:sz w:val="20"/>
              <w:szCs w:val="20"/>
              <w:lang w:val="en-GB"/>
            </w:rPr>
            <w:t xml:space="preserve"> GRSP, </w:t>
          </w:r>
          <w:r>
            <w:rPr>
              <w:rFonts w:ascii="Times New Roman" w:hAnsi="Times New Roman"/>
              <w:i w:val="0"/>
              <w:sz w:val="20"/>
              <w:szCs w:val="20"/>
              <w:lang w:val="en-GB"/>
            </w:rPr>
            <w:t>8-11</w:t>
          </w:r>
          <w:r w:rsidRPr="00B95EC0">
            <w:rPr>
              <w:rFonts w:ascii="Times New Roman" w:hAnsi="Times New Roman"/>
              <w:i w:val="0"/>
              <w:sz w:val="20"/>
              <w:szCs w:val="20"/>
              <w:lang w:val="en-GB"/>
            </w:rPr>
            <w:t xml:space="preserve"> </w:t>
          </w:r>
          <w:r>
            <w:rPr>
              <w:rFonts w:ascii="Times New Roman" w:hAnsi="Times New Roman"/>
              <w:i w:val="0"/>
              <w:sz w:val="20"/>
              <w:szCs w:val="20"/>
              <w:lang w:val="en-GB" w:eastAsia="ko-KR"/>
            </w:rPr>
            <w:t>December</w:t>
          </w:r>
          <w:r w:rsidRPr="00B95EC0">
            <w:rPr>
              <w:rFonts w:ascii="Times New Roman" w:hAnsi="Times New Roman"/>
              <w:i w:val="0"/>
              <w:sz w:val="20"/>
              <w:szCs w:val="20"/>
              <w:lang w:val="en-GB"/>
            </w:rPr>
            <w:t xml:space="preserve"> 2015,</w:t>
          </w:r>
        </w:p>
        <w:p w14:paraId="1E3D0083" w14:textId="77777777" w:rsidR="002C6270" w:rsidRPr="00B95EC0" w:rsidRDefault="002C6270" w:rsidP="00092795">
          <w:pPr>
            <w:pStyle w:val="Quote"/>
            <w:spacing w:after="0"/>
            <w:ind w:left="1734"/>
            <w:rPr>
              <w:rFonts w:ascii="Times New Roman" w:hAnsi="Times New Roman"/>
              <w:i w:val="0"/>
              <w:sz w:val="20"/>
              <w:szCs w:val="20"/>
              <w:lang w:val="en-GB"/>
            </w:rPr>
          </w:pPr>
          <w:r w:rsidRPr="00B95EC0">
            <w:rPr>
              <w:rFonts w:ascii="Times New Roman" w:hAnsi="Times New Roman"/>
              <w:i w:val="0"/>
              <w:sz w:val="20"/>
              <w:szCs w:val="20"/>
              <w:lang w:val="en-GB"/>
            </w:rPr>
            <w:t xml:space="preserve">agenda item </w:t>
          </w:r>
          <w:r>
            <w:rPr>
              <w:rFonts w:ascii="Times New Roman" w:hAnsi="Times New Roman"/>
              <w:i w:val="0"/>
              <w:sz w:val="20"/>
              <w:szCs w:val="20"/>
              <w:lang w:val="en-GB"/>
            </w:rPr>
            <w:t>9</w:t>
          </w:r>
          <w:r w:rsidRPr="00B95EC0">
            <w:rPr>
              <w:rFonts w:ascii="Times New Roman" w:hAnsi="Times New Roman"/>
              <w:i w:val="0"/>
              <w:sz w:val="20"/>
              <w:szCs w:val="20"/>
              <w:lang w:val="en-GB"/>
            </w:rPr>
            <w:t>)</w:t>
          </w:r>
        </w:p>
      </w:tc>
    </w:tr>
  </w:tbl>
  <w:p w14:paraId="63CECD63" w14:textId="77777777" w:rsidR="002C6270" w:rsidRDefault="002C6270">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C7"/>
    <w:rsid w:val="000B14C7"/>
    <w:rsid w:val="000C0BAA"/>
    <w:rsid w:val="00153322"/>
    <w:rsid w:val="001565F1"/>
    <w:rsid w:val="00181404"/>
    <w:rsid w:val="00181F18"/>
    <w:rsid w:val="001B1931"/>
    <w:rsid w:val="002445FE"/>
    <w:rsid w:val="002C6270"/>
    <w:rsid w:val="003E79CD"/>
    <w:rsid w:val="00465063"/>
    <w:rsid w:val="004961C1"/>
    <w:rsid w:val="00531CB5"/>
    <w:rsid w:val="005F7EA1"/>
    <w:rsid w:val="006726AE"/>
    <w:rsid w:val="007A316A"/>
    <w:rsid w:val="0081668C"/>
    <w:rsid w:val="008A3E02"/>
    <w:rsid w:val="008F7502"/>
    <w:rsid w:val="009C7BAE"/>
    <w:rsid w:val="00A31812"/>
    <w:rsid w:val="00B13E7A"/>
    <w:rsid w:val="00B67107"/>
    <w:rsid w:val="00B82A1D"/>
    <w:rsid w:val="00BB6691"/>
    <w:rsid w:val="00BF45C1"/>
    <w:rsid w:val="00C03529"/>
    <w:rsid w:val="00C806FB"/>
    <w:rsid w:val="00C80ABE"/>
    <w:rsid w:val="00C84DE2"/>
    <w:rsid w:val="00CD1569"/>
    <w:rsid w:val="00D31280"/>
    <w:rsid w:val="00D550AE"/>
    <w:rsid w:val="00D90C3B"/>
    <w:rsid w:val="00D96460"/>
    <w:rsid w:val="00DA1DDD"/>
    <w:rsid w:val="00E03E38"/>
    <w:rsid w:val="00F65CDF"/>
    <w:rsid w:val="00FC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BAE"/>
    <w:rPr>
      <w:color w:val="0000FF" w:themeColor="hyperlink"/>
      <w:u w:val="single"/>
    </w:rPr>
  </w:style>
  <w:style w:type="character" w:styleId="CommentReference">
    <w:name w:val="annotation reference"/>
    <w:basedOn w:val="DefaultParagraphFont"/>
    <w:uiPriority w:val="99"/>
    <w:semiHidden/>
    <w:unhideWhenUsed/>
    <w:rsid w:val="001B1931"/>
    <w:rPr>
      <w:sz w:val="16"/>
      <w:szCs w:val="16"/>
    </w:rPr>
  </w:style>
  <w:style w:type="paragraph" w:styleId="CommentText">
    <w:name w:val="annotation text"/>
    <w:basedOn w:val="Normal"/>
    <w:link w:val="CommentTextChar"/>
    <w:uiPriority w:val="99"/>
    <w:semiHidden/>
    <w:unhideWhenUsed/>
    <w:rsid w:val="001B1931"/>
    <w:pPr>
      <w:spacing w:line="240" w:lineRule="auto"/>
    </w:pPr>
    <w:rPr>
      <w:sz w:val="20"/>
      <w:szCs w:val="20"/>
    </w:rPr>
  </w:style>
  <w:style w:type="character" w:customStyle="1" w:styleId="CommentTextChar">
    <w:name w:val="Comment Text Char"/>
    <w:basedOn w:val="DefaultParagraphFont"/>
    <w:link w:val="CommentText"/>
    <w:uiPriority w:val="99"/>
    <w:semiHidden/>
    <w:rsid w:val="001B1931"/>
    <w:rPr>
      <w:sz w:val="20"/>
      <w:szCs w:val="20"/>
    </w:rPr>
  </w:style>
  <w:style w:type="paragraph" w:styleId="CommentSubject">
    <w:name w:val="annotation subject"/>
    <w:basedOn w:val="CommentText"/>
    <w:next w:val="CommentText"/>
    <w:link w:val="CommentSubjectChar"/>
    <w:uiPriority w:val="99"/>
    <w:semiHidden/>
    <w:unhideWhenUsed/>
    <w:rsid w:val="001B1931"/>
    <w:rPr>
      <w:b/>
      <w:bCs/>
    </w:rPr>
  </w:style>
  <w:style w:type="character" w:customStyle="1" w:styleId="CommentSubjectChar">
    <w:name w:val="Comment Subject Char"/>
    <w:basedOn w:val="CommentTextChar"/>
    <w:link w:val="CommentSubject"/>
    <w:uiPriority w:val="99"/>
    <w:semiHidden/>
    <w:rsid w:val="001B1931"/>
    <w:rPr>
      <w:b/>
      <w:bCs/>
      <w:sz w:val="20"/>
      <w:szCs w:val="20"/>
    </w:rPr>
  </w:style>
  <w:style w:type="paragraph" w:styleId="BalloonText">
    <w:name w:val="Balloon Text"/>
    <w:basedOn w:val="Normal"/>
    <w:link w:val="BalloonTextChar"/>
    <w:uiPriority w:val="99"/>
    <w:semiHidden/>
    <w:unhideWhenUsed/>
    <w:rsid w:val="001B1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31"/>
    <w:rPr>
      <w:rFonts w:ascii="Segoe UI" w:hAnsi="Segoe UI" w:cs="Segoe UI"/>
      <w:sz w:val="18"/>
      <w:szCs w:val="18"/>
    </w:rPr>
  </w:style>
  <w:style w:type="paragraph" w:styleId="Header">
    <w:name w:val="header"/>
    <w:basedOn w:val="Normal"/>
    <w:link w:val="HeaderChar"/>
    <w:uiPriority w:val="99"/>
    <w:unhideWhenUsed/>
    <w:rsid w:val="0081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68C"/>
  </w:style>
  <w:style w:type="paragraph" w:styleId="Footer">
    <w:name w:val="footer"/>
    <w:basedOn w:val="Normal"/>
    <w:link w:val="FooterChar"/>
    <w:uiPriority w:val="99"/>
    <w:unhideWhenUsed/>
    <w:rsid w:val="0081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68C"/>
  </w:style>
  <w:style w:type="paragraph" w:styleId="Quote">
    <w:name w:val="Quote"/>
    <w:basedOn w:val="Normal"/>
    <w:next w:val="Normal"/>
    <w:link w:val="QuoteChar"/>
    <w:uiPriority w:val="29"/>
    <w:qFormat/>
    <w:rsid w:val="002C6270"/>
    <w:rPr>
      <w:rFonts w:ascii="Calibri" w:eastAsia="Calibri" w:hAnsi="Calibri" w:cs="Times New Roman"/>
      <w:i/>
      <w:iCs/>
      <w:color w:val="000000"/>
      <w:lang w:val="hu-HU"/>
    </w:rPr>
  </w:style>
  <w:style w:type="character" w:customStyle="1" w:styleId="QuoteChar">
    <w:name w:val="Quote Char"/>
    <w:basedOn w:val="DefaultParagraphFont"/>
    <w:link w:val="Quote"/>
    <w:uiPriority w:val="29"/>
    <w:rsid w:val="002C6270"/>
    <w:rPr>
      <w:rFonts w:ascii="Calibri" w:eastAsia="Calibri" w:hAnsi="Calibri" w:cs="Times New Roman"/>
      <w:i/>
      <w:iCs/>
      <w:color w:val="000000"/>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BAE"/>
    <w:rPr>
      <w:color w:val="0000FF" w:themeColor="hyperlink"/>
      <w:u w:val="single"/>
    </w:rPr>
  </w:style>
  <w:style w:type="character" w:styleId="CommentReference">
    <w:name w:val="annotation reference"/>
    <w:basedOn w:val="DefaultParagraphFont"/>
    <w:uiPriority w:val="99"/>
    <w:semiHidden/>
    <w:unhideWhenUsed/>
    <w:rsid w:val="001B1931"/>
    <w:rPr>
      <w:sz w:val="16"/>
      <w:szCs w:val="16"/>
    </w:rPr>
  </w:style>
  <w:style w:type="paragraph" w:styleId="CommentText">
    <w:name w:val="annotation text"/>
    <w:basedOn w:val="Normal"/>
    <w:link w:val="CommentTextChar"/>
    <w:uiPriority w:val="99"/>
    <w:semiHidden/>
    <w:unhideWhenUsed/>
    <w:rsid w:val="001B1931"/>
    <w:pPr>
      <w:spacing w:line="240" w:lineRule="auto"/>
    </w:pPr>
    <w:rPr>
      <w:sz w:val="20"/>
      <w:szCs w:val="20"/>
    </w:rPr>
  </w:style>
  <w:style w:type="character" w:customStyle="1" w:styleId="CommentTextChar">
    <w:name w:val="Comment Text Char"/>
    <w:basedOn w:val="DefaultParagraphFont"/>
    <w:link w:val="CommentText"/>
    <w:uiPriority w:val="99"/>
    <w:semiHidden/>
    <w:rsid w:val="001B1931"/>
    <w:rPr>
      <w:sz w:val="20"/>
      <w:szCs w:val="20"/>
    </w:rPr>
  </w:style>
  <w:style w:type="paragraph" w:styleId="CommentSubject">
    <w:name w:val="annotation subject"/>
    <w:basedOn w:val="CommentText"/>
    <w:next w:val="CommentText"/>
    <w:link w:val="CommentSubjectChar"/>
    <w:uiPriority w:val="99"/>
    <w:semiHidden/>
    <w:unhideWhenUsed/>
    <w:rsid w:val="001B1931"/>
    <w:rPr>
      <w:b/>
      <w:bCs/>
    </w:rPr>
  </w:style>
  <w:style w:type="character" w:customStyle="1" w:styleId="CommentSubjectChar">
    <w:name w:val="Comment Subject Char"/>
    <w:basedOn w:val="CommentTextChar"/>
    <w:link w:val="CommentSubject"/>
    <w:uiPriority w:val="99"/>
    <w:semiHidden/>
    <w:rsid w:val="001B1931"/>
    <w:rPr>
      <w:b/>
      <w:bCs/>
      <w:sz w:val="20"/>
      <w:szCs w:val="20"/>
    </w:rPr>
  </w:style>
  <w:style w:type="paragraph" w:styleId="BalloonText">
    <w:name w:val="Balloon Text"/>
    <w:basedOn w:val="Normal"/>
    <w:link w:val="BalloonTextChar"/>
    <w:uiPriority w:val="99"/>
    <w:semiHidden/>
    <w:unhideWhenUsed/>
    <w:rsid w:val="001B1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31"/>
    <w:rPr>
      <w:rFonts w:ascii="Segoe UI" w:hAnsi="Segoe UI" w:cs="Segoe UI"/>
      <w:sz w:val="18"/>
      <w:szCs w:val="18"/>
    </w:rPr>
  </w:style>
  <w:style w:type="paragraph" w:styleId="Header">
    <w:name w:val="header"/>
    <w:basedOn w:val="Normal"/>
    <w:link w:val="HeaderChar"/>
    <w:uiPriority w:val="99"/>
    <w:unhideWhenUsed/>
    <w:rsid w:val="0081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68C"/>
  </w:style>
  <w:style w:type="paragraph" w:styleId="Footer">
    <w:name w:val="footer"/>
    <w:basedOn w:val="Normal"/>
    <w:link w:val="FooterChar"/>
    <w:uiPriority w:val="99"/>
    <w:unhideWhenUsed/>
    <w:rsid w:val="0081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68C"/>
  </w:style>
  <w:style w:type="paragraph" w:styleId="Quote">
    <w:name w:val="Quote"/>
    <w:basedOn w:val="Normal"/>
    <w:next w:val="Normal"/>
    <w:link w:val="QuoteChar"/>
    <w:uiPriority w:val="29"/>
    <w:qFormat/>
    <w:rsid w:val="002C6270"/>
    <w:rPr>
      <w:rFonts w:ascii="Calibri" w:eastAsia="Calibri" w:hAnsi="Calibri" w:cs="Times New Roman"/>
      <w:i/>
      <w:iCs/>
      <w:color w:val="000000"/>
      <w:lang w:val="hu-HU"/>
    </w:rPr>
  </w:style>
  <w:style w:type="character" w:customStyle="1" w:styleId="QuoteChar">
    <w:name w:val="Quote Char"/>
    <w:basedOn w:val="DefaultParagraphFont"/>
    <w:link w:val="Quote"/>
    <w:uiPriority w:val="29"/>
    <w:rsid w:val="002C6270"/>
    <w:rPr>
      <w:rFonts w:ascii="Calibri" w:eastAsia="Calibri" w:hAnsi="Calibri" w:cs="Times New Roman"/>
      <w:i/>
      <w:iCs/>
      <w:color w:val="00000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mtri.umich.edu/our-results/projects/umtri-workshop-new-tools-child-occupant-protectio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Shashi Kuppa</dc:creator>
  <cp:lastModifiedBy>Benedicte Boudol</cp:lastModifiedBy>
  <cp:revision>3</cp:revision>
  <cp:lastPrinted>2015-12-09T09:17:00Z</cp:lastPrinted>
  <dcterms:created xsi:type="dcterms:W3CDTF">2015-12-09T09:31:00Z</dcterms:created>
  <dcterms:modified xsi:type="dcterms:W3CDTF">2015-12-09T09:39:00Z</dcterms:modified>
</cp:coreProperties>
</file>