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B32E71">
        <w:trPr>
          <w:trHeight w:val="851"/>
        </w:trPr>
        <w:tc>
          <w:tcPr>
            <w:tcW w:w="1259" w:type="dxa"/>
            <w:tcBorders>
              <w:top w:val="nil"/>
              <w:left w:val="nil"/>
              <w:bottom w:val="single" w:sz="4" w:space="0" w:color="auto"/>
              <w:right w:val="nil"/>
            </w:tcBorders>
            <w:shd w:val="clear" w:color="auto" w:fill="auto"/>
          </w:tcPr>
          <w:p w:rsidR="00446DE4" w:rsidRPr="006500BA" w:rsidRDefault="00446DE4" w:rsidP="00B32E7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B32E71" w:rsidRDefault="00B3317B" w:rsidP="00B32E71">
            <w:pPr>
              <w:spacing w:after="80" w:line="340" w:lineRule="exact"/>
              <w:rPr>
                <w:sz w:val="28"/>
                <w:szCs w:val="28"/>
              </w:rPr>
            </w:pPr>
            <w:r w:rsidRPr="00B32E7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B32E71" w:rsidRPr="006500BA" w:rsidRDefault="00B32E71" w:rsidP="000D4ED7">
            <w:pPr>
              <w:jc w:val="right"/>
            </w:pPr>
            <w:r w:rsidRPr="00B32E71">
              <w:rPr>
                <w:sz w:val="40"/>
              </w:rPr>
              <w:t>ST</w:t>
            </w:r>
            <w:r w:rsidR="000D4ED7">
              <w:t>/SG/AC.10/C.3/2016</w:t>
            </w:r>
            <w:r>
              <w:t>/</w:t>
            </w:r>
            <w:r w:rsidR="000D4ED7">
              <w:t>7</w:t>
            </w:r>
            <w:r>
              <w:t>−</w:t>
            </w:r>
            <w:r w:rsidRPr="00B32E71">
              <w:rPr>
                <w:sz w:val="40"/>
              </w:rPr>
              <w:t>ST</w:t>
            </w:r>
            <w:r w:rsidR="000D4ED7">
              <w:t>/SG/AC.10/C.4/2016</w:t>
            </w:r>
            <w:r>
              <w:t>/</w:t>
            </w:r>
            <w:r w:rsidR="000D4ED7">
              <w:t>2</w:t>
            </w:r>
          </w:p>
        </w:tc>
      </w:tr>
      <w:tr w:rsidR="003107FA" w:rsidRPr="006500BA" w:rsidTr="00B32E7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C42903" w:rsidP="00B32E71">
            <w:pPr>
              <w:spacing w:before="120"/>
              <w:jc w:val="center"/>
            </w:pPr>
            <w:r>
              <w:rPr>
                <w:noProof/>
                <w:lang w:eastAsia="en-GB"/>
              </w:rPr>
              <w:drawing>
                <wp:inline distT="0" distB="0" distL="0" distR="0">
                  <wp:extent cx="715010" cy="591820"/>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B32E71" w:rsidRDefault="00D96CC5" w:rsidP="00B32E71">
            <w:pPr>
              <w:spacing w:before="120" w:line="420" w:lineRule="exact"/>
              <w:rPr>
                <w:b/>
                <w:sz w:val="40"/>
                <w:szCs w:val="40"/>
              </w:rPr>
            </w:pPr>
            <w:r w:rsidRPr="00B32E7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B32E71" w:rsidP="00B32E71">
            <w:pPr>
              <w:spacing w:before="240" w:line="240" w:lineRule="exact"/>
            </w:pPr>
            <w:r>
              <w:t>Distr.: General</w:t>
            </w:r>
          </w:p>
          <w:p w:rsidR="00B32E71" w:rsidRDefault="00DA0E5E" w:rsidP="00B32E71">
            <w:pPr>
              <w:spacing w:line="240" w:lineRule="exact"/>
            </w:pPr>
            <w:r>
              <w:t>6</w:t>
            </w:r>
            <w:bookmarkStart w:id="0" w:name="_GoBack"/>
            <w:bookmarkEnd w:id="0"/>
            <w:r w:rsidR="00556D12">
              <w:t xml:space="preserve"> April</w:t>
            </w:r>
            <w:r w:rsidR="000D4ED7">
              <w:t xml:space="preserve"> 2016</w:t>
            </w:r>
          </w:p>
          <w:p w:rsidR="00B32E71" w:rsidRDefault="00B32E71" w:rsidP="00B32E71">
            <w:pPr>
              <w:spacing w:line="240" w:lineRule="exact"/>
            </w:pPr>
          </w:p>
          <w:p w:rsidR="00B32E71" w:rsidRPr="006500BA" w:rsidRDefault="00B32E71" w:rsidP="00B32E71">
            <w:pPr>
              <w:spacing w:line="240" w:lineRule="exact"/>
            </w:pPr>
            <w:r>
              <w:t>Original: English</w:t>
            </w:r>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D46231" w:rsidTr="00B32E71">
        <w:tc>
          <w:tcPr>
            <w:tcW w:w="4644" w:type="dxa"/>
            <w:shd w:val="clear" w:color="auto" w:fill="auto"/>
          </w:tcPr>
          <w:p w:rsidR="00164A94" w:rsidRPr="00B32E71" w:rsidRDefault="00D46231" w:rsidP="00164A94">
            <w:pPr>
              <w:spacing w:before="120" w:after="240"/>
              <w:rPr>
                <w:b/>
              </w:rPr>
            </w:pPr>
            <w:r w:rsidRPr="00B32E71">
              <w:rPr>
                <w:b/>
              </w:rPr>
              <w:t xml:space="preserve">Sub-Committee of Experts on the Transport </w:t>
            </w:r>
            <w:r w:rsidRPr="00B32E71">
              <w:rPr>
                <w:b/>
              </w:rPr>
              <w:br/>
              <w:t xml:space="preserve">of Dangerous Goods </w:t>
            </w:r>
          </w:p>
        </w:tc>
        <w:tc>
          <w:tcPr>
            <w:tcW w:w="5103" w:type="dxa"/>
            <w:shd w:val="clear" w:color="auto" w:fill="auto"/>
          </w:tcPr>
          <w:p w:rsidR="00D46231" w:rsidRPr="00B32E71" w:rsidRDefault="00D46231" w:rsidP="00B32E71">
            <w:pPr>
              <w:spacing w:before="120"/>
              <w:rPr>
                <w:b/>
              </w:rPr>
            </w:pPr>
            <w:r w:rsidRPr="00B32E71">
              <w:rPr>
                <w:b/>
              </w:rPr>
              <w:t>Sub-Committee of Experts on the Globally Harmonized System of Classification and</w:t>
            </w:r>
            <w:r w:rsidR="00E1679E" w:rsidRPr="00B32E71">
              <w:rPr>
                <w:b/>
              </w:rPr>
              <w:t xml:space="preserve"> </w:t>
            </w:r>
            <w:r w:rsidRPr="00B32E71">
              <w:rPr>
                <w:b/>
              </w:rPr>
              <w:t xml:space="preserve">Labelling of Chemicals </w:t>
            </w:r>
          </w:p>
        </w:tc>
      </w:tr>
      <w:tr w:rsidR="00D46231" w:rsidTr="00B32E71">
        <w:tc>
          <w:tcPr>
            <w:tcW w:w="4644" w:type="dxa"/>
            <w:shd w:val="clear" w:color="auto" w:fill="auto"/>
          </w:tcPr>
          <w:p w:rsidR="00D46231" w:rsidRPr="00B32E71" w:rsidRDefault="00FA5827" w:rsidP="000D4ED7">
            <w:pPr>
              <w:spacing w:after="120"/>
              <w:rPr>
                <w:b/>
              </w:rPr>
            </w:pPr>
            <w:r>
              <w:rPr>
                <w:b/>
              </w:rPr>
              <w:t>Forty-</w:t>
            </w:r>
            <w:r w:rsidR="000D4ED7">
              <w:rPr>
                <w:b/>
              </w:rPr>
              <w:t>ninth</w:t>
            </w:r>
            <w:r w:rsidR="007D08FA">
              <w:rPr>
                <w:b/>
              </w:rPr>
              <w:t xml:space="preserve"> session</w:t>
            </w:r>
          </w:p>
        </w:tc>
        <w:tc>
          <w:tcPr>
            <w:tcW w:w="5103" w:type="dxa"/>
            <w:shd w:val="clear" w:color="auto" w:fill="auto"/>
          </w:tcPr>
          <w:p w:rsidR="00D46231" w:rsidRPr="00B32E71" w:rsidRDefault="00FA5827" w:rsidP="000D4ED7">
            <w:pPr>
              <w:rPr>
                <w:b/>
              </w:rPr>
            </w:pPr>
            <w:r w:rsidRPr="00FA5827">
              <w:rPr>
                <w:b/>
              </w:rPr>
              <w:t>Thirt</w:t>
            </w:r>
            <w:r w:rsidR="000D4ED7">
              <w:rPr>
                <w:b/>
              </w:rPr>
              <w:t>y-first</w:t>
            </w:r>
            <w:r w:rsidRPr="00FA5827">
              <w:rPr>
                <w:b/>
              </w:rPr>
              <w:t xml:space="preserve"> session</w:t>
            </w:r>
          </w:p>
        </w:tc>
      </w:tr>
      <w:tr w:rsidR="00D46231" w:rsidTr="00B32E71">
        <w:tc>
          <w:tcPr>
            <w:tcW w:w="4644" w:type="dxa"/>
            <w:shd w:val="clear" w:color="auto" w:fill="auto"/>
          </w:tcPr>
          <w:p w:rsidR="007D08FA" w:rsidRDefault="007D08FA" w:rsidP="007D08FA">
            <w:pPr>
              <w:rPr>
                <w:sz w:val="19"/>
                <w:szCs w:val="19"/>
                <w:lang w:val="en-US"/>
              </w:rPr>
            </w:pPr>
            <w:r>
              <w:rPr>
                <w:sz w:val="19"/>
                <w:szCs w:val="19"/>
                <w:lang w:val="en-US"/>
              </w:rPr>
              <w:t xml:space="preserve">Geneva, </w:t>
            </w:r>
            <w:r w:rsidR="000D4ED7" w:rsidRPr="00A22A58">
              <w:rPr>
                <w:sz w:val="19"/>
                <w:szCs w:val="19"/>
                <w:lang w:val="en-US"/>
              </w:rPr>
              <w:t>27 June – 6 July 2016</w:t>
            </w:r>
          </w:p>
          <w:p w:rsidR="00D46231" w:rsidRPr="00E16699" w:rsidRDefault="007D08FA" w:rsidP="00556D12">
            <w:pPr>
              <w:spacing w:after="120"/>
              <w:rPr>
                <w:b/>
              </w:rPr>
            </w:pPr>
            <w:r w:rsidRPr="004C603B">
              <w:t xml:space="preserve">Item </w:t>
            </w:r>
            <w:r w:rsidR="00556D12">
              <w:t>2 (h)</w:t>
            </w:r>
            <w:r w:rsidRPr="004C603B">
              <w:t xml:space="preserve"> of the provisional agenda</w:t>
            </w:r>
            <w:r w:rsidR="00E16699">
              <w:br/>
            </w:r>
            <w:r w:rsidR="00556D12" w:rsidRPr="00556D12">
              <w:rPr>
                <w:b/>
              </w:rPr>
              <w:t>Explosives and related matters: Review of Chapter 2.1 of the GHS</w:t>
            </w:r>
          </w:p>
        </w:tc>
        <w:tc>
          <w:tcPr>
            <w:tcW w:w="5103" w:type="dxa"/>
            <w:shd w:val="clear" w:color="auto" w:fill="auto"/>
          </w:tcPr>
          <w:p w:rsidR="007D08FA" w:rsidRPr="003C655D" w:rsidRDefault="007D08FA" w:rsidP="007D08FA">
            <w:r w:rsidRPr="003C655D">
              <w:t xml:space="preserve">Geneva, </w:t>
            </w:r>
            <w:r w:rsidR="000D4ED7">
              <w:t>5-8 July 2016</w:t>
            </w:r>
          </w:p>
          <w:p w:rsidR="00D46231" w:rsidRPr="00B32E71" w:rsidRDefault="007D08FA" w:rsidP="00625422">
            <w:pPr>
              <w:rPr>
                <w:b/>
              </w:rPr>
            </w:pPr>
            <w:r w:rsidRPr="003C655D">
              <w:t xml:space="preserve">Item </w:t>
            </w:r>
            <w:r w:rsidR="00625422">
              <w:t>2</w:t>
            </w:r>
            <w:r>
              <w:t xml:space="preserve"> </w:t>
            </w:r>
            <w:r w:rsidRPr="003C655D">
              <w:t>of the provisional agenda</w:t>
            </w:r>
            <w:r>
              <w:br/>
            </w:r>
            <w:r w:rsidR="00625422" w:rsidRPr="00625422">
              <w:rPr>
                <w:b/>
              </w:rPr>
              <w:t>Joint work with the Sub-Committee of Experts on the Transport of Dangerous Goods (TDG Sub-Committee)</w:t>
            </w:r>
          </w:p>
        </w:tc>
      </w:tr>
    </w:tbl>
    <w:p w:rsidR="000D4ED7" w:rsidRPr="00D14B76" w:rsidRDefault="00D14B76" w:rsidP="00D14B76">
      <w:pPr>
        <w:pStyle w:val="HChG"/>
      </w:pPr>
      <w:r>
        <w:tab/>
      </w:r>
      <w:r>
        <w:tab/>
        <w:t>Review of Chapter 2.1 of the GHS</w:t>
      </w:r>
    </w:p>
    <w:p w:rsidR="00067A01" w:rsidRPr="00067A01" w:rsidRDefault="00067A01" w:rsidP="00067A01">
      <w:pPr>
        <w:pStyle w:val="H1G"/>
      </w:pPr>
      <w:r>
        <w:tab/>
      </w:r>
      <w:r>
        <w:tab/>
        <w:t xml:space="preserve">Submitted </w:t>
      </w:r>
      <w:r w:rsidR="00556D12">
        <w:t>by the</w:t>
      </w:r>
      <w:r>
        <w:t xml:space="preserve"> </w:t>
      </w:r>
      <w:r w:rsidRPr="00067A01">
        <w:t>Australian Explosives Industry and Safety Group Inc. (AEISG)</w:t>
      </w:r>
      <w:r w:rsidR="001A74D0">
        <w:rPr>
          <w:rStyle w:val="FootnoteReference"/>
        </w:rPr>
        <w:footnoteReference w:id="2"/>
      </w:r>
    </w:p>
    <w:p w:rsidR="000D4ED7" w:rsidRPr="00954B37" w:rsidRDefault="000D4ED7" w:rsidP="000D4ED7">
      <w:pPr>
        <w:pStyle w:val="HChG"/>
      </w:pPr>
      <w:r>
        <w:tab/>
      </w:r>
      <w:r>
        <w:tab/>
      </w:r>
      <w:r w:rsidRPr="00954B37">
        <w:t>Introduction</w:t>
      </w:r>
    </w:p>
    <w:p w:rsidR="00067A01" w:rsidRPr="00A43788" w:rsidRDefault="00067A01" w:rsidP="00067A01">
      <w:pPr>
        <w:pStyle w:val="SingleTxtG"/>
      </w:pPr>
      <w:r>
        <w:t>1.</w:t>
      </w:r>
      <w:r>
        <w:tab/>
      </w:r>
      <w:r w:rsidRPr="00A43788">
        <w:t xml:space="preserve">This document </w:t>
      </w:r>
      <w:r>
        <w:t xml:space="preserve">is a preliminary presentation of the issues the </w:t>
      </w:r>
      <w:r w:rsidR="00556D12">
        <w:t>Working Group on Explosives</w:t>
      </w:r>
      <w:r>
        <w:t xml:space="preserve"> is considering as it reviews Chapter 2.1 of GHS. </w:t>
      </w:r>
      <w:r w:rsidRPr="00A43788">
        <w:t xml:space="preserve">It attempts to address all the issues proposed by Australia in </w:t>
      </w:r>
      <w:r w:rsidR="00BE2E7A">
        <w:t>documents ST/SG/</w:t>
      </w:r>
      <w:r>
        <w:t>AC</w:t>
      </w:r>
      <w:r w:rsidR="00BE2E7A">
        <w:t>.10/</w:t>
      </w:r>
      <w:r>
        <w:t>C</w:t>
      </w:r>
      <w:r w:rsidR="00BE2E7A">
        <w:t>.4/2014/</w:t>
      </w:r>
      <w:r>
        <w:t xml:space="preserve">15 and </w:t>
      </w:r>
      <w:r w:rsidR="00BE2E7A">
        <w:t>ST/</w:t>
      </w:r>
      <w:r w:rsidRPr="00A43788">
        <w:t>SG</w:t>
      </w:r>
      <w:r w:rsidR="00BE2E7A">
        <w:t>/</w:t>
      </w:r>
      <w:r w:rsidRPr="00A43788">
        <w:t>AC</w:t>
      </w:r>
      <w:r w:rsidR="00BE2E7A">
        <w:t>.10/</w:t>
      </w:r>
      <w:r w:rsidRPr="00A43788">
        <w:t>C</w:t>
      </w:r>
      <w:r w:rsidR="00BE2E7A">
        <w:t>.</w:t>
      </w:r>
      <w:r w:rsidRPr="00A43788">
        <w:t>3</w:t>
      </w:r>
      <w:r w:rsidR="00BE2E7A">
        <w:t>/</w:t>
      </w:r>
      <w:r w:rsidRPr="00A43788">
        <w:t>2014</w:t>
      </w:r>
      <w:r w:rsidR="00BE2E7A">
        <w:t>/</w:t>
      </w:r>
      <w:r w:rsidRPr="00A43788">
        <w:t>79, which was essentially a complete review of Chapter 2.1 to identify and rectify implementation issues that have arisen in the twenty or so years since the requirements were initially drafted.</w:t>
      </w:r>
      <w:r w:rsidR="00BE2E7A">
        <w:t xml:space="preserve"> </w:t>
      </w:r>
      <w:r>
        <w:t xml:space="preserve">This review has proceeded through email exchanges and will continue with a face to face discussion in the meeting </w:t>
      </w:r>
      <w:r w:rsidR="00D70372">
        <w:t xml:space="preserve">of the International Group of Experts on the explosion risks of unstable substances (IGUS) </w:t>
      </w:r>
      <w:r>
        <w:t xml:space="preserve">in April 2016. Following the IGUS meeting, draft text will be developed for discussion as an informal paper at the Working Group </w:t>
      </w:r>
      <w:r w:rsidR="00556D12">
        <w:t xml:space="preserve">on Explosives </w:t>
      </w:r>
      <w:r>
        <w:t xml:space="preserve">in June 2016. The informal </w:t>
      </w:r>
      <w:r w:rsidR="00BE2E7A">
        <w:t>document</w:t>
      </w:r>
      <w:r>
        <w:t xml:space="preserve"> will be circulated to </w:t>
      </w:r>
      <w:r w:rsidR="00D70372">
        <w:t>the GHS and TDG s</w:t>
      </w:r>
      <w:r>
        <w:t>ub</w:t>
      </w:r>
      <w:r>
        <w:noBreakHyphen/>
      </w:r>
      <w:r w:rsidR="00D70372">
        <w:t>c</w:t>
      </w:r>
      <w:r>
        <w:t>ommittees.</w:t>
      </w:r>
    </w:p>
    <w:p w:rsidR="00067A01" w:rsidRPr="00A43788" w:rsidRDefault="00067A01" w:rsidP="00067A01">
      <w:pPr>
        <w:pStyle w:val="SingleTxtG"/>
      </w:pPr>
      <w:r>
        <w:t>2.</w:t>
      </w:r>
      <w:r>
        <w:tab/>
        <w:t xml:space="preserve">This document </w:t>
      </w:r>
      <w:r w:rsidRPr="00A43788">
        <w:t>complements the work being done by Sweden on</w:t>
      </w:r>
      <w:r>
        <w:t xml:space="preserve"> Chapter 2.1, on the three </w:t>
      </w:r>
      <w:proofErr w:type="spellStart"/>
      <w:r>
        <w:t>workstreams</w:t>
      </w:r>
      <w:proofErr w:type="spellEnd"/>
      <w:r>
        <w:t xml:space="preserve"> described in informal document INF</w:t>
      </w:r>
      <w:r w:rsidR="00BE2E7A">
        <w:t>.</w:t>
      </w:r>
      <w:r>
        <w:t>13 (</w:t>
      </w:r>
      <w:r w:rsidR="00C45FFF">
        <w:t xml:space="preserve">GHS, </w:t>
      </w:r>
      <w:r>
        <w:t>29</w:t>
      </w:r>
      <w:r w:rsidRPr="00067A01">
        <w:rPr>
          <w:vertAlign w:val="superscript"/>
        </w:rPr>
        <w:t>th</w:t>
      </w:r>
      <w:r>
        <w:t xml:space="preserve"> session).</w:t>
      </w:r>
    </w:p>
    <w:p w:rsidR="00067A01" w:rsidRPr="00A43788" w:rsidRDefault="00067A01" w:rsidP="007138DC">
      <w:pPr>
        <w:pStyle w:val="HChG"/>
      </w:pPr>
      <w:r>
        <w:lastRenderedPageBreak/>
        <w:tab/>
      </w:r>
      <w:r>
        <w:tab/>
      </w:r>
      <w:r w:rsidRPr="00A43788">
        <w:t xml:space="preserve">Issues </w:t>
      </w:r>
      <w:r>
        <w:t>to be resolved</w:t>
      </w:r>
    </w:p>
    <w:p w:rsidR="00067A01" w:rsidRPr="00A43788" w:rsidRDefault="00067A01" w:rsidP="007138DC">
      <w:pPr>
        <w:pStyle w:val="H1G"/>
      </w:pPr>
      <w:r>
        <w:tab/>
      </w:r>
      <w:r>
        <w:tab/>
      </w:r>
      <w:r w:rsidRPr="00A43788">
        <w:t>Issue 1</w:t>
      </w:r>
      <w:r>
        <w:t>:</w:t>
      </w:r>
      <w:r w:rsidRPr="00A43788">
        <w:t xml:space="preserve"> Definitions</w:t>
      </w:r>
    </w:p>
    <w:p w:rsidR="00067A01" w:rsidRPr="00A43788" w:rsidRDefault="007138DC" w:rsidP="00067A01">
      <w:pPr>
        <w:pStyle w:val="SingleTxtG"/>
      </w:pPr>
      <w:r>
        <w:rPr>
          <w:b/>
        </w:rPr>
        <w:t>3.</w:t>
      </w:r>
      <w:r>
        <w:rPr>
          <w:b/>
        </w:rPr>
        <w:tab/>
      </w:r>
      <w:r w:rsidR="00067A01" w:rsidRPr="00A43788">
        <w:rPr>
          <w:b/>
        </w:rPr>
        <w:t>Clarify</w:t>
      </w:r>
      <w:r w:rsidR="00067A01" w:rsidRPr="00A43788">
        <w:t xml:space="preserve">: Pyrotechnic substances </w:t>
      </w:r>
      <w:r w:rsidR="00067A01">
        <w:t xml:space="preserve">are defined as non-detonating. </w:t>
      </w:r>
      <w:r w:rsidR="00067A01" w:rsidRPr="00A43788">
        <w:t>However, flash powder is a pyrotechnic s</w:t>
      </w:r>
      <w:r w:rsidR="00067A01">
        <w:t xml:space="preserve">ubstance and it will detonate. </w:t>
      </w:r>
      <w:r w:rsidR="00067A01" w:rsidRPr="00A43788">
        <w:t xml:space="preserve">In the fireworks default classification table we have numerous “pyrotechnic articles” that have flash powder in them.  </w:t>
      </w:r>
    </w:p>
    <w:p w:rsidR="00067A01" w:rsidRPr="00A43788" w:rsidRDefault="007138DC" w:rsidP="00067A01">
      <w:pPr>
        <w:pStyle w:val="SingleTxtG"/>
      </w:pPr>
      <w:r>
        <w:t>4.</w:t>
      </w:r>
      <w:r>
        <w:tab/>
      </w:r>
      <w:r w:rsidR="00067A01" w:rsidRPr="00A43788">
        <w:t>To be resolved: Is flash</w:t>
      </w:r>
      <w:r w:rsidR="00067A01">
        <w:t xml:space="preserve"> </w:t>
      </w:r>
      <w:r w:rsidR="00067A01" w:rsidRPr="00A43788">
        <w:t>powder outside the scope of a pyrotechnic substance because it may detonate?</w:t>
      </w:r>
    </w:p>
    <w:p w:rsidR="00067A01" w:rsidRPr="00A43788" w:rsidRDefault="00067A01" w:rsidP="007138DC">
      <w:pPr>
        <w:pStyle w:val="H1G"/>
      </w:pPr>
      <w:r>
        <w:tab/>
      </w:r>
      <w:r>
        <w:tab/>
      </w:r>
      <w:r w:rsidRPr="00A43788">
        <w:t>Issue 2</w:t>
      </w:r>
      <w:r>
        <w:t>:</w:t>
      </w:r>
      <w:r w:rsidRPr="00A43788">
        <w:t xml:space="preserve"> definitions</w:t>
      </w:r>
    </w:p>
    <w:p w:rsidR="00067A01" w:rsidRPr="00A43788" w:rsidRDefault="007138DC" w:rsidP="00067A01">
      <w:pPr>
        <w:pStyle w:val="SingleTxtG"/>
      </w:pPr>
      <w:r>
        <w:rPr>
          <w:b/>
        </w:rPr>
        <w:t>5.</w:t>
      </w:r>
      <w:r>
        <w:rPr>
          <w:b/>
        </w:rPr>
        <w:tab/>
      </w:r>
      <w:r w:rsidR="00067A01" w:rsidRPr="00A43788">
        <w:rPr>
          <w:b/>
        </w:rPr>
        <w:t>Clarify</w:t>
      </w:r>
      <w:r w:rsidR="00067A01">
        <w:t>: T</w:t>
      </w:r>
      <w:r w:rsidR="00067A01" w:rsidRPr="00A43788">
        <w:t xml:space="preserve">he definitions are unchanged from the Model Regulations, however part </w:t>
      </w:r>
      <w:r>
        <w:t>(</w:t>
      </w:r>
      <w:r w:rsidR="00067A01" w:rsidRPr="00A43788">
        <w:t>c</w:t>
      </w:r>
      <w:r>
        <w:t>)</w:t>
      </w:r>
      <w:r w:rsidR="00067A01" w:rsidRPr="00A43788">
        <w:t xml:space="preserve"> of the definitions is based on the intended use or source of the substance.  </w:t>
      </w:r>
    </w:p>
    <w:p w:rsidR="00067A01" w:rsidRPr="00A43788" w:rsidRDefault="007138DC" w:rsidP="00067A01">
      <w:pPr>
        <w:pStyle w:val="SingleTxtG"/>
      </w:pPr>
      <w:r>
        <w:t>6.</w:t>
      </w:r>
      <w:r>
        <w:tab/>
      </w:r>
      <w:r w:rsidR="00067A01" w:rsidRPr="00A43788">
        <w:t xml:space="preserve">To be resolved: </w:t>
      </w:r>
      <w:r w:rsidR="00067A01">
        <w:t xml:space="preserve">what is the intent of defining explosives in terms of their intended use or their source? How do we manage things like </w:t>
      </w:r>
      <w:r w:rsidR="00067A01" w:rsidRPr="00A43788">
        <w:t>aluminium tube manufactured to fabricate a detonator</w:t>
      </w:r>
      <w:r w:rsidR="00067A01">
        <w:t>; is it</w:t>
      </w:r>
      <w:r w:rsidR="00067A01" w:rsidRPr="00A43788">
        <w:t xml:space="preserve"> an explosi</w:t>
      </w:r>
      <w:r w:rsidR="00067A01">
        <w:t>ve article? Likewise, i</w:t>
      </w:r>
      <w:r w:rsidR="00067A01" w:rsidRPr="00A43788">
        <w:t xml:space="preserve">s ammonium nitrate manufactured to be </w:t>
      </w:r>
      <w:r w:rsidR="00067A01">
        <w:t xml:space="preserve">used to make </w:t>
      </w:r>
      <w:r>
        <w:t>ammonium nitrate emulsion (</w:t>
      </w:r>
      <w:r w:rsidR="00067A01">
        <w:t>ANE</w:t>
      </w:r>
      <w:r>
        <w:t>)</w:t>
      </w:r>
      <w:r w:rsidR="00067A01">
        <w:t xml:space="preserve"> an explosive? </w:t>
      </w:r>
      <w:r w:rsidR="00067A01" w:rsidRPr="00A43788">
        <w:t>Or, is ANE an explosive because it is made to create an explosive?</w:t>
      </w:r>
    </w:p>
    <w:p w:rsidR="00067A01" w:rsidRPr="00A43788" w:rsidRDefault="007138DC" w:rsidP="00067A01">
      <w:pPr>
        <w:pStyle w:val="SingleTxtG"/>
      </w:pPr>
      <w:r>
        <w:t>7.</w:t>
      </w:r>
      <w:r>
        <w:tab/>
      </w:r>
      <w:r w:rsidR="00067A01">
        <w:t>Comment: T</w:t>
      </w:r>
      <w:r w:rsidR="00067A01" w:rsidRPr="00A43788">
        <w:t xml:space="preserve">he current definition has been in the Model Regulations for decades.  Has it caused any problems?  Do we need to change? </w:t>
      </w:r>
    </w:p>
    <w:p w:rsidR="00067A01" w:rsidRPr="00A43788" w:rsidRDefault="00067A01" w:rsidP="007138DC">
      <w:pPr>
        <w:pStyle w:val="H1G"/>
      </w:pPr>
      <w:r>
        <w:tab/>
      </w:r>
      <w:r>
        <w:tab/>
      </w:r>
      <w:r w:rsidRPr="00A43788">
        <w:t>Issue 3</w:t>
      </w:r>
      <w:r w:rsidR="00467159">
        <w:t>:</w:t>
      </w:r>
      <w:r w:rsidRPr="00A43788">
        <w:t xml:space="preserve"> Label elements</w:t>
      </w:r>
      <w:r>
        <w:t xml:space="preserve"> Table 2.1.2</w:t>
      </w:r>
    </w:p>
    <w:p w:rsidR="00067A01" w:rsidRPr="00A43788" w:rsidRDefault="007138DC" w:rsidP="00067A01">
      <w:pPr>
        <w:pStyle w:val="SingleTxtG"/>
      </w:pPr>
      <w:r>
        <w:rPr>
          <w:b/>
        </w:rPr>
        <w:t>8.</w:t>
      </w:r>
      <w:r>
        <w:rPr>
          <w:b/>
        </w:rPr>
        <w:tab/>
      </w:r>
      <w:r w:rsidR="00067A01" w:rsidRPr="00A43788">
        <w:rPr>
          <w:b/>
        </w:rPr>
        <w:t>Clarify</w:t>
      </w:r>
      <w:r w:rsidR="00067A01">
        <w:t>: S</w:t>
      </w:r>
      <w:r w:rsidR="00067A01" w:rsidRPr="00A43788">
        <w:t>ome reference needs to be made to the position that labelling requirements for explosives shall be limited to</w:t>
      </w:r>
      <w:r w:rsidR="00467159">
        <w:t xml:space="preserve"> the explosive characteristic. </w:t>
      </w:r>
      <w:r w:rsidR="00067A01">
        <w:t xml:space="preserve">The speed of reaction of explosives makes it of academic interest only whether they have functioned as a </w:t>
      </w:r>
      <w:r w:rsidR="00BE2E7A">
        <w:t>mass explosion or a projectile.</w:t>
      </w:r>
      <w:r w:rsidR="00067A01">
        <w:t xml:space="preserve"> In addition, there is little point for</w:t>
      </w:r>
      <w:r w:rsidR="00067A01" w:rsidRPr="00A43788">
        <w:t xml:space="preserve"> the labelling requirements for </w:t>
      </w:r>
      <w:proofErr w:type="spellStart"/>
      <w:r w:rsidR="00067A01" w:rsidRPr="00A43788">
        <w:t>nit</w:t>
      </w:r>
      <w:r w:rsidR="00067A01">
        <w:t>roglycerin</w:t>
      </w:r>
      <w:proofErr w:type="spellEnd"/>
      <w:r w:rsidR="00067A01">
        <w:t xml:space="preserve"> based explosives </w:t>
      </w:r>
      <w:r w:rsidR="00067A01" w:rsidRPr="00A43788">
        <w:t>t</w:t>
      </w:r>
      <w:r w:rsidR="00067A01">
        <w:t>o</w:t>
      </w:r>
      <w:r w:rsidR="00067A01" w:rsidRPr="00A43788">
        <w:t xml:space="preserve"> warn people of the health effects, or that the material may mas</w:t>
      </w:r>
      <w:r w:rsidR="00467159">
        <w:t xml:space="preserve">s explode. </w:t>
      </w:r>
      <w:r w:rsidR="00067A01">
        <w:t>(This information c</w:t>
      </w:r>
      <w:r w:rsidR="00067A01" w:rsidRPr="00A43788">
        <w:t>ould be res</w:t>
      </w:r>
      <w:r>
        <w:t>erved for the Safety Data Sheet</w:t>
      </w:r>
      <w:r w:rsidR="00067A01" w:rsidRPr="00A43788">
        <w:t>)</w:t>
      </w:r>
      <w:r>
        <w:t>.</w:t>
      </w:r>
      <w:r w:rsidR="00067A01" w:rsidRPr="00A43788">
        <w:t xml:space="preserve">  </w:t>
      </w:r>
    </w:p>
    <w:p w:rsidR="00067A01" w:rsidRDefault="007138DC" w:rsidP="00467159">
      <w:pPr>
        <w:pStyle w:val="SingleTxtG"/>
      </w:pPr>
      <w:r>
        <w:t>9.</w:t>
      </w:r>
      <w:r>
        <w:tab/>
      </w:r>
      <w:r w:rsidR="00BE2E7A">
        <w:t>To be resolved: T</w:t>
      </w:r>
      <w:r w:rsidR="00067A01">
        <w:t>he labelling elements in Table 2.1.2 of GHS.</w:t>
      </w:r>
    </w:p>
    <w:p w:rsidR="00467159" w:rsidRPr="00A43788" w:rsidRDefault="00467159" w:rsidP="007138DC">
      <w:pPr>
        <w:pStyle w:val="H1G"/>
      </w:pPr>
      <w:r>
        <w:tab/>
      </w:r>
      <w:r>
        <w:tab/>
      </w:r>
      <w:r w:rsidRPr="00A43788">
        <w:t>Issue 4</w:t>
      </w:r>
      <w:r>
        <w:t>:</w:t>
      </w:r>
      <w:r w:rsidR="007138DC">
        <w:t xml:space="preserve"> Classification c</w:t>
      </w:r>
      <w:r w:rsidRPr="00A43788">
        <w:t xml:space="preserve">riteria </w:t>
      </w:r>
      <w:r w:rsidR="007138DC">
        <w:t>2.1.2.1 (</w:t>
      </w:r>
      <w:r>
        <w:t>a</w:t>
      </w:r>
      <w:r w:rsidR="007138DC">
        <w:t>)</w:t>
      </w:r>
    </w:p>
    <w:p w:rsidR="00467159" w:rsidRPr="00A43788" w:rsidRDefault="007138DC" w:rsidP="00467159">
      <w:pPr>
        <w:pStyle w:val="SingleTxtG"/>
      </w:pPr>
      <w:r>
        <w:t>10.</w:t>
      </w:r>
      <w:r>
        <w:tab/>
      </w:r>
      <w:r w:rsidR="00467159" w:rsidRPr="00A43788">
        <w:t xml:space="preserve">An anomaly has been identified in the different classification criteria for Division 1.1 explosives used in </w:t>
      </w:r>
      <w:r>
        <w:t>transport of dangerous goods</w:t>
      </w:r>
      <w:r w:rsidR="00467159" w:rsidRPr="00A43788">
        <w:t xml:space="preserve"> </w:t>
      </w:r>
      <w:r>
        <w:t>(2.1.1.4 (</w:t>
      </w:r>
      <w:r w:rsidR="00467159">
        <w:t xml:space="preserve">a) </w:t>
      </w:r>
      <w:r w:rsidR="00467159" w:rsidRPr="00A43788">
        <w:t xml:space="preserve">and </w:t>
      </w:r>
      <w:r>
        <w:t>GHS (2.1.2.1 (</w:t>
      </w:r>
      <w:r w:rsidR="00467159">
        <w:t xml:space="preserve">a). </w:t>
      </w:r>
      <w:r w:rsidR="00467159" w:rsidRPr="00A43788">
        <w:t xml:space="preserve">The former refers to the </w:t>
      </w:r>
      <w:r w:rsidR="00467159">
        <w:t xml:space="preserve">explosion (of) the </w:t>
      </w:r>
      <w:r w:rsidR="00467159" w:rsidRPr="00A43788">
        <w:t>entire load</w:t>
      </w:r>
      <w:r w:rsidR="00467159">
        <w:t xml:space="preserve">; the </w:t>
      </w:r>
      <w:r w:rsidR="00467159" w:rsidRPr="00A43788">
        <w:t xml:space="preserve">latter refers to the </w:t>
      </w:r>
      <w:r w:rsidR="00467159">
        <w:t xml:space="preserve">explosion (of) the </w:t>
      </w:r>
      <w:r w:rsidR="00467159" w:rsidRPr="00A43788">
        <w:t xml:space="preserve">entire </w:t>
      </w:r>
      <w:r w:rsidR="00467159" w:rsidRPr="00A43788">
        <w:rPr>
          <w:u w:val="single"/>
        </w:rPr>
        <w:t>quantity present</w:t>
      </w:r>
      <w:r w:rsidR="00467159">
        <w:t xml:space="preserve">. </w:t>
      </w:r>
      <w:r w:rsidR="00467159" w:rsidRPr="00A43788">
        <w:t>Logically, if the amount present (in a test sample of one safety cartridge for example) all shoots at one go, then the ma</w:t>
      </w:r>
      <w:r>
        <w:t>terial is hazard d</w:t>
      </w:r>
      <w:r w:rsidR="00467159">
        <w:t xml:space="preserve">ivision 1.1. </w:t>
      </w:r>
      <w:r w:rsidR="00467159" w:rsidRPr="00A43788">
        <w:t xml:space="preserve">So we have a logical inconsistency in the definition which does not exist with the definition where reference is made to the entire </w:t>
      </w:r>
      <w:r w:rsidR="00467159" w:rsidRPr="00A43788">
        <w:rPr>
          <w:u w:val="single"/>
        </w:rPr>
        <w:t>load</w:t>
      </w:r>
      <w:r w:rsidR="00467159" w:rsidRPr="00A43788">
        <w:t>.</w:t>
      </w:r>
    </w:p>
    <w:p w:rsidR="00467159" w:rsidRPr="00A43788" w:rsidRDefault="007138DC" w:rsidP="00467159">
      <w:pPr>
        <w:pStyle w:val="SingleTxtG"/>
      </w:pPr>
      <w:r>
        <w:t>11.</w:t>
      </w:r>
      <w:r>
        <w:tab/>
      </w:r>
      <w:r w:rsidR="00467159">
        <w:t xml:space="preserve">To be resolved: the definition of Division 1.1 explosives with respect to transport and GHS. This may well be a translation </w:t>
      </w:r>
      <w:proofErr w:type="gramStart"/>
      <w:r w:rsidR="00467159">
        <w:t>problem,</w:t>
      </w:r>
      <w:proofErr w:type="gramEnd"/>
      <w:r w:rsidR="00467159">
        <w:t xml:space="preserve"> however it needs to be resolved.</w:t>
      </w:r>
    </w:p>
    <w:p w:rsidR="00467159" w:rsidRPr="00A43788" w:rsidRDefault="00467159" w:rsidP="006D4C3B">
      <w:pPr>
        <w:pStyle w:val="H1G"/>
      </w:pPr>
      <w:r>
        <w:lastRenderedPageBreak/>
        <w:tab/>
      </w:r>
      <w:r>
        <w:tab/>
        <w:t>Issue 5: Unstable explosives,</w:t>
      </w:r>
      <w:r w:rsidRPr="00A43788">
        <w:t xml:space="preserve"> processing </w:t>
      </w:r>
      <w:r>
        <w:t>and the applicability of GHS</w:t>
      </w:r>
    </w:p>
    <w:p w:rsidR="00467159" w:rsidRPr="00A43788" w:rsidRDefault="006D4C3B" w:rsidP="00467159">
      <w:pPr>
        <w:pStyle w:val="SingleTxtG"/>
        <w:rPr>
          <w:b/>
        </w:rPr>
      </w:pPr>
      <w:r>
        <w:t>12.</w:t>
      </w:r>
      <w:r>
        <w:tab/>
      </w:r>
      <w:r w:rsidR="00467159">
        <w:t xml:space="preserve">The </w:t>
      </w:r>
      <w:r w:rsidR="00556D12">
        <w:t>Working Group on Explosives</w:t>
      </w:r>
      <w:r w:rsidR="00467159">
        <w:t xml:space="preserve"> has considered t</w:t>
      </w:r>
      <w:r w:rsidR="00467159" w:rsidRPr="00A43788">
        <w:t>he concept of risk analysis and managing explo</w:t>
      </w:r>
      <w:r w:rsidR="00BE2E7A">
        <w:t>sives in processing operations.</w:t>
      </w:r>
      <w:r w:rsidR="00467159" w:rsidRPr="00A43788">
        <w:t xml:space="preserve"> Two options are </w:t>
      </w:r>
      <w:r w:rsidR="00467159">
        <w:t>being considered in working group drafts however</w:t>
      </w:r>
      <w:r w:rsidR="00467159" w:rsidRPr="00A43788">
        <w:t xml:space="preserve"> neither is good enough; the issue </w:t>
      </w:r>
      <w:r w:rsidR="00467159">
        <w:t>needs further work.</w:t>
      </w:r>
    </w:p>
    <w:p w:rsidR="00467159" w:rsidRPr="00A43788" w:rsidRDefault="006D4C3B" w:rsidP="00467159">
      <w:pPr>
        <w:pStyle w:val="SingleTxtG"/>
      </w:pPr>
      <w:r>
        <w:t>13.</w:t>
      </w:r>
      <w:r>
        <w:tab/>
      </w:r>
      <w:r w:rsidR="00467159">
        <w:t xml:space="preserve">Part of the issue turns on </w:t>
      </w:r>
      <w:r w:rsidR="00467159" w:rsidRPr="00A43788">
        <w:t xml:space="preserve">the concept of “unstable” explosives, which possibly arose from </w:t>
      </w:r>
      <w:r w:rsidR="00467159">
        <w:t xml:space="preserve">the original drafters of Chapter 2.1 of </w:t>
      </w:r>
      <w:r w:rsidR="00467159" w:rsidRPr="00A43788">
        <w:t xml:space="preserve">GHS translating </w:t>
      </w:r>
      <w:r w:rsidR="00467159">
        <w:t>“</w:t>
      </w:r>
      <w:r w:rsidR="00467159" w:rsidRPr="00A43788">
        <w:t>explosives too dangerous</w:t>
      </w:r>
      <w:r w:rsidR="00467159">
        <w:t xml:space="preserve"> (sensitive)</w:t>
      </w:r>
      <w:r w:rsidR="00467159" w:rsidRPr="00A43788">
        <w:t xml:space="preserve"> to transport</w:t>
      </w:r>
      <w:r w:rsidR="00467159">
        <w:t>”</w:t>
      </w:r>
      <w:r w:rsidR="00467159" w:rsidRPr="00A43788">
        <w:t xml:space="preserve"> from the Model Regulations.  Earlier drafts </w:t>
      </w:r>
      <w:r w:rsidR="00467159">
        <w:t xml:space="preserve">considered by the </w:t>
      </w:r>
      <w:r w:rsidR="00556D12">
        <w:t xml:space="preserve">Working Group on Explosives </w:t>
      </w:r>
      <w:r w:rsidR="00467159" w:rsidRPr="00A43788">
        <w:t xml:space="preserve">in this area introduced the concept of steady state and non-steady state explosives, but this too has its limitations.  </w:t>
      </w:r>
    </w:p>
    <w:p w:rsidR="00467159" w:rsidRPr="00A43788" w:rsidRDefault="006D4C3B" w:rsidP="00467159">
      <w:pPr>
        <w:pStyle w:val="SingleTxtG"/>
      </w:pPr>
      <w:r>
        <w:t>14.</w:t>
      </w:r>
      <w:r>
        <w:tab/>
      </w:r>
      <w:r w:rsidR="00467159" w:rsidRPr="00A43788">
        <w:t xml:space="preserve">It has been suggested that the term “unstable explosives” be broadened (or delimited) to “Explosives not in transport configuration”.  </w:t>
      </w:r>
    </w:p>
    <w:p w:rsidR="00467159" w:rsidRDefault="006D4C3B" w:rsidP="00467159">
      <w:pPr>
        <w:pStyle w:val="SingleTxtG"/>
      </w:pPr>
      <w:r>
        <w:t>15.</w:t>
      </w:r>
      <w:r>
        <w:tab/>
      </w:r>
      <w:r w:rsidR="00467159" w:rsidRPr="00A43788">
        <w:t>This has a lot of merit as “unstable explosives” don’t exist exce</w:t>
      </w:r>
      <w:r w:rsidR="00467159">
        <w:t>pt perhaps in a reaction vessel and very sensitive explosives may be very stable but present extreme risks to users.</w:t>
      </w:r>
    </w:p>
    <w:p w:rsidR="00467159" w:rsidRPr="00A43788" w:rsidRDefault="006D4C3B" w:rsidP="00467159">
      <w:pPr>
        <w:pStyle w:val="SingleTxtG"/>
      </w:pPr>
      <w:r>
        <w:t>16.</w:t>
      </w:r>
      <w:r>
        <w:tab/>
      </w:r>
      <w:r w:rsidR="00467159">
        <w:t>To be resolved: clarification of the terms “unstable” and “insensitive” for explosives labelling purposes and the scope of application of GHS with respect to processing operations.</w:t>
      </w:r>
    </w:p>
    <w:p w:rsidR="00467159" w:rsidRPr="006119CA" w:rsidRDefault="00467159" w:rsidP="006D4C3B">
      <w:pPr>
        <w:pStyle w:val="H1G"/>
      </w:pPr>
      <w:r>
        <w:tab/>
      </w:r>
      <w:r>
        <w:tab/>
      </w:r>
      <w:r w:rsidRPr="006119CA">
        <w:t>Issue 6</w:t>
      </w:r>
      <w:r>
        <w:t>:</w:t>
      </w:r>
      <w:r w:rsidR="006D4C3B">
        <w:t xml:space="preserve"> Criteria for e</w:t>
      </w:r>
      <w:r w:rsidRPr="006119CA">
        <w:t>xplosives</w:t>
      </w:r>
      <w:r w:rsidR="006D4C3B">
        <w:t xml:space="preserve"> (current t</w:t>
      </w:r>
      <w:r>
        <w:t>able 2.1.1)</w:t>
      </w:r>
    </w:p>
    <w:p w:rsidR="00467159" w:rsidRDefault="006D4C3B" w:rsidP="00467159">
      <w:pPr>
        <w:pStyle w:val="SingleTxtG"/>
      </w:pPr>
      <w:r>
        <w:t>17.</w:t>
      </w:r>
      <w:r>
        <w:tab/>
      </w:r>
      <w:r w:rsidR="00467159">
        <w:t xml:space="preserve">Every chapter for every hazard </w:t>
      </w:r>
      <w:r>
        <w:t>class</w:t>
      </w:r>
      <w:r w:rsidR="00467159">
        <w:t xml:space="preserve"> in the GHS incudes a table setting out the criteria that define the hazard </w:t>
      </w:r>
      <w:r>
        <w:t>categories</w:t>
      </w:r>
      <w:r w:rsidR="00467159">
        <w:t xml:space="preserve">. The table for explosives </w:t>
      </w:r>
      <w:r>
        <w:t xml:space="preserve">(table 2.1.1) </w:t>
      </w:r>
      <w:r w:rsidR="00467159">
        <w:t xml:space="preserve">defines the </w:t>
      </w:r>
      <w:r>
        <w:t>criteria</w:t>
      </w:r>
      <w:r w:rsidR="00467159">
        <w:t xml:space="preserve"> only in terms of a core set of tests which are incomplete and changing and adds only confusion to the criter</w:t>
      </w:r>
      <w:r>
        <w:t>ia contained in the definitions for each division.</w:t>
      </w:r>
    </w:p>
    <w:p w:rsidR="00467159" w:rsidRDefault="006D4C3B" w:rsidP="00467159">
      <w:pPr>
        <w:pStyle w:val="SingleTxtG"/>
      </w:pPr>
      <w:r>
        <w:t>18.</w:t>
      </w:r>
      <w:r>
        <w:tab/>
      </w:r>
      <w:r w:rsidR="00467159">
        <w:t>Clarify: Does the table add any value; might it be deleted and might the criteria be limited to what is in the definitions? Will its deletion adversely affect the style of the GHS document?</w:t>
      </w:r>
    </w:p>
    <w:p w:rsidR="00467159" w:rsidRPr="00A43788" w:rsidRDefault="00786700" w:rsidP="00467159">
      <w:pPr>
        <w:pStyle w:val="SingleTxtG"/>
      </w:pPr>
      <w:r>
        <w:t>19.</w:t>
      </w:r>
      <w:r>
        <w:tab/>
      </w:r>
      <w:r w:rsidR="00467159">
        <w:t>Clarify: Will deletion of the table generate any subsequent problems with respect to unstable explosives and tho</w:t>
      </w:r>
      <w:r>
        <w:t>se too insensitive to transport?</w:t>
      </w:r>
    </w:p>
    <w:p w:rsidR="00467159" w:rsidRPr="00FB655F" w:rsidRDefault="00467159" w:rsidP="00786700">
      <w:pPr>
        <w:pStyle w:val="H1G"/>
      </w:pPr>
      <w:r>
        <w:tab/>
      </w:r>
      <w:r>
        <w:tab/>
      </w:r>
      <w:r w:rsidRPr="00FB655F">
        <w:t>Issue 7</w:t>
      </w:r>
      <w:r>
        <w:t>:</w:t>
      </w:r>
      <w:r w:rsidR="00786700">
        <w:t xml:space="preserve"> Hazard c</w:t>
      </w:r>
      <w:r w:rsidRPr="00FB655F">
        <w:t>ommunication</w:t>
      </w:r>
      <w:r>
        <w:t xml:space="preserve"> (2.1.3)</w:t>
      </w:r>
    </w:p>
    <w:p w:rsidR="00467159" w:rsidRDefault="00640D97" w:rsidP="00467159">
      <w:pPr>
        <w:pStyle w:val="SingleTxtG"/>
      </w:pPr>
      <w:r>
        <w:t>20.</w:t>
      </w:r>
      <w:r>
        <w:tab/>
      </w:r>
      <w:r w:rsidR="00467159">
        <w:t>The current hazard statements have numerous anomalies which are being addressed in the work being led by Swede</w:t>
      </w:r>
      <w:r w:rsidR="00AC309F">
        <w:t xml:space="preserve">n. </w:t>
      </w:r>
      <w:r w:rsidR="00467159">
        <w:t>Several elements are being put forward in this debate:</w:t>
      </w:r>
    </w:p>
    <w:p w:rsidR="00640D97" w:rsidRPr="00944102" w:rsidRDefault="00640D97" w:rsidP="00640D97">
      <w:pPr>
        <w:pStyle w:val="SingleTxtG"/>
        <w:rPr>
          <w:rFonts w:eastAsia="Calibri"/>
        </w:rPr>
      </w:pPr>
      <w:r>
        <w:t>21.</w:t>
      </w:r>
      <w:r>
        <w:tab/>
      </w:r>
      <w:r>
        <w:rPr>
          <w:rFonts w:eastAsia="Calibri"/>
        </w:rPr>
        <w:t>To be resolved: The label elements in Table 2.1.2</w:t>
      </w:r>
    </w:p>
    <w:p w:rsidR="00467159" w:rsidRPr="006E1BDA" w:rsidRDefault="00467159" w:rsidP="00640D97">
      <w:pPr>
        <w:pStyle w:val="SingleTxtG"/>
        <w:ind w:left="1701"/>
        <w:rPr>
          <w:rFonts w:eastAsia="Calibri"/>
        </w:rPr>
      </w:pPr>
      <w:r>
        <w:rPr>
          <w:rFonts w:eastAsia="Calibri"/>
        </w:rPr>
        <w:t>(a)</w:t>
      </w:r>
      <w:r>
        <w:rPr>
          <w:rFonts w:eastAsia="Calibri"/>
        </w:rPr>
        <w:tab/>
      </w:r>
      <w:r w:rsidRPr="006E1BDA">
        <w:rPr>
          <w:rFonts w:eastAsia="Calibri"/>
        </w:rPr>
        <w:t>With regards to the hazard divisions: these division</w:t>
      </w:r>
      <w:r w:rsidR="00556D12">
        <w:rPr>
          <w:rFonts w:eastAsia="Calibri"/>
        </w:rPr>
        <w:t>s</w:t>
      </w:r>
      <w:r w:rsidRPr="006E1BDA">
        <w:rPr>
          <w:rFonts w:eastAsia="Calibri"/>
        </w:rPr>
        <w:t xml:space="preserve"> have no meaning outside transport (and perhaps storage in some jurisdictions, but not globally).  The current state of discussion actually deals with inner packag</w:t>
      </w:r>
      <w:r w:rsidR="00640D97">
        <w:rPr>
          <w:rFonts w:eastAsia="Calibri"/>
        </w:rPr>
        <w:t>e</w:t>
      </w:r>
      <w:r w:rsidRPr="006E1BDA">
        <w:rPr>
          <w:rFonts w:eastAsia="Calibri"/>
        </w:rPr>
        <w:t>s, which is already one step away from the transport situation</w:t>
      </w:r>
      <w:r w:rsidR="00AC309F">
        <w:rPr>
          <w:rFonts w:eastAsia="Calibri"/>
        </w:rPr>
        <w:t xml:space="preserve">. </w:t>
      </w:r>
      <w:r w:rsidRPr="006E1BDA">
        <w:rPr>
          <w:rFonts w:eastAsia="Calibri"/>
        </w:rPr>
        <w:t>Once the explosive is outside the inner packag</w:t>
      </w:r>
      <w:r w:rsidR="00640D97">
        <w:rPr>
          <w:rFonts w:eastAsia="Calibri"/>
        </w:rPr>
        <w:t>ing no clear distinction on hazard d</w:t>
      </w:r>
      <w:r w:rsidRPr="006E1BDA">
        <w:rPr>
          <w:rFonts w:eastAsia="Calibri"/>
        </w:rPr>
        <w:t>ivision can be made anymore.</w:t>
      </w:r>
    </w:p>
    <w:p w:rsidR="00467159" w:rsidRPr="006E1BDA" w:rsidRDefault="00467159" w:rsidP="00640D97">
      <w:pPr>
        <w:pStyle w:val="SingleTxtG"/>
        <w:ind w:left="1701"/>
        <w:rPr>
          <w:rFonts w:eastAsia="Calibri"/>
        </w:rPr>
      </w:pPr>
      <w:r>
        <w:rPr>
          <w:rFonts w:eastAsia="Calibri"/>
        </w:rPr>
        <w:t>(b)</w:t>
      </w:r>
      <w:r>
        <w:rPr>
          <w:rFonts w:eastAsia="Calibri"/>
        </w:rPr>
        <w:tab/>
      </w:r>
      <w:r w:rsidRPr="006E1BDA">
        <w:rPr>
          <w:rFonts w:eastAsia="Calibri"/>
        </w:rPr>
        <w:t>There seems little point telling people whether they will injured/killed by blast, shrapnel or intense heat as they would not have to treat the explosive differently.  Instructions for storage such as segregation and separation will be on the Safety Data Sheet.</w:t>
      </w:r>
    </w:p>
    <w:p w:rsidR="00467159" w:rsidRPr="006E1BDA" w:rsidRDefault="00467159" w:rsidP="00640D97">
      <w:pPr>
        <w:pStyle w:val="SingleTxtG"/>
        <w:ind w:left="1701"/>
        <w:rPr>
          <w:rFonts w:eastAsia="Calibri"/>
        </w:rPr>
      </w:pPr>
      <w:r>
        <w:rPr>
          <w:rFonts w:eastAsia="Calibri"/>
        </w:rPr>
        <w:lastRenderedPageBreak/>
        <w:t>(c)</w:t>
      </w:r>
      <w:r>
        <w:rPr>
          <w:rFonts w:eastAsia="Calibri"/>
        </w:rPr>
        <w:tab/>
        <w:t>Ano</w:t>
      </w:r>
      <w:r w:rsidRPr="006E1BDA">
        <w:rPr>
          <w:rFonts w:eastAsia="Calibri"/>
        </w:rPr>
        <w:t>ther example could be small inner packag</w:t>
      </w:r>
      <w:r w:rsidR="00640D97">
        <w:rPr>
          <w:rFonts w:eastAsia="Calibri"/>
        </w:rPr>
        <w:t>es</w:t>
      </w:r>
      <w:r w:rsidRPr="006E1BDA">
        <w:rPr>
          <w:rFonts w:eastAsia="Calibri"/>
        </w:rPr>
        <w:t xml:space="preserve"> of propellant</w:t>
      </w:r>
      <w:r>
        <w:rPr>
          <w:rFonts w:eastAsia="Calibri"/>
        </w:rPr>
        <w:t>:</w:t>
      </w:r>
      <w:r w:rsidRPr="006E1BDA">
        <w:rPr>
          <w:rFonts w:eastAsia="Calibri"/>
        </w:rPr>
        <w:t xml:space="preserve"> inside the transport packag</w:t>
      </w:r>
      <w:r w:rsidR="00640D97">
        <w:rPr>
          <w:rFonts w:eastAsia="Calibri"/>
        </w:rPr>
        <w:t>ing</w:t>
      </w:r>
      <w:r w:rsidRPr="006E1BDA">
        <w:rPr>
          <w:rFonts w:eastAsia="Calibri"/>
        </w:rPr>
        <w:t xml:space="preserve"> they can be 1.3 or 1.4, but taken out of the box </w:t>
      </w:r>
      <w:r w:rsidR="00640D97">
        <w:rPr>
          <w:rFonts w:eastAsia="Calibri"/>
        </w:rPr>
        <w:t xml:space="preserve">(packaging) </w:t>
      </w:r>
      <w:r w:rsidRPr="006E1BDA">
        <w:rPr>
          <w:rFonts w:eastAsia="Calibri"/>
        </w:rPr>
        <w:t>they could show “mass explosion-like” behaviour.</w:t>
      </w:r>
    </w:p>
    <w:p w:rsidR="00467159" w:rsidRPr="006E1BDA" w:rsidRDefault="00467159" w:rsidP="00640D97">
      <w:pPr>
        <w:pStyle w:val="SingleTxtG"/>
        <w:ind w:left="1701"/>
        <w:rPr>
          <w:rFonts w:eastAsia="Calibri"/>
        </w:rPr>
      </w:pPr>
      <w:r>
        <w:rPr>
          <w:rFonts w:eastAsia="Calibri"/>
        </w:rPr>
        <w:t>(d)</w:t>
      </w:r>
      <w:r>
        <w:rPr>
          <w:rFonts w:eastAsia="Calibri"/>
        </w:rPr>
        <w:tab/>
      </w:r>
      <w:r w:rsidRPr="006E1BDA">
        <w:rPr>
          <w:rFonts w:eastAsia="Calibri"/>
        </w:rPr>
        <w:t>Detonators present a particularly unusual case: depending on the packaging they occur in 1.1B; 1.2B; 1.4B and 1.4S.  But outside the packaging they all behave the same.  And the common hazard is “explosive”.</w:t>
      </w:r>
    </w:p>
    <w:p w:rsidR="00467159" w:rsidRDefault="00467159" w:rsidP="00640D97">
      <w:pPr>
        <w:pStyle w:val="SingleTxtG"/>
        <w:ind w:left="1701"/>
        <w:rPr>
          <w:rFonts w:eastAsia="Calibri"/>
        </w:rPr>
      </w:pPr>
      <w:r>
        <w:rPr>
          <w:rFonts w:eastAsia="Calibri"/>
        </w:rPr>
        <w:t>(e)</w:t>
      </w:r>
      <w:r>
        <w:rPr>
          <w:rFonts w:eastAsia="Calibri"/>
        </w:rPr>
        <w:tab/>
      </w:r>
      <w:r w:rsidRPr="006E1BDA">
        <w:rPr>
          <w:rFonts w:eastAsia="Calibri"/>
        </w:rPr>
        <w:t>The example of shaped charges is also relevant: in transport the cavities have to face each other, outside the packaging that is</w:t>
      </w:r>
      <w:r w:rsidR="00640D97">
        <w:rPr>
          <w:rFonts w:eastAsia="Calibri"/>
        </w:rPr>
        <w:t xml:space="preserve"> not the case anymore.  So the hazard d</w:t>
      </w:r>
      <w:r w:rsidRPr="006E1BDA">
        <w:rPr>
          <w:rFonts w:eastAsia="Calibri"/>
        </w:rPr>
        <w:t>ivision will change but not the intrinsic hazard of explosive.</w:t>
      </w:r>
    </w:p>
    <w:p w:rsidR="00467159" w:rsidRPr="006E1BDA" w:rsidRDefault="00467159" w:rsidP="00640D97">
      <w:pPr>
        <w:pStyle w:val="SingleTxtG"/>
        <w:ind w:left="1701"/>
        <w:rPr>
          <w:rFonts w:eastAsia="Calibri"/>
        </w:rPr>
      </w:pPr>
      <w:r>
        <w:t>(f)</w:t>
      </w:r>
      <w:r>
        <w:tab/>
      </w:r>
      <w:r w:rsidR="00640D97">
        <w:t>The hazard s</w:t>
      </w:r>
      <w:r w:rsidRPr="0039484A">
        <w:t>ymbols for 1.5 and 1.6 are different from 1.1</w:t>
      </w:r>
      <w:r>
        <w:t xml:space="preserve"> yet</w:t>
      </w:r>
      <w:r w:rsidRPr="0039484A">
        <w:t xml:space="preserve"> the hazards are identical</w:t>
      </w:r>
      <w:r>
        <w:t>.</w:t>
      </w:r>
    </w:p>
    <w:p w:rsidR="00467159" w:rsidRPr="006E1BDA" w:rsidRDefault="00467159" w:rsidP="00640D97">
      <w:pPr>
        <w:pStyle w:val="SingleTxtG"/>
        <w:ind w:left="1701"/>
        <w:rPr>
          <w:rFonts w:eastAsia="Calibri"/>
        </w:rPr>
      </w:pPr>
      <w:r>
        <w:t>(g)</w:t>
      </w:r>
      <w:r>
        <w:tab/>
        <w:t>The hazard statements for Division 1.4 need scrutiny and clarification as the scope of articles in Division 1.4 is extremely broad and so are the hazards.</w:t>
      </w:r>
    </w:p>
    <w:p w:rsidR="00467159" w:rsidRPr="006E1BDA" w:rsidRDefault="00467159" w:rsidP="00640D97">
      <w:pPr>
        <w:pStyle w:val="H1G"/>
      </w:pPr>
      <w:r>
        <w:tab/>
      </w:r>
      <w:r>
        <w:tab/>
      </w:r>
      <w:r w:rsidRPr="006E1BDA">
        <w:t>Issue 8</w:t>
      </w:r>
      <w:r>
        <w:t>:</w:t>
      </w:r>
      <w:r w:rsidRPr="006E1BDA">
        <w:t xml:space="preserve"> </w:t>
      </w:r>
      <w:r>
        <w:t>T</w:t>
      </w:r>
      <w:r w:rsidRPr="006E1BDA">
        <w:t>he decision logics in Figures 2.1.1 – 2.1.4</w:t>
      </w:r>
    </w:p>
    <w:p w:rsidR="00467159" w:rsidRDefault="00640D97" w:rsidP="00467159">
      <w:pPr>
        <w:pStyle w:val="SingleTxtG"/>
      </w:pPr>
      <w:r>
        <w:t>22.</w:t>
      </w:r>
      <w:r>
        <w:tab/>
      </w:r>
      <w:r w:rsidR="00467159">
        <w:t>The introduction of the concept of risk analysis and managing explosives in processing lends itself to a higher level flow chart that could obviate the need to duplicate the figures that are already in the Manual of Tests and Criteria.</w:t>
      </w:r>
    </w:p>
    <w:p w:rsidR="00467159" w:rsidRDefault="00640D97" w:rsidP="00467159">
      <w:pPr>
        <w:pStyle w:val="SingleTxtG"/>
      </w:pPr>
      <w:r>
        <w:t>23.</w:t>
      </w:r>
      <w:r>
        <w:tab/>
      </w:r>
      <w:r w:rsidR="00467159">
        <w:t>To be resolved: the needs of users of GHS with respect to the decision logic flow charts.  Can a simpler flow chart lead use</w:t>
      </w:r>
      <w:r>
        <w:t>rs to the information they need?</w:t>
      </w:r>
    </w:p>
    <w:p w:rsidR="00467159" w:rsidRPr="00467159" w:rsidRDefault="00467159" w:rsidP="00467159">
      <w:pPr>
        <w:pStyle w:val="SingleTxtG"/>
        <w:spacing w:before="240" w:after="0"/>
        <w:jc w:val="center"/>
        <w:rPr>
          <w:rFonts w:eastAsia="Calibri"/>
          <w:u w:val="single"/>
        </w:rPr>
      </w:pPr>
      <w:r>
        <w:rPr>
          <w:rFonts w:eastAsia="Calibri"/>
          <w:u w:val="single"/>
        </w:rPr>
        <w:tab/>
      </w:r>
      <w:r>
        <w:rPr>
          <w:rFonts w:eastAsia="Calibri"/>
          <w:u w:val="single"/>
        </w:rPr>
        <w:tab/>
      </w:r>
      <w:r>
        <w:rPr>
          <w:rFonts w:eastAsia="Calibri"/>
          <w:u w:val="single"/>
        </w:rPr>
        <w:tab/>
      </w:r>
    </w:p>
    <w:p w:rsidR="00467159" w:rsidRDefault="00467159" w:rsidP="00067A01">
      <w:pPr>
        <w:pStyle w:val="SingleTxtG"/>
      </w:pPr>
    </w:p>
    <w:p w:rsidR="00467159" w:rsidRDefault="00467159" w:rsidP="00067A01">
      <w:pPr>
        <w:pStyle w:val="SingleTxtG"/>
      </w:pPr>
    </w:p>
    <w:p w:rsidR="00467159" w:rsidRDefault="00467159" w:rsidP="00067A01">
      <w:pPr>
        <w:pStyle w:val="SingleTxtG"/>
      </w:pPr>
    </w:p>
    <w:sectPr w:rsidR="00467159" w:rsidSect="00B32E71">
      <w:headerReference w:type="even" r:id="rId10"/>
      <w:headerReference w:type="default" r:id="rId11"/>
      <w:footerReference w:type="even" r:id="rId12"/>
      <w:footerReference w:type="defaul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12C" w:rsidRDefault="00A3312C"/>
  </w:endnote>
  <w:endnote w:type="continuationSeparator" w:id="0">
    <w:p w:rsidR="00A3312C" w:rsidRDefault="00A3312C"/>
  </w:endnote>
  <w:endnote w:type="continuationNotice" w:id="1">
    <w:p w:rsidR="00A3312C" w:rsidRDefault="00A33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9" w:rsidRPr="00B32E71" w:rsidRDefault="004968C9" w:rsidP="00B32E71">
    <w:pPr>
      <w:pStyle w:val="Footer"/>
      <w:tabs>
        <w:tab w:val="right" w:pos="9638"/>
      </w:tabs>
      <w:rPr>
        <w:sz w:val="18"/>
      </w:rPr>
    </w:pPr>
    <w:r w:rsidRPr="00B32E71">
      <w:rPr>
        <w:b/>
        <w:sz w:val="18"/>
      </w:rPr>
      <w:fldChar w:fldCharType="begin"/>
    </w:r>
    <w:r w:rsidRPr="00B32E71">
      <w:rPr>
        <w:b/>
        <w:sz w:val="18"/>
      </w:rPr>
      <w:instrText xml:space="preserve"> PAGE  \* MERGEFORMAT </w:instrText>
    </w:r>
    <w:r w:rsidRPr="00B32E71">
      <w:rPr>
        <w:b/>
        <w:sz w:val="18"/>
      </w:rPr>
      <w:fldChar w:fldCharType="separate"/>
    </w:r>
    <w:r w:rsidR="00DA0E5E">
      <w:rPr>
        <w:b/>
        <w:noProof/>
        <w:sz w:val="18"/>
      </w:rPr>
      <w:t>4</w:t>
    </w:r>
    <w:r w:rsidRPr="00B32E7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9" w:rsidRPr="00B32E71" w:rsidRDefault="004968C9" w:rsidP="00B32E71">
    <w:pPr>
      <w:pStyle w:val="Footer"/>
      <w:tabs>
        <w:tab w:val="right" w:pos="9638"/>
      </w:tabs>
      <w:rPr>
        <w:b/>
        <w:sz w:val="18"/>
      </w:rPr>
    </w:pPr>
    <w:r>
      <w:tab/>
    </w:r>
    <w:r w:rsidRPr="00B32E71">
      <w:rPr>
        <w:b/>
        <w:sz w:val="18"/>
      </w:rPr>
      <w:fldChar w:fldCharType="begin"/>
    </w:r>
    <w:r w:rsidRPr="00B32E71">
      <w:rPr>
        <w:b/>
        <w:sz w:val="18"/>
      </w:rPr>
      <w:instrText xml:space="preserve"> PAGE  \* MERGEFORMAT </w:instrText>
    </w:r>
    <w:r w:rsidRPr="00B32E71">
      <w:rPr>
        <w:b/>
        <w:sz w:val="18"/>
      </w:rPr>
      <w:fldChar w:fldCharType="separate"/>
    </w:r>
    <w:r w:rsidR="00DA0E5E">
      <w:rPr>
        <w:b/>
        <w:noProof/>
        <w:sz w:val="18"/>
      </w:rPr>
      <w:t>3</w:t>
    </w:r>
    <w:r w:rsidRPr="00B32E7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12C" w:rsidRPr="000B175B" w:rsidRDefault="00A3312C" w:rsidP="000B175B">
      <w:pPr>
        <w:tabs>
          <w:tab w:val="right" w:pos="2155"/>
        </w:tabs>
        <w:spacing w:after="80"/>
        <w:ind w:left="680"/>
        <w:rPr>
          <w:u w:val="single"/>
        </w:rPr>
      </w:pPr>
      <w:r>
        <w:rPr>
          <w:u w:val="single"/>
        </w:rPr>
        <w:tab/>
      </w:r>
    </w:p>
  </w:footnote>
  <w:footnote w:type="continuationSeparator" w:id="0">
    <w:p w:rsidR="00A3312C" w:rsidRPr="00FC68B7" w:rsidRDefault="00A3312C" w:rsidP="00FC68B7">
      <w:pPr>
        <w:tabs>
          <w:tab w:val="left" w:pos="2155"/>
        </w:tabs>
        <w:spacing w:after="80"/>
        <w:ind w:left="680"/>
        <w:rPr>
          <w:u w:val="single"/>
        </w:rPr>
      </w:pPr>
      <w:r>
        <w:rPr>
          <w:u w:val="single"/>
        </w:rPr>
        <w:tab/>
      </w:r>
    </w:p>
  </w:footnote>
  <w:footnote w:type="continuationNotice" w:id="1">
    <w:p w:rsidR="00A3312C" w:rsidRDefault="00A3312C"/>
  </w:footnote>
  <w:footnote w:id="2">
    <w:p w:rsidR="001A74D0" w:rsidRPr="001A74D0" w:rsidRDefault="001A74D0" w:rsidP="001A74D0">
      <w:pPr>
        <w:pStyle w:val="FootnoteText"/>
        <w:ind w:firstLine="0"/>
        <w:rPr>
          <w:lang w:val="fr-CH"/>
        </w:rPr>
      </w:pPr>
      <w:r>
        <w:rPr>
          <w:rStyle w:val="FootnoteReference"/>
        </w:rPr>
        <w:footnoteRef/>
      </w:r>
      <w:r>
        <w:t xml:space="preserve"> </w:t>
      </w:r>
      <w:r w:rsidRPr="00554D27">
        <w:t xml:space="preserve">In accordance </w:t>
      </w:r>
      <w:r w:rsidRPr="00221AA5">
        <w:t>with</w:t>
      </w:r>
      <w:r w:rsidRPr="00554D27">
        <w:t xml:space="preserve">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t>ST/SG/AC.10/C.4/56</w:t>
      </w:r>
      <w:r w:rsidRPr="00A04E8C">
        <w:t xml:space="preserve">, </w:t>
      </w:r>
      <w:r>
        <w:t>annex III and ST/SG/AC.10/</w:t>
      </w:r>
      <w:r w:rsidRPr="00A04E8C">
        <w:t>4</w:t>
      </w:r>
      <w:r>
        <w:t>2</w:t>
      </w:r>
      <w:r w:rsidRPr="00A04E8C">
        <w:t>, para. 1</w:t>
      </w:r>
      <w:r>
        <w:t>5</w:t>
      </w:r>
      <w:r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9" w:rsidRPr="00B32E71" w:rsidRDefault="00467159">
    <w:pPr>
      <w:pStyle w:val="Header"/>
    </w:pPr>
    <w:r>
      <w:t>ST/SG/AC.10/C.3/2016</w:t>
    </w:r>
    <w:r w:rsidR="004968C9">
      <w:t>/</w:t>
    </w:r>
    <w:r>
      <w:t>7</w:t>
    </w:r>
    <w:r>
      <w:br/>
      <w:t>ST/SG/AC.10/C.4/2016/2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9" w:rsidRPr="00B32E71" w:rsidRDefault="00467159" w:rsidP="00B32E71">
    <w:pPr>
      <w:pStyle w:val="Header"/>
      <w:jc w:val="right"/>
    </w:pPr>
    <w:r>
      <w:t>ST/SG/AC.10/C.3/2016</w:t>
    </w:r>
    <w:r w:rsidR="004968C9">
      <w:t>/</w:t>
    </w:r>
    <w:r>
      <w:t>7</w:t>
    </w:r>
    <w:r>
      <w:br/>
      <w:t>ST/SG/AC.10/C.4/2016/2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C12436E"/>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147D3CF0"/>
    <w:multiLevelType w:val="hybridMultilevel"/>
    <w:tmpl w:val="F1FACBA6"/>
    <w:lvl w:ilvl="0" w:tplc="04130015">
      <w:start w:val="1"/>
      <w:numFmt w:val="upperLetter"/>
      <w:lvlText w:val="%1."/>
      <w:lvlJc w:val="lef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3">
    <w:nsid w:val="15406193"/>
    <w:multiLevelType w:val="hybridMultilevel"/>
    <w:tmpl w:val="3CCCB084"/>
    <w:lvl w:ilvl="0" w:tplc="8AA4255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3E82CEF"/>
    <w:multiLevelType w:val="hybridMultilevel"/>
    <w:tmpl w:val="2A78C7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8965E42"/>
    <w:multiLevelType w:val="hybridMultilevel"/>
    <w:tmpl w:val="7DCEC512"/>
    <w:lvl w:ilvl="0" w:tplc="5972E01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7">
    <w:nsid w:val="5B535A5D"/>
    <w:multiLevelType w:val="hybridMultilevel"/>
    <w:tmpl w:val="BD9EE1BE"/>
    <w:lvl w:ilvl="0" w:tplc="0413000F">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0"/>
  </w:num>
  <w:num w:numId="14">
    <w:abstractNumId w:val="19"/>
  </w:num>
  <w:num w:numId="15">
    <w:abstractNumId w:val="20"/>
  </w:num>
  <w:num w:numId="16">
    <w:abstractNumId w:val="11"/>
  </w:num>
  <w:num w:numId="17">
    <w:abstractNumId w:val="13"/>
  </w:num>
  <w:num w:numId="18">
    <w:abstractNumId w:val="17"/>
  </w:num>
  <w:num w:numId="19">
    <w:abstractNumId w:val="16"/>
  </w:num>
  <w:num w:numId="20">
    <w:abstractNumId w:val="12"/>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71"/>
    <w:rsid w:val="000504CE"/>
    <w:rsid w:val="00050F6B"/>
    <w:rsid w:val="00067A01"/>
    <w:rsid w:val="00072C8C"/>
    <w:rsid w:val="00091419"/>
    <w:rsid w:val="000931C0"/>
    <w:rsid w:val="000B175B"/>
    <w:rsid w:val="000B3A0F"/>
    <w:rsid w:val="000D4D3B"/>
    <w:rsid w:val="000D4ED7"/>
    <w:rsid w:val="000E0415"/>
    <w:rsid w:val="00117787"/>
    <w:rsid w:val="00131D42"/>
    <w:rsid w:val="001633FB"/>
    <w:rsid w:val="00164A94"/>
    <w:rsid w:val="00167786"/>
    <w:rsid w:val="0019759D"/>
    <w:rsid w:val="001A74D0"/>
    <w:rsid w:val="001B4B04"/>
    <w:rsid w:val="001C6663"/>
    <w:rsid w:val="001C7895"/>
    <w:rsid w:val="001D26DF"/>
    <w:rsid w:val="001D2FDC"/>
    <w:rsid w:val="00210437"/>
    <w:rsid w:val="00211E0B"/>
    <w:rsid w:val="002309A7"/>
    <w:rsid w:val="00237785"/>
    <w:rsid w:val="00241466"/>
    <w:rsid w:val="002725CA"/>
    <w:rsid w:val="00275A85"/>
    <w:rsid w:val="00280EB7"/>
    <w:rsid w:val="0028722A"/>
    <w:rsid w:val="002B1CDA"/>
    <w:rsid w:val="002D3762"/>
    <w:rsid w:val="002E0EA9"/>
    <w:rsid w:val="002E491A"/>
    <w:rsid w:val="00301B26"/>
    <w:rsid w:val="003107FA"/>
    <w:rsid w:val="00313B12"/>
    <w:rsid w:val="003229D8"/>
    <w:rsid w:val="0037055C"/>
    <w:rsid w:val="0039277A"/>
    <w:rsid w:val="003972E0"/>
    <w:rsid w:val="003A0A49"/>
    <w:rsid w:val="003C2CC4"/>
    <w:rsid w:val="003D4B23"/>
    <w:rsid w:val="003E3B22"/>
    <w:rsid w:val="004325CB"/>
    <w:rsid w:val="00437F3F"/>
    <w:rsid w:val="00446DE4"/>
    <w:rsid w:val="00454036"/>
    <w:rsid w:val="00466784"/>
    <w:rsid w:val="00467159"/>
    <w:rsid w:val="004753F4"/>
    <w:rsid w:val="004968C9"/>
    <w:rsid w:val="004B2C9D"/>
    <w:rsid w:val="004B3ED4"/>
    <w:rsid w:val="004B41B3"/>
    <w:rsid w:val="004C603B"/>
    <w:rsid w:val="00527910"/>
    <w:rsid w:val="005420F2"/>
    <w:rsid w:val="00556D12"/>
    <w:rsid w:val="00590144"/>
    <w:rsid w:val="005B3DB3"/>
    <w:rsid w:val="005C1CFB"/>
    <w:rsid w:val="005D3F9E"/>
    <w:rsid w:val="00611FC4"/>
    <w:rsid w:val="006176FB"/>
    <w:rsid w:val="00625422"/>
    <w:rsid w:val="0063419C"/>
    <w:rsid w:val="00640B26"/>
    <w:rsid w:val="00640D97"/>
    <w:rsid w:val="006500BA"/>
    <w:rsid w:val="00684EED"/>
    <w:rsid w:val="006A7392"/>
    <w:rsid w:val="006C0D34"/>
    <w:rsid w:val="006D4C3B"/>
    <w:rsid w:val="006E564B"/>
    <w:rsid w:val="007138DC"/>
    <w:rsid w:val="0072632A"/>
    <w:rsid w:val="00767A28"/>
    <w:rsid w:val="00786700"/>
    <w:rsid w:val="00790791"/>
    <w:rsid w:val="007B1A7E"/>
    <w:rsid w:val="007B6BA5"/>
    <w:rsid w:val="007C3390"/>
    <w:rsid w:val="007C4F4B"/>
    <w:rsid w:val="007D08FA"/>
    <w:rsid w:val="007F6611"/>
    <w:rsid w:val="008175E9"/>
    <w:rsid w:val="008242D7"/>
    <w:rsid w:val="00871FD5"/>
    <w:rsid w:val="008979B1"/>
    <w:rsid w:val="008A6B25"/>
    <w:rsid w:val="008A6C4F"/>
    <w:rsid w:val="008E0E46"/>
    <w:rsid w:val="0091455B"/>
    <w:rsid w:val="009428DE"/>
    <w:rsid w:val="00945A5D"/>
    <w:rsid w:val="00963CBA"/>
    <w:rsid w:val="00987AC2"/>
    <w:rsid w:val="0099124E"/>
    <w:rsid w:val="00991261"/>
    <w:rsid w:val="009D1AAE"/>
    <w:rsid w:val="009F0F06"/>
    <w:rsid w:val="00A1427D"/>
    <w:rsid w:val="00A226AB"/>
    <w:rsid w:val="00A3312C"/>
    <w:rsid w:val="00A72F22"/>
    <w:rsid w:val="00A748A6"/>
    <w:rsid w:val="00A75EC9"/>
    <w:rsid w:val="00A8523D"/>
    <w:rsid w:val="00A879A4"/>
    <w:rsid w:val="00A90FBD"/>
    <w:rsid w:val="00A9473C"/>
    <w:rsid w:val="00A965E0"/>
    <w:rsid w:val="00AC309F"/>
    <w:rsid w:val="00AC3E21"/>
    <w:rsid w:val="00AD7635"/>
    <w:rsid w:val="00B01BAA"/>
    <w:rsid w:val="00B0557D"/>
    <w:rsid w:val="00B30179"/>
    <w:rsid w:val="00B32E71"/>
    <w:rsid w:val="00B3317B"/>
    <w:rsid w:val="00B575C2"/>
    <w:rsid w:val="00B81E12"/>
    <w:rsid w:val="00B86535"/>
    <w:rsid w:val="00B93068"/>
    <w:rsid w:val="00BC74E9"/>
    <w:rsid w:val="00BE2E7A"/>
    <w:rsid w:val="00BE618E"/>
    <w:rsid w:val="00BF48B8"/>
    <w:rsid w:val="00C42903"/>
    <w:rsid w:val="00C45FFF"/>
    <w:rsid w:val="00C463DD"/>
    <w:rsid w:val="00C62F76"/>
    <w:rsid w:val="00C70CA4"/>
    <w:rsid w:val="00C745C3"/>
    <w:rsid w:val="00CD3225"/>
    <w:rsid w:val="00CE46BA"/>
    <w:rsid w:val="00CE4A8F"/>
    <w:rsid w:val="00CF0967"/>
    <w:rsid w:val="00D14B76"/>
    <w:rsid w:val="00D2031B"/>
    <w:rsid w:val="00D25FE2"/>
    <w:rsid w:val="00D41A41"/>
    <w:rsid w:val="00D43252"/>
    <w:rsid w:val="00D46231"/>
    <w:rsid w:val="00D70372"/>
    <w:rsid w:val="00D753D8"/>
    <w:rsid w:val="00D96CC5"/>
    <w:rsid w:val="00D978C6"/>
    <w:rsid w:val="00DA0E5E"/>
    <w:rsid w:val="00DA67AD"/>
    <w:rsid w:val="00DE4468"/>
    <w:rsid w:val="00DF7957"/>
    <w:rsid w:val="00E130AB"/>
    <w:rsid w:val="00E16699"/>
    <w:rsid w:val="00E1679E"/>
    <w:rsid w:val="00E5644E"/>
    <w:rsid w:val="00E7260F"/>
    <w:rsid w:val="00E81230"/>
    <w:rsid w:val="00E8535A"/>
    <w:rsid w:val="00E96630"/>
    <w:rsid w:val="00EA772F"/>
    <w:rsid w:val="00EB2643"/>
    <w:rsid w:val="00EB6832"/>
    <w:rsid w:val="00EC271A"/>
    <w:rsid w:val="00EC54BC"/>
    <w:rsid w:val="00ED7A2A"/>
    <w:rsid w:val="00EF1D7F"/>
    <w:rsid w:val="00EF4878"/>
    <w:rsid w:val="00EF760C"/>
    <w:rsid w:val="00F108B0"/>
    <w:rsid w:val="00F40E75"/>
    <w:rsid w:val="00F54674"/>
    <w:rsid w:val="00F569E3"/>
    <w:rsid w:val="00F74545"/>
    <w:rsid w:val="00FA5827"/>
    <w:rsid w:val="00FC68B7"/>
    <w:rsid w:val="00FD6B2B"/>
    <w:rsid w:val="00FF03BB"/>
    <w:rsid w:val="00FF4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B32E71"/>
    <w:pPr>
      <w:spacing w:line="240" w:lineRule="auto"/>
    </w:pPr>
    <w:rPr>
      <w:rFonts w:ascii="Tahoma" w:hAnsi="Tahoma" w:cs="Tahoma"/>
      <w:sz w:val="16"/>
      <w:szCs w:val="16"/>
    </w:rPr>
  </w:style>
  <w:style w:type="character" w:customStyle="1" w:styleId="BalloonTextChar">
    <w:name w:val="Balloon Text Char"/>
    <w:link w:val="BalloonText"/>
    <w:rsid w:val="00B32E71"/>
    <w:rPr>
      <w:rFonts w:ascii="Tahoma" w:hAnsi="Tahoma" w:cs="Tahoma"/>
      <w:sz w:val="16"/>
      <w:szCs w:val="16"/>
      <w:lang w:eastAsia="en-US"/>
    </w:rPr>
  </w:style>
  <w:style w:type="character" w:customStyle="1" w:styleId="SingleTxtGCar">
    <w:name w:val="_ Single Txt_G Car"/>
    <w:link w:val="SingleTxtG"/>
    <w:rsid w:val="004C603B"/>
    <w:rPr>
      <w:lang w:eastAsia="en-US"/>
    </w:rPr>
  </w:style>
  <w:style w:type="paragraph" w:customStyle="1" w:styleId="Default">
    <w:name w:val="Default"/>
    <w:rsid w:val="004C603B"/>
    <w:pPr>
      <w:widowControl w:val="0"/>
      <w:autoSpaceDE w:val="0"/>
      <w:autoSpaceDN w:val="0"/>
      <w:adjustRightInd w:val="0"/>
    </w:pPr>
    <w:rPr>
      <w:color w:val="000000"/>
      <w:sz w:val="24"/>
      <w:szCs w:val="24"/>
      <w:lang w:val="en-US" w:eastAsia="en-US"/>
    </w:rPr>
  </w:style>
  <w:style w:type="character" w:customStyle="1" w:styleId="FootnoteTextChar">
    <w:name w:val="Footnote Text Char"/>
    <w:aliases w:val="5_G Char"/>
    <w:link w:val="FootnoteText"/>
    <w:rsid w:val="004C603B"/>
    <w:rPr>
      <w:sz w:val="18"/>
      <w:lang w:eastAsia="en-US"/>
    </w:rPr>
  </w:style>
  <w:style w:type="paragraph" w:styleId="ListParagraph">
    <w:name w:val="List Paragraph"/>
    <w:basedOn w:val="Normal"/>
    <w:uiPriority w:val="34"/>
    <w:qFormat/>
    <w:rsid w:val="00767A28"/>
    <w:pPr>
      <w:suppressAutoHyphens w:val="0"/>
      <w:ind w:left="720"/>
      <w:contextualSpacing/>
    </w:pPr>
    <w:rPr>
      <w:rFonts w:ascii="Arial" w:eastAsia="Calibri" w:hAnsi="Arial" w:cs="Arial"/>
      <w:sz w:val="22"/>
      <w:szCs w:val="22"/>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B32E71"/>
    <w:pPr>
      <w:spacing w:line="240" w:lineRule="auto"/>
    </w:pPr>
    <w:rPr>
      <w:rFonts w:ascii="Tahoma" w:hAnsi="Tahoma" w:cs="Tahoma"/>
      <w:sz w:val="16"/>
      <w:szCs w:val="16"/>
    </w:rPr>
  </w:style>
  <w:style w:type="character" w:customStyle="1" w:styleId="BalloonTextChar">
    <w:name w:val="Balloon Text Char"/>
    <w:link w:val="BalloonText"/>
    <w:rsid w:val="00B32E71"/>
    <w:rPr>
      <w:rFonts w:ascii="Tahoma" w:hAnsi="Tahoma" w:cs="Tahoma"/>
      <w:sz w:val="16"/>
      <w:szCs w:val="16"/>
      <w:lang w:eastAsia="en-US"/>
    </w:rPr>
  </w:style>
  <w:style w:type="character" w:customStyle="1" w:styleId="SingleTxtGCar">
    <w:name w:val="_ Single Txt_G Car"/>
    <w:link w:val="SingleTxtG"/>
    <w:rsid w:val="004C603B"/>
    <w:rPr>
      <w:lang w:eastAsia="en-US"/>
    </w:rPr>
  </w:style>
  <w:style w:type="paragraph" w:customStyle="1" w:styleId="Default">
    <w:name w:val="Default"/>
    <w:rsid w:val="004C603B"/>
    <w:pPr>
      <w:widowControl w:val="0"/>
      <w:autoSpaceDE w:val="0"/>
      <w:autoSpaceDN w:val="0"/>
      <w:adjustRightInd w:val="0"/>
    </w:pPr>
    <w:rPr>
      <w:color w:val="000000"/>
      <w:sz w:val="24"/>
      <w:szCs w:val="24"/>
      <w:lang w:val="en-US" w:eastAsia="en-US"/>
    </w:rPr>
  </w:style>
  <w:style w:type="character" w:customStyle="1" w:styleId="FootnoteTextChar">
    <w:name w:val="Footnote Text Char"/>
    <w:aliases w:val="5_G Char"/>
    <w:link w:val="FootnoteText"/>
    <w:rsid w:val="004C603B"/>
    <w:rPr>
      <w:sz w:val="18"/>
      <w:lang w:eastAsia="en-US"/>
    </w:rPr>
  </w:style>
  <w:style w:type="paragraph" w:styleId="ListParagraph">
    <w:name w:val="List Paragraph"/>
    <w:basedOn w:val="Normal"/>
    <w:uiPriority w:val="34"/>
    <w:qFormat/>
    <w:rsid w:val="00767A28"/>
    <w:pPr>
      <w:suppressAutoHyphens w:val="0"/>
      <w:ind w:left="720"/>
      <w:contextualSpacing/>
    </w:pPr>
    <w:rPr>
      <w:rFonts w:ascii="Arial" w:eastAsia="Calibri" w:hAnsi="Arial" w:cs="Ari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BA63C-2D92-48B1-B07D-2CDAC818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TotalTime>
  <Pages>4</Pages>
  <Words>1315</Words>
  <Characters>7500</Characters>
  <Application>Microsoft Office Word</Application>
  <DocSecurity>0</DocSecurity>
  <Lines>62</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barrio-champeau</cp:lastModifiedBy>
  <cp:revision>3</cp:revision>
  <cp:lastPrinted>2016-04-01T12:47:00Z</cp:lastPrinted>
  <dcterms:created xsi:type="dcterms:W3CDTF">2016-04-01T12:48:00Z</dcterms:created>
  <dcterms:modified xsi:type="dcterms:W3CDTF">2016-04-05T15:27:00Z</dcterms:modified>
</cp:coreProperties>
</file>