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F05D56" w:rsidTr="009F0F06">
        <w:trPr>
          <w:trHeight w:val="851"/>
        </w:trPr>
        <w:tc>
          <w:tcPr>
            <w:tcW w:w="1259" w:type="dxa"/>
            <w:tcBorders>
              <w:top w:val="nil"/>
              <w:left w:val="nil"/>
              <w:bottom w:val="single" w:sz="4" w:space="0" w:color="auto"/>
              <w:right w:val="nil"/>
            </w:tcBorders>
          </w:tcPr>
          <w:p w:rsidR="00446DE4" w:rsidRDefault="00446DE4" w:rsidP="00F54674">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446DE4" w:rsidRPr="00963CBA" w:rsidRDefault="00B3317B" w:rsidP="00F5467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F05D56" w:rsidRDefault="00F21F13" w:rsidP="008032AF">
            <w:pPr>
              <w:jc w:val="right"/>
              <w:rPr>
                <w:highlight w:val="yellow"/>
              </w:rPr>
            </w:pPr>
            <w:r w:rsidRPr="008032AF">
              <w:rPr>
                <w:sz w:val="40"/>
              </w:rPr>
              <w:t>ST</w:t>
            </w:r>
            <w:r w:rsidRPr="008032AF">
              <w:t>/SG/AC.10/C.4/</w:t>
            </w:r>
            <w:r w:rsidR="00F05D56" w:rsidRPr="008032AF">
              <w:t>2016</w:t>
            </w:r>
            <w:r w:rsidRPr="008032AF">
              <w:t>/</w:t>
            </w:r>
            <w:r w:rsidR="008032AF">
              <w:t>8</w:t>
            </w:r>
          </w:p>
        </w:tc>
      </w:tr>
      <w:tr w:rsidR="003107FA" w:rsidTr="009F0F06">
        <w:trPr>
          <w:trHeight w:val="2835"/>
        </w:trPr>
        <w:tc>
          <w:tcPr>
            <w:tcW w:w="1259" w:type="dxa"/>
            <w:tcBorders>
              <w:top w:val="single" w:sz="4" w:space="0" w:color="auto"/>
              <w:left w:val="nil"/>
              <w:bottom w:val="single" w:sz="12" w:space="0" w:color="auto"/>
              <w:right w:val="nil"/>
            </w:tcBorders>
          </w:tcPr>
          <w:p w:rsidR="003107FA" w:rsidRDefault="00057FD8" w:rsidP="002B1CDA">
            <w:pPr>
              <w:spacing w:before="120"/>
              <w:jc w:val="center"/>
            </w:pPr>
            <w:r>
              <w:rPr>
                <w:noProof/>
                <w:lang w:eastAsia="en-GB"/>
              </w:rPr>
              <w:drawing>
                <wp:inline distT="0" distB="0" distL="0" distR="0" wp14:anchorId="1E90005C" wp14:editId="156A8D03">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D96CC5" w:rsidP="001633FB">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rsidR="003107FA" w:rsidRDefault="00F21F13" w:rsidP="00F21F13">
            <w:pPr>
              <w:spacing w:before="240" w:line="240" w:lineRule="exact"/>
            </w:pPr>
            <w:r>
              <w:t>Distr.: General</w:t>
            </w:r>
          </w:p>
          <w:p w:rsidR="00F21F13" w:rsidRDefault="00F05D56" w:rsidP="00F21F13">
            <w:pPr>
              <w:spacing w:line="240" w:lineRule="exact"/>
            </w:pPr>
            <w:r>
              <w:t>1</w:t>
            </w:r>
            <w:r w:rsidR="008329C1">
              <w:t>8</w:t>
            </w:r>
            <w:r>
              <w:t xml:space="preserve"> April 2016</w:t>
            </w:r>
          </w:p>
          <w:p w:rsidR="00F21F13" w:rsidRDefault="00F21F13" w:rsidP="00F21F13">
            <w:pPr>
              <w:spacing w:line="240" w:lineRule="exact"/>
            </w:pPr>
          </w:p>
          <w:p w:rsidR="00F21F13" w:rsidRDefault="00F21F13" w:rsidP="00F21F13">
            <w:pPr>
              <w:spacing w:line="240" w:lineRule="exact"/>
            </w:pPr>
            <w:r>
              <w:t>Original: English</w:t>
            </w:r>
          </w:p>
        </w:tc>
      </w:tr>
    </w:tbl>
    <w:p w:rsidR="009F0F06" w:rsidRPr="009F0F06" w:rsidRDefault="009F0F06" w:rsidP="009F0F06">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rsidR="009F0F06" w:rsidRPr="009F0F06" w:rsidRDefault="009F0F06" w:rsidP="009F0F06">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rsidR="00FD124E" w:rsidRDefault="00F05D56" w:rsidP="00FD124E">
      <w:pPr>
        <w:spacing w:before="120"/>
        <w:rPr>
          <w:b/>
        </w:rPr>
      </w:pPr>
      <w:r>
        <w:rPr>
          <w:b/>
        </w:rPr>
        <w:t xml:space="preserve">Thirty-first </w:t>
      </w:r>
      <w:proofErr w:type="gramStart"/>
      <w:r w:rsidR="00FD124E">
        <w:rPr>
          <w:b/>
        </w:rPr>
        <w:t>session</w:t>
      </w:r>
      <w:proofErr w:type="gramEnd"/>
    </w:p>
    <w:p w:rsidR="00FD124E" w:rsidRDefault="00FD124E" w:rsidP="00FD124E">
      <w:r w:rsidRPr="006E39A4">
        <w:t xml:space="preserve">Geneva, </w:t>
      </w:r>
      <w:r w:rsidR="00F05D56">
        <w:t xml:space="preserve">5 </w:t>
      </w:r>
      <w:proofErr w:type="gramStart"/>
      <w:r>
        <w:t xml:space="preserve">–  </w:t>
      </w:r>
      <w:r w:rsidR="00F05D56">
        <w:t>8</w:t>
      </w:r>
      <w:proofErr w:type="gramEnd"/>
      <w:r w:rsidR="00F05D56">
        <w:t xml:space="preserve"> July 2016</w:t>
      </w:r>
    </w:p>
    <w:p w:rsidR="00FD124E" w:rsidRPr="006E39A4" w:rsidRDefault="00FD124E" w:rsidP="00FD124E">
      <w:r w:rsidRPr="005D6F23">
        <w:t xml:space="preserve">Item </w:t>
      </w:r>
      <w:r w:rsidRPr="00355ABA">
        <w:t>4 (a)</w:t>
      </w:r>
      <w:r w:rsidRPr="005D6F23">
        <w:t xml:space="preserve"> of the provisional agenda</w:t>
      </w:r>
    </w:p>
    <w:p w:rsidR="00FD124E" w:rsidRDefault="00FD124E" w:rsidP="00FD124E">
      <w:pPr>
        <w:suppressAutoHyphens w:val="0"/>
        <w:spacing w:line="240" w:lineRule="auto"/>
        <w:rPr>
          <w:b/>
        </w:rPr>
      </w:pPr>
      <w:r w:rsidRPr="005D6F23">
        <w:rPr>
          <w:b/>
        </w:rPr>
        <w:t xml:space="preserve">Hazard communication issues: </w:t>
      </w:r>
      <w:r w:rsidRPr="005D6F23">
        <w:rPr>
          <w:b/>
        </w:rPr>
        <w:br/>
        <w:t xml:space="preserve">Labelling of small </w:t>
      </w:r>
      <w:proofErr w:type="spellStart"/>
      <w:r w:rsidRPr="005D6F23">
        <w:rPr>
          <w:b/>
        </w:rPr>
        <w:t>packagings</w:t>
      </w:r>
      <w:proofErr w:type="spellEnd"/>
      <w:r w:rsidRPr="005D6F23">
        <w:rPr>
          <w:b/>
        </w:rPr>
        <w:t xml:space="preserve"> </w:t>
      </w:r>
    </w:p>
    <w:p w:rsidR="00FD124E" w:rsidRPr="00350D06" w:rsidRDefault="00FD124E" w:rsidP="00FD124E">
      <w:pPr>
        <w:pStyle w:val="HChG"/>
        <w:rPr>
          <w:rFonts w:eastAsia="MS Mincho"/>
        </w:rPr>
      </w:pPr>
      <w:r w:rsidRPr="00350D06">
        <w:rPr>
          <w:rFonts w:eastAsia="MS Mincho"/>
        </w:rPr>
        <w:tab/>
      </w:r>
      <w:r w:rsidRPr="00350D06">
        <w:rPr>
          <w:rFonts w:eastAsia="MS Mincho"/>
        </w:rPr>
        <w:tab/>
        <w:t xml:space="preserve">Labelling of small </w:t>
      </w:r>
      <w:proofErr w:type="spellStart"/>
      <w:r w:rsidRPr="00350D06">
        <w:rPr>
          <w:rFonts w:eastAsia="MS Mincho"/>
        </w:rPr>
        <w:t>packagings</w:t>
      </w:r>
      <w:proofErr w:type="spellEnd"/>
    </w:p>
    <w:p w:rsidR="00FD124E" w:rsidRPr="00350D06" w:rsidRDefault="00FD124E" w:rsidP="00FD124E">
      <w:pPr>
        <w:pStyle w:val="H1G"/>
        <w:rPr>
          <w:rFonts w:eastAsia="MS Mincho"/>
        </w:rPr>
      </w:pPr>
      <w:r w:rsidRPr="00350D06">
        <w:rPr>
          <w:rFonts w:eastAsia="MS Mincho"/>
        </w:rPr>
        <w:tab/>
      </w:r>
      <w:r w:rsidRPr="00350D06">
        <w:rPr>
          <w:rFonts w:eastAsia="MS Mincho"/>
        </w:rPr>
        <w:tab/>
        <w:t>Transmitted by the European Chemical Industry Council (CEFIC) on behalf of the informal correspondence group</w:t>
      </w:r>
      <w:r>
        <w:rPr>
          <w:rStyle w:val="FootnoteReference"/>
          <w:rFonts w:eastAsia="MS Mincho"/>
        </w:rPr>
        <w:footnoteReference w:id="2"/>
      </w:r>
    </w:p>
    <w:p w:rsidR="00FD124E" w:rsidRPr="00350D06" w:rsidRDefault="00FD124E" w:rsidP="00FD124E">
      <w:pPr>
        <w:pStyle w:val="HChG"/>
        <w:rPr>
          <w:highlight w:val="red"/>
        </w:rPr>
      </w:pPr>
      <w:r w:rsidRPr="00350D06">
        <w:tab/>
      </w:r>
      <w:r w:rsidRPr="00350D06">
        <w:tab/>
        <w:t>Introduction</w:t>
      </w:r>
    </w:p>
    <w:p w:rsidR="00FD124E" w:rsidRPr="00350D06" w:rsidRDefault="00FD124E" w:rsidP="00FD124E">
      <w:pPr>
        <w:pStyle w:val="SingleTxtG"/>
      </w:pPr>
      <w:r w:rsidRPr="00350D06">
        <w:t>1.</w:t>
      </w:r>
      <w:r w:rsidRPr="00350D06">
        <w:tab/>
      </w:r>
      <w:r w:rsidRPr="006F617C">
        <w:t xml:space="preserve">At its </w:t>
      </w:r>
      <w:r w:rsidR="00F05D56">
        <w:t>30</w:t>
      </w:r>
      <w:r w:rsidR="00F05D56" w:rsidRPr="006F617C">
        <w:t xml:space="preserve">th </w:t>
      </w:r>
      <w:r w:rsidRPr="006F617C">
        <w:t xml:space="preserve">session the Sub-Committee </w:t>
      </w:r>
      <w:r>
        <w:t xml:space="preserve">noted that the correspondence group suggested some amendments to the proposed second example </w:t>
      </w:r>
      <w:r w:rsidRPr="006F617C">
        <w:t xml:space="preserve">illustrating some of the general principles applicable to the labelling of small </w:t>
      </w:r>
      <w:proofErr w:type="spellStart"/>
      <w:r w:rsidRPr="006F617C">
        <w:t>packagings</w:t>
      </w:r>
      <w:proofErr w:type="spellEnd"/>
      <w:r w:rsidRPr="006F617C">
        <w:t xml:space="preserve"> (see document ST/SG/AC.10/</w:t>
      </w:r>
      <w:r>
        <w:t>C.4/</w:t>
      </w:r>
      <w:r w:rsidRPr="006F617C">
        <w:t>201</w:t>
      </w:r>
      <w:r>
        <w:t>5</w:t>
      </w:r>
      <w:r w:rsidRPr="006F617C">
        <w:t>/</w:t>
      </w:r>
      <w:r w:rsidR="00EB7F13">
        <w:t>14</w:t>
      </w:r>
      <w:r w:rsidRPr="006F617C">
        <w:t>) which had been proposed for in</w:t>
      </w:r>
      <w:r>
        <w:t xml:space="preserve">clusion in Annex 7 of the GHS. </w:t>
      </w:r>
    </w:p>
    <w:p w:rsidR="00FD124E" w:rsidRPr="00350D06" w:rsidRDefault="00FD124E" w:rsidP="00FD124E">
      <w:pPr>
        <w:pStyle w:val="HChG"/>
      </w:pPr>
      <w:r>
        <w:tab/>
      </w:r>
      <w:r>
        <w:tab/>
      </w:r>
      <w:r w:rsidRPr="00350D06">
        <w:t>Development of an example for fold-out labels</w:t>
      </w:r>
    </w:p>
    <w:p w:rsidR="00BE4D65" w:rsidRDefault="00FD124E" w:rsidP="00BE4D65">
      <w:pPr>
        <w:pStyle w:val="SingleTxtG"/>
      </w:pPr>
      <w:r w:rsidRPr="00350D06">
        <w:t>2.</w:t>
      </w:r>
      <w:r w:rsidRPr="00350D06">
        <w:tab/>
      </w:r>
      <w:r w:rsidR="00EB7F13" w:rsidRPr="006F617C">
        <w:t>Th</w:t>
      </w:r>
      <w:r w:rsidR="00EB7F13">
        <w:t xml:space="preserve">e amendments that were still required have been implemented in the example. The explanations have been removed, to just show the example as it should be implemented. </w:t>
      </w:r>
    </w:p>
    <w:p w:rsidR="00FD124E" w:rsidRPr="007A6195" w:rsidRDefault="00BE4D65" w:rsidP="00BE4D65">
      <w:pPr>
        <w:pStyle w:val="HChG"/>
      </w:pPr>
      <w:r>
        <w:tab/>
      </w:r>
      <w:r>
        <w:tab/>
      </w:r>
      <w:r w:rsidR="00FD124E" w:rsidRPr="007A6195">
        <w:t>Proposal</w:t>
      </w:r>
    </w:p>
    <w:p w:rsidR="00FD124E" w:rsidRDefault="00EB7F13" w:rsidP="00FD124E">
      <w:pPr>
        <w:pStyle w:val="SingleTxtG"/>
        <w:rPr>
          <w:lang w:val="en-US"/>
        </w:rPr>
      </w:pPr>
      <w:r>
        <w:rPr>
          <w:lang w:val="en-US"/>
        </w:rPr>
        <w:t>3</w:t>
      </w:r>
      <w:r w:rsidR="000F3F77">
        <w:rPr>
          <w:lang w:val="en-US"/>
        </w:rPr>
        <w:t>.</w:t>
      </w:r>
      <w:r w:rsidR="000F3F77">
        <w:rPr>
          <w:lang w:val="en-US"/>
        </w:rPr>
        <w:tab/>
      </w:r>
      <w:r w:rsidR="00FD124E">
        <w:rPr>
          <w:lang w:val="en-US"/>
        </w:rPr>
        <w:t xml:space="preserve">Add a new example in annex 7 of the GHS as set out </w:t>
      </w:r>
      <w:r w:rsidR="00BA7758">
        <w:rPr>
          <w:lang w:val="en-US"/>
        </w:rPr>
        <w:t>hereafter</w:t>
      </w:r>
      <w:r w:rsidR="00FD124E">
        <w:rPr>
          <w:lang w:val="en-US"/>
        </w:rPr>
        <w:t>.</w:t>
      </w:r>
    </w:p>
    <w:p w:rsidR="00FD124E" w:rsidRPr="004E2A2D" w:rsidRDefault="000F3F77" w:rsidP="00DA4A0E">
      <w:pPr>
        <w:pStyle w:val="H1G"/>
        <w:rPr>
          <w:lang w:val="en-US"/>
        </w:rPr>
      </w:pPr>
      <w:r>
        <w:rPr>
          <w:lang w:val="en-US"/>
        </w:rPr>
        <w:lastRenderedPageBreak/>
        <w:tab/>
      </w:r>
      <w:r>
        <w:rPr>
          <w:lang w:val="en-US"/>
        </w:rPr>
        <w:tab/>
        <w:t>“</w:t>
      </w:r>
      <w:r w:rsidR="00FD124E" w:rsidRPr="004E2A2D">
        <w:rPr>
          <w:lang w:val="en-US"/>
        </w:rPr>
        <w:t>Example 9: Example for fold-out label</w:t>
      </w:r>
    </w:p>
    <w:p w:rsidR="00FD124E" w:rsidRPr="005C7884" w:rsidRDefault="00FD124E" w:rsidP="00FD124E">
      <w:pPr>
        <w:pStyle w:val="H23G"/>
        <w:spacing w:after="80"/>
      </w:pPr>
      <w:r>
        <w:tab/>
      </w:r>
      <w:r>
        <w:tab/>
      </w:r>
      <w:r w:rsidRPr="005C7884">
        <w:t>Metal container with 100 ml capacity</w:t>
      </w:r>
      <w:r w:rsidRPr="005C7884" w:rsidDel="00FA1771">
        <w:t xml:space="preserve"> </w:t>
      </w:r>
    </w:p>
    <w:p w:rsidR="00FD124E" w:rsidRPr="005C7884" w:rsidRDefault="00FD124E" w:rsidP="00FD124E">
      <w:pPr>
        <w:spacing w:before="240"/>
        <w:ind w:left="1134" w:right="1134"/>
        <w:jc w:val="center"/>
        <w:rPr>
          <w:b/>
          <w:lang w:val="en-US"/>
        </w:rPr>
      </w:pPr>
      <w:r>
        <w:rPr>
          <w:noProof/>
          <w:lang w:eastAsia="en-GB"/>
        </w:rPr>
        <w:drawing>
          <wp:inline distT="0" distB="0" distL="0" distR="0" wp14:anchorId="49DB2FD4" wp14:editId="78C6AD5B">
            <wp:extent cx="1943100" cy="3830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3830955"/>
                    </a:xfrm>
                    <a:prstGeom prst="rect">
                      <a:avLst/>
                    </a:prstGeom>
                    <a:noFill/>
                    <a:ln>
                      <a:noFill/>
                    </a:ln>
                  </pic:spPr>
                </pic:pic>
              </a:graphicData>
            </a:graphic>
          </wp:inline>
        </w:drawing>
      </w:r>
    </w:p>
    <w:p w:rsidR="00FD124E" w:rsidRDefault="00FD124E" w:rsidP="00FD124E">
      <w:pPr>
        <w:pStyle w:val="SingleTxtG"/>
      </w:pPr>
      <w:r>
        <w:t xml:space="preserve">A </w:t>
      </w:r>
      <w:r w:rsidRPr="005C7884">
        <w:t>fold</w:t>
      </w:r>
      <w:r>
        <w:t>-</w:t>
      </w:r>
      <w:r w:rsidRPr="005C7884">
        <w:t>out label is securely affixed to the immediate container (i.e. the fold-out label is attached so that it remains affixed during the foreseeable conditions and period of use). The fold-out label is produced in such a way that the front part cannot be detached from the remainder of the label</w:t>
      </w:r>
      <w:r w:rsidR="00EB7F13">
        <w:t xml:space="preserve"> and the label can be closed again so it is not hanging loose</w:t>
      </w:r>
      <w:r>
        <w:t>.</w:t>
      </w:r>
    </w:p>
    <w:p w:rsidR="000F3F77" w:rsidRDefault="00FD124E" w:rsidP="00FD124E">
      <w:pPr>
        <w:pStyle w:val="SingleTxtG"/>
        <w:rPr>
          <w:lang w:val="en-US"/>
        </w:rPr>
      </w:pPr>
      <w:r w:rsidRPr="005C7884">
        <w:rPr>
          <w:lang w:val="en-US"/>
        </w:rPr>
        <w:t>The information is structured as follows</w:t>
      </w:r>
      <w:r>
        <w:rPr>
          <w:lang w:val="en-US"/>
        </w:rPr>
        <w:t xml:space="preserve"> and is provided, if applicable, in all the languages used for the label</w:t>
      </w:r>
      <w:r w:rsidRPr="005C7884">
        <w:rPr>
          <w:lang w:val="en-US"/>
        </w:rPr>
        <w:t>:</w:t>
      </w:r>
    </w:p>
    <w:p w:rsidR="00FD124E" w:rsidRPr="00FD6F7A" w:rsidRDefault="00FD124E" w:rsidP="00FD124E">
      <w:pPr>
        <w:pStyle w:val="H23G"/>
        <w:rPr>
          <w:lang w:val="en-US"/>
        </w:rPr>
      </w:pPr>
      <w:r>
        <w:rPr>
          <w:lang w:val="en-US"/>
        </w:rPr>
        <w:tab/>
      </w:r>
      <w:r>
        <w:rPr>
          <w:lang w:val="en-US"/>
        </w:rPr>
        <w:tab/>
        <w:t xml:space="preserve">Front page </w:t>
      </w:r>
    </w:p>
    <w:p w:rsidR="00FD124E" w:rsidRPr="00DA4A0E" w:rsidRDefault="00FD124E" w:rsidP="00DA4A0E">
      <w:pPr>
        <w:pStyle w:val="SingleTxtG"/>
      </w:pPr>
      <w:r w:rsidRPr="00DA4A0E">
        <w:t>Information to be provided on the front page of the multilayer/fold-out label should contain at least:</w:t>
      </w:r>
    </w:p>
    <w:p w:rsidR="00FD124E" w:rsidRPr="00DA4A0E" w:rsidRDefault="00FD124E" w:rsidP="00DA4A0E">
      <w:pPr>
        <w:pStyle w:val="SingleTxtG"/>
        <w:rPr>
          <w:u w:val="single"/>
        </w:rPr>
      </w:pPr>
      <w:r w:rsidRPr="00DA4A0E">
        <w:rPr>
          <w:u w:val="single"/>
        </w:rPr>
        <w:t>GHS</w:t>
      </w:r>
      <w:r w:rsidR="000F3F77" w:rsidRPr="00DA4A0E">
        <w:rPr>
          <w:u w:val="single"/>
        </w:rPr>
        <w:t xml:space="preserve"> </w:t>
      </w:r>
      <w:r w:rsidRPr="00DA4A0E">
        <w:rPr>
          <w:u w:val="single"/>
        </w:rPr>
        <w:t>information:</w:t>
      </w:r>
    </w:p>
    <w:p w:rsidR="00FD124E" w:rsidRPr="00DA4A0E" w:rsidRDefault="00FD124E" w:rsidP="00DA4A0E">
      <w:pPr>
        <w:pStyle w:val="Bullet1G"/>
      </w:pPr>
      <w:r w:rsidRPr="00DA4A0E">
        <w:t>Product identifier</w:t>
      </w:r>
      <w:r w:rsidR="0075637D" w:rsidRPr="00DA4A0E">
        <w:rPr>
          <w:rStyle w:val="FootnoteReference"/>
          <w:sz w:val="20"/>
          <w:vertAlign w:val="baseline"/>
        </w:rPr>
        <w:footnoteReference w:customMarkFollows="1" w:id="3"/>
        <w:t>*</w:t>
      </w:r>
    </w:p>
    <w:p w:rsidR="00FD124E" w:rsidRPr="00DA4A0E" w:rsidRDefault="00FD124E" w:rsidP="00DA4A0E">
      <w:pPr>
        <w:pStyle w:val="Bullet1G"/>
      </w:pPr>
      <w:r w:rsidRPr="00DA4A0E">
        <w:t xml:space="preserve">Hazard pictogram(s) </w:t>
      </w:r>
    </w:p>
    <w:p w:rsidR="00FD124E" w:rsidRPr="00DA4A0E" w:rsidRDefault="00FD124E" w:rsidP="00DA4A0E">
      <w:pPr>
        <w:pStyle w:val="Bullet1G"/>
      </w:pPr>
      <w:r w:rsidRPr="00DA4A0E">
        <w:t xml:space="preserve">Signal word </w:t>
      </w:r>
    </w:p>
    <w:p w:rsidR="00FD124E" w:rsidRPr="00DA4A0E" w:rsidRDefault="00FD124E" w:rsidP="00DA4A0E">
      <w:pPr>
        <w:pStyle w:val="Bullet1G"/>
      </w:pPr>
      <w:r w:rsidRPr="00DA4A0E">
        <w:t>Supplier identification (name, address and telephone number of the company)</w:t>
      </w:r>
    </w:p>
    <w:p w:rsidR="00FD124E" w:rsidRPr="000F3F77" w:rsidRDefault="00FD124E" w:rsidP="00DA4A0E">
      <w:pPr>
        <w:pStyle w:val="SingleTxtG"/>
        <w:rPr>
          <w:u w:val="single"/>
        </w:rPr>
      </w:pPr>
      <w:r w:rsidRPr="000F3F77">
        <w:rPr>
          <w:u w:val="single"/>
        </w:rPr>
        <w:lastRenderedPageBreak/>
        <w:t>Additional information:</w:t>
      </w:r>
    </w:p>
    <w:p w:rsidR="000F3F77" w:rsidRPr="00DA4A0E" w:rsidRDefault="00FD124E" w:rsidP="00DA4A0E">
      <w:pPr>
        <w:pStyle w:val="Bullet1G"/>
      </w:pPr>
      <w:r w:rsidRPr="00DA4A0E">
        <w:t>A symbol to inform the user that the label can be opened to illustrate that additional information is available on inside p</w:t>
      </w:r>
      <w:r w:rsidR="000F3F77" w:rsidRPr="00DA4A0E">
        <w:t>ages.</w:t>
      </w:r>
    </w:p>
    <w:p w:rsidR="00FD124E" w:rsidRPr="00DA4A0E" w:rsidRDefault="00FD124E" w:rsidP="00DA4A0E">
      <w:pPr>
        <w:pStyle w:val="Bullet1G"/>
      </w:pPr>
      <w:r w:rsidRPr="00DA4A0E">
        <w:t>If more than one language is used on the fold-out label: the country codes or language codes</w:t>
      </w:r>
    </w:p>
    <w:p w:rsidR="00FD124E" w:rsidRPr="00DA4A0E" w:rsidRDefault="00FD124E" w:rsidP="00DA4A0E">
      <w:pPr>
        <w:pStyle w:val="H23G"/>
      </w:pPr>
      <w:r w:rsidRPr="00DA4A0E">
        <w:tab/>
      </w:r>
      <w:r w:rsidRPr="00DA4A0E">
        <w:tab/>
        <w:t xml:space="preserve">Text </w:t>
      </w:r>
      <w:r w:rsidR="000F3F77" w:rsidRPr="00DA4A0E">
        <w:t>p</w:t>
      </w:r>
      <w:r w:rsidRPr="00DA4A0E">
        <w:t>ages/Pages inside</w:t>
      </w:r>
    </w:p>
    <w:p w:rsidR="00FD124E" w:rsidRPr="00BA3347" w:rsidRDefault="00FD124E" w:rsidP="00DA4A0E">
      <w:pPr>
        <w:pStyle w:val="SingleTxtG"/>
        <w:rPr>
          <w:u w:val="single"/>
        </w:rPr>
      </w:pPr>
      <w:r w:rsidRPr="00BA3347">
        <w:rPr>
          <w:u w:val="single"/>
        </w:rPr>
        <w:t>GHS</w:t>
      </w:r>
      <w:r w:rsidR="00BA3347">
        <w:rPr>
          <w:u w:val="single"/>
        </w:rPr>
        <w:t xml:space="preserve"> </w:t>
      </w:r>
      <w:r w:rsidRPr="00BA3347">
        <w:rPr>
          <w:u w:val="single"/>
        </w:rPr>
        <w:t>information:</w:t>
      </w:r>
    </w:p>
    <w:p w:rsidR="00FD124E" w:rsidRPr="00DA4A0E" w:rsidRDefault="0075637D" w:rsidP="00DA4A0E">
      <w:pPr>
        <w:pStyle w:val="Bullet1G"/>
      </w:pPr>
      <w:r w:rsidRPr="00DA4A0E">
        <w:t>P</w:t>
      </w:r>
      <w:r w:rsidR="00FD124E" w:rsidRPr="00DA4A0E">
        <w:t>roduct identifier including</w:t>
      </w:r>
      <w:r w:rsidRPr="00DA4A0E">
        <w:t>, as applicable,</w:t>
      </w:r>
      <w:r w:rsidR="00FD124E" w:rsidRPr="00DA4A0E">
        <w:t xml:space="preserve"> hazardous components </w:t>
      </w:r>
      <w:r w:rsidRPr="00DA4A0E">
        <w:t>contributing to the classification</w:t>
      </w:r>
      <w:r w:rsidR="00FD124E" w:rsidRPr="00DA4A0E">
        <w:t xml:space="preserve"> </w:t>
      </w:r>
    </w:p>
    <w:p w:rsidR="00FD124E" w:rsidRPr="00DA4A0E" w:rsidRDefault="00FD124E" w:rsidP="00DA4A0E">
      <w:pPr>
        <w:pStyle w:val="Bullet1G"/>
      </w:pPr>
      <w:r w:rsidRPr="00DA4A0E">
        <w:t xml:space="preserve">Signal word </w:t>
      </w:r>
    </w:p>
    <w:p w:rsidR="00FD124E" w:rsidRPr="00DA4A0E" w:rsidRDefault="00FD124E" w:rsidP="00DA4A0E">
      <w:pPr>
        <w:pStyle w:val="Bullet1G"/>
      </w:pPr>
      <w:r w:rsidRPr="00DA4A0E">
        <w:t xml:space="preserve">Hazard statements </w:t>
      </w:r>
    </w:p>
    <w:p w:rsidR="00FD124E" w:rsidRPr="00DA4A0E" w:rsidRDefault="00FD124E" w:rsidP="00DA4A0E">
      <w:pPr>
        <w:pStyle w:val="Bullet1G"/>
      </w:pPr>
      <w:r w:rsidRPr="00DA4A0E">
        <w:t xml:space="preserve">Precautionary statements </w:t>
      </w:r>
    </w:p>
    <w:p w:rsidR="00FD124E" w:rsidRPr="00DA4A0E" w:rsidRDefault="00FD124E" w:rsidP="00DA4A0E">
      <w:pPr>
        <w:pStyle w:val="Bullet1G"/>
      </w:pPr>
      <w:r w:rsidRPr="00DA4A0E">
        <w:t>Additional information (e.g. directions for use, information requi</w:t>
      </w:r>
      <w:r w:rsidR="00621153" w:rsidRPr="00DA4A0E">
        <w:t>red by other regulations, etc.)</w:t>
      </w:r>
    </w:p>
    <w:p w:rsidR="00FD124E" w:rsidRPr="00BA3347" w:rsidRDefault="00FD124E" w:rsidP="00DA4A0E">
      <w:pPr>
        <w:pStyle w:val="SingleTxtG"/>
        <w:rPr>
          <w:u w:val="single"/>
        </w:rPr>
      </w:pPr>
      <w:r w:rsidRPr="00BA3347">
        <w:rPr>
          <w:u w:val="single"/>
        </w:rPr>
        <w:t>Additional information:</w:t>
      </w:r>
    </w:p>
    <w:p w:rsidR="00FD124E" w:rsidRPr="00BA3347" w:rsidRDefault="00FD124E" w:rsidP="00DA4A0E">
      <w:pPr>
        <w:pStyle w:val="Bullet1G"/>
      </w:pPr>
      <w:r w:rsidRPr="00BA3347">
        <w:t>If more than one language is used on the fold-out label: the country codes or language codes</w:t>
      </w:r>
    </w:p>
    <w:p w:rsidR="00FD124E" w:rsidRPr="00DA4A0E" w:rsidRDefault="00FD124E" w:rsidP="00FD124E">
      <w:pPr>
        <w:pStyle w:val="H23G"/>
      </w:pPr>
      <w:r w:rsidRPr="00DA4A0E">
        <w:tab/>
      </w:r>
      <w:r w:rsidRPr="00DA4A0E">
        <w:tab/>
        <w:t>Back page (affixed to the immediate container):</w:t>
      </w:r>
    </w:p>
    <w:p w:rsidR="00FD124E" w:rsidRPr="00DA4A0E" w:rsidRDefault="00FD124E" w:rsidP="00DA4A0E">
      <w:pPr>
        <w:pStyle w:val="Bullet1G"/>
      </w:pPr>
      <w:r w:rsidRPr="00DA4A0E">
        <w:t>Product identifier</w:t>
      </w:r>
      <w:r w:rsidR="00E92DE9" w:rsidRPr="00DA4A0E">
        <w:rPr>
          <w:rStyle w:val="FootnoteReference"/>
          <w:sz w:val="20"/>
          <w:vertAlign w:val="baseline"/>
        </w:rPr>
        <w:footnoteReference w:customMarkFollows="1" w:id="4"/>
        <w:t>*</w:t>
      </w:r>
    </w:p>
    <w:p w:rsidR="00FD124E" w:rsidRPr="00DA4A0E" w:rsidRDefault="00FD124E" w:rsidP="00DA4A0E">
      <w:pPr>
        <w:pStyle w:val="Bullet1G"/>
      </w:pPr>
      <w:r w:rsidRPr="00DA4A0E">
        <w:t>Hazard pictogram(s)</w:t>
      </w:r>
    </w:p>
    <w:p w:rsidR="00FD124E" w:rsidRPr="00DA4A0E" w:rsidRDefault="00FD124E" w:rsidP="00DA4A0E">
      <w:pPr>
        <w:pStyle w:val="Bullet1G"/>
      </w:pPr>
      <w:r w:rsidRPr="00DA4A0E">
        <w:t>Signal word</w:t>
      </w:r>
    </w:p>
    <w:p w:rsidR="00FD124E" w:rsidRPr="00DA4A0E" w:rsidRDefault="00FD124E" w:rsidP="00DA4A0E">
      <w:pPr>
        <w:pStyle w:val="Bullet1G"/>
      </w:pPr>
      <w:r w:rsidRPr="00DA4A0E">
        <w:t>Supplier identification (name, address and telephone number of the company)</w:t>
      </w:r>
    </w:p>
    <w:p w:rsidR="00FD124E" w:rsidRPr="00DA4A0E" w:rsidRDefault="00FD124E" w:rsidP="00DA4A0E">
      <w:pPr>
        <w:pStyle w:val="SingleTxtG"/>
      </w:pPr>
      <w:r w:rsidRPr="00DA4A0E">
        <w:t>The product identifier (if applicable) and the signal words on the front page and the back page are in all languages used on the label.</w:t>
      </w:r>
    </w:p>
    <w:p w:rsidR="00FD124E" w:rsidRPr="00DA4A0E" w:rsidRDefault="00FD124E" w:rsidP="00DA4A0E">
      <w:pPr>
        <w:pStyle w:val="SingleTxtG"/>
      </w:pPr>
      <w:r w:rsidRPr="00DA4A0E">
        <w:t>If there is enough space on the front or on the back page, these pages can also be used to display text.</w:t>
      </w:r>
    </w:p>
    <w:p w:rsidR="00FD124E" w:rsidRPr="00DA4A0E" w:rsidRDefault="00FD124E" w:rsidP="00DA4A0E">
      <w:pPr>
        <w:pStyle w:val="SingleTxtG"/>
      </w:pPr>
      <w:r w:rsidRPr="00DA4A0E">
        <w:t>The text on the inside pages (text pages) can also be distributed on more than one page, if the available space is not sufficient. In general it is better to spread the text across more than one page than to have smaller letters that make the text difficult to read. In all cases, the visibility and easy legibility of the label elements should be ensured</w:t>
      </w:r>
      <w:r w:rsidR="00E92DE9" w:rsidRPr="00DA4A0E">
        <w:t xml:space="preserve"> without the aid of any device other than corrective lenses and contrasted with any other information on the hazardous product or the container.</w:t>
      </w:r>
    </w:p>
    <w:p w:rsidR="00FD124E" w:rsidRPr="00DA4A0E" w:rsidRDefault="00FD124E" w:rsidP="00DA4A0E">
      <w:pPr>
        <w:pStyle w:val="SingleTxtG"/>
      </w:pPr>
      <w:r w:rsidRPr="00DA4A0E">
        <w:t xml:space="preserve">It is recognized that some regulatory systems (e.g. pesticides) may have specific requirements for the application of labels using a multilayer or booklet style format.  Where this is the case, labelling would be undertaken in accordance with the competent authority’s requirements. </w:t>
      </w:r>
    </w:p>
    <w:p w:rsidR="00FD124E" w:rsidRPr="00DA4A0E" w:rsidRDefault="00BA3347" w:rsidP="00DA4A0E">
      <w:pPr>
        <w:pStyle w:val="SingleTxtG"/>
      </w:pPr>
      <w:r w:rsidRPr="00DA4A0E">
        <w:lastRenderedPageBreak/>
        <w:t>The size of the fold-</w:t>
      </w:r>
      <w:r w:rsidR="00FD124E" w:rsidRPr="00DA4A0E">
        <w:t>out label and the number of folds should be in a rational relationship to the size of the container. This may limit the number of languages, which can be displayed on the fold-out label.</w:t>
      </w:r>
    </w:p>
    <w:p w:rsidR="00701B95" w:rsidRPr="00DA4A0E" w:rsidRDefault="00701B95" w:rsidP="00DA4A0E">
      <w:pPr>
        <w:pStyle w:val="SingleTxtG"/>
      </w:pPr>
      <w:r w:rsidRPr="00DA4A0E">
        <w:t xml:space="preserve">Examples of formats for multilayer booklet format/fold-out labels which could be used are </w:t>
      </w:r>
      <w:r w:rsidR="008A2A13" w:rsidRPr="00DA4A0E">
        <w:t xml:space="preserve">shown below. These include, accordion style, book style, </w:t>
      </w:r>
      <w:proofErr w:type="gramStart"/>
      <w:r w:rsidR="008A2A13" w:rsidRPr="00DA4A0E">
        <w:t>order</w:t>
      </w:r>
      <w:proofErr w:type="gramEnd"/>
      <w:r w:rsidR="008A2A13" w:rsidRPr="00DA4A0E">
        <w:t xml:space="preserve"> book style and window style</w:t>
      </w:r>
      <w:r w:rsidR="005362F9">
        <w:t xml:space="preserve"> labels</w:t>
      </w:r>
      <w:r w:rsidR="008A2A13" w:rsidRPr="00DA4A0E">
        <w:t xml:space="preserve">. Any other style </w:t>
      </w:r>
      <w:r w:rsidR="002A5078">
        <w:t>which meet</w:t>
      </w:r>
      <w:r w:rsidR="00CD16FD">
        <w:t>s</w:t>
      </w:r>
      <w:r w:rsidR="008A2A13" w:rsidRPr="00DA4A0E">
        <w:t xml:space="preserve"> the requirements for a fold-out label is also </w:t>
      </w:r>
      <w:r w:rsidR="002A5078">
        <w:t>applicable</w:t>
      </w:r>
      <w:r w:rsidR="008A2A13" w:rsidRPr="00DA4A0E">
        <w:t>.</w:t>
      </w:r>
    </w:p>
    <w:p w:rsidR="00C74E9A" w:rsidRPr="00DA4A0E" w:rsidRDefault="000C03A2" w:rsidP="00B74438">
      <w:pPr>
        <w:pStyle w:val="H23G"/>
        <w:rPr>
          <w:lang w:val="en-US"/>
        </w:rPr>
      </w:pPr>
      <w:r w:rsidRPr="00DA4A0E">
        <w:rPr>
          <w:noProof/>
          <w:lang w:eastAsia="en-GB"/>
        </w:rPr>
        <w:drawing>
          <wp:anchor distT="0" distB="0" distL="114300" distR="114300" simplePos="0" relativeHeight="251665408" behindDoc="0" locked="1" layoutInCell="1" allowOverlap="0" wp14:anchorId="12AFAC89" wp14:editId="787ACD32">
            <wp:simplePos x="0" y="0"/>
            <wp:positionH relativeFrom="page">
              <wp:posOffset>745490</wp:posOffset>
            </wp:positionH>
            <wp:positionV relativeFrom="paragraph">
              <wp:posOffset>692150</wp:posOffset>
            </wp:positionV>
            <wp:extent cx="6076315" cy="3427095"/>
            <wp:effectExtent l="0" t="0" r="635" b="1905"/>
            <wp:wrapTopAndBottom/>
            <wp:docPr id="4" name="Picture 4" descr="G:\Technique\Leroy - Calando\GHS\UN GHS\picture_foldou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echnique\Leroy - Calando\GHS\UN GHS\picture_foldoutt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315" cy="342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B74438" w:rsidRPr="00DA4A0E">
        <w:rPr>
          <w:lang w:val="en-US"/>
        </w:rPr>
        <w:tab/>
      </w:r>
      <w:r w:rsidR="00B74438" w:rsidRPr="00DA4A0E">
        <w:rPr>
          <w:lang w:val="en-US"/>
        </w:rPr>
        <w:tab/>
        <w:t>Accordion style</w:t>
      </w:r>
    </w:p>
    <w:p w:rsidR="00BE4D65" w:rsidRDefault="003418EF" w:rsidP="00BE4D65">
      <w:pPr>
        <w:pStyle w:val="SingleTxtG"/>
        <w:rPr>
          <w:lang w:val="en-US"/>
        </w:rPr>
      </w:pPr>
      <w:r>
        <w:t xml:space="preserve">The following is an example of a </w:t>
      </w:r>
      <w:r w:rsidR="00B74438">
        <w:t>multilingual fold-out label</w:t>
      </w:r>
      <w:r w:rsidR="00B74438" w:rsidRPr="000D4890">
        <w:t>.</w:t>
      </w:r>
      <w:r w:rsidR="000C03A2">
        <w:rPr>
          <w:lang w:val="en-US"/>
        </w:rPr>
        <w:tab/>
      </w:r>
    </w:p>
    <w:p w:rsidR="000C03A2" w:rsidRDefault="00BE4D65" w:rsidP="000C03A2">
      <w:pPr>
        <w:pStyle w:val="H23G"/>
        <w:rPr>
          <w:lang w:val="en-US"/>
        </w:rPr>
      </w:pPr>
      <w:r>
        <w:rPr>
          <w:lang w:val="en-US"/>
        </w:rPr>
        <w:tab/>
      </w:r>
      <w:r>
        <w:rPr>
          <w:lang w:val="en-US"/>
        </w:rPr>
        <w:tab/>
      </w:r>
      <w:r w:rsidR="000C03A2" w:rsidRPr="005779E0">
        <w:rPr>
          <w:lang w:val="en-US"/>
        </w:rPr>
        <w:t>Book style</w:t>
      </w:r>
    </w:p>
    <w:p w:rsidR="000C03A2" w:rsidRDefault="000C03A2" w:rsidP="00BE4D65">
      <w:pPr>
        <w:pStyle w:val="SingleTxtG"/>
        <w:spacing w:before="240" w:after="0"/>
        <w:ind w:left="0"/>
        <w:jc w:val="center"/>
        <w:rPr>
          <w:lang w:val="en-US"/>
        </w:rPr>
      </w:pPr>
      <w:r>
        <w:rPr>
          <w:noProof/>
          <w:lang w:eastAsia="en-GB"/>
        </w:rPr>
        <w:drawing>
          <wp:inline distT="0" distB="0" distL="0" distR="0" wp14:anchorId="5800AAB4" wp14:editId="2CA1ACAF">
            <wp:extent cx="3374405" cy="2171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_Bookle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88270" cy="2180623"/>
                    </a:xfrm>
                    <a:prstGeom prst="rect">
                      <a:avLst/>
                    </a:prstGeom>
                  </pic:spPr>
                </pic:pic>
              </a:graphicData>
            </a:graphic>
          </wp:inline>
        </w:drawing>
      </w:r>
    </w:p>
    <w:p w:rsidR="000C03A2" w:rsidRDefault="000C03A2" w:rsidP="000C03A2">
      <w:pPr>
        <w:pStyle w:val="H23G"/>
        <w:rPr>
          <w:lang w:val="en-US"/>
        </w:rPr>
      </w:pPr>
      <w:r>
        <w:rPr>
          <w:lang w:val="en-US"/>
        </w:rPr>
        <w:lastRenderedPageBreak/>
        <w:tab/>
      </w:r>
      <w:r>
        <w:rPr>
          <w:lang w:val="en-US"/>
        </w:rPr>
        <w:tab/>
      </w:r>
      <w:r w:rsidRPr="007F5B4C">
        <w:rPr>
          <w:lang w:val="en-US"/>
        </w:rPr>
        <w:t>Order book style</w:t>
      </w:r>
    </w:p>
    <w:p w:rsidR="000C03A2" w:rsidRDefault="000C03A2" w:rsidP="000C03A2">
      <w:pPr>
        <w:pStyle w:val="SingleTxtG"/>
        <w:spacing w:before="240" w:after="0"/>
        <w:ind w:left="0"/>
        <w:rPr>
          <w:lang w:val="en-US"/>
        </w:rPr>
      </w:pPr>
    </w:p>
    <w:p w:rsidR="000C03A2" w:rsidRDefault="000C03A2" w:rsidP="000C03A2">
      <w:pPr>
        <w:suppressAutoHyphens w:val="0"/>
        <w:spacing w:line="240" w:lineRule="auto"/>
        <w:jc w:val="center"/>
      </w:pPr>
      <w:r>
        <w:rPr>
          <w:noProof/>
          <w:lang w:eastAsia="en-GB"/>
        </w:rPr>
        <w:drawing>
          <wp:inline distT="0" distB="0" distL="0" distR="0" wp14:anchorId="4CEE44F5" wp14:editId="6BD83927">
            <wp:extent cx="2796209" cy="2140727"/>
            <wp:effectExtent l="0" t="0" r="444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_Bookle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03804" cy="2146542"/>
                    </a:xfrm>
                    <a:prstGeom prst="rect">
                      <a:avLst/>
                    </a:prstGeom>
                  </pic:spPr>
                </pic:pic>
              </a:graphicData>
            </a:graphic>
          </wp:inline>
        </w:drawing>
      </w:r>
    </w:p>
    <w:p w:rsidR="000C03A2" w:rsidRPr="007F5B4C" w:rsidRDefault="000C03A2" w:rsidP="000C03A2">
      <w:pPr>
        <w:pStyle w:val="H23G"/>
        <w:rPr>
          <w:lang w:val="en-US"/>
        </w:rPr>
      </w:pPr>
      <w:r>
        <w:rPr>
          <w:lang w:val="en-US"/>
        </w:rPr>
        <w:tab/>
      </w:r>
      <w:r>
        <w:rPr>
          <w:lang w:val="en-US"/>
        </w:rPr>
        <w:tab/>
        <w:t>Window style</w:t>
      </w:r>
    </w:p>
    <w:p w:rsidR="000C03A2" w:rsidRDefault="000C03A2" w:rsidP="00BE4D65">
      <w:pPr>
        <w:suppressAutoHyphens w:val="0"/>
        <w:spacing w:line="240" w:lineRule="auto"/>
        <w:jc w:val="center"/>
        <w:rPr>
          <w:b/>
          <w:sz w:val="24"/>
          <w:szCs w:val="24"/>
          <w:lang w:val="en-US"/>
        </w:rPr>
      </w:pPr>
      <w:r>
        <w:rPr>
          <w:b/>
          <w:noProof/>
          <w:sz w:val="24"/>
          <w:szCs w:val="24"/>
          <w:lang w:eastAsia="en-GB"/>
        </w:rPr>
        <w:drawing>
          <wp:inline distT="0" distB="0" distL="0" distR="0" wp14:anchorId="123A2BFA" wp14:editId="5CB5D7FB">
            <wp:extent cx="5565913" cy="4638549"/>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lder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64331" cy="4637231"/>
                    </a:xfrm>
                    <a:prstGeom prst="rect">
                      <a:avLst/>
                    </a:prstGeom>
                  </pic:spPr>
                </pic:pic>
              </a:graphicData>
            </a:graphic>
          </wp:inline>
        </w:drawing>
      </w:r>
      <w:r w:rsidR="00BE4D65">
        <w:rPr>
          <w:b/>
          <w:sz w:val="24"/>
          <w:szCs w:val="24"/>
          <w:lang w:val="en-US"/>
        </w:rPr>
        <w:t>”</w:t>
      </w:r>
    </w:p>
    <w:p w:rsidR="00BE001A" w:rsidRPr="00BE001A" w:rsidRDefault="00BE001A" w:rsidP="00701B95">
      <w:pPr>
        <w:pStyle w:val="SingleTxtG"/>
        <w:spacing w:before="240" w:after="0"/>
        <w:jc w:val="center"/>
        <w:rPr>
          <w:lang w:val="en-US"/>
        </w:rPr>
      </w:pPr>
      <w:r>
        <w:rPr>
          <w:lang w:val="en-US"/>
        </w:rPr>
        <w:t> </w:t>
      </w:r>
      <w:r>
        <w:rPr>
          <w:u w:val="single"/>
          <w:lang w:val="en-US"/>
        </w:rPr>
        <w:tab/>
      </w:r>
      <w:r>
        <w:rPr>
          <w:u w:val="single"/>
          <w:lang w:val="en-US"/>
        </w:rPr>
        <w:tab/>
      </w:r>
      <w:r>
        <w:rPr>
          <w:u w:val="single"/>
          <w:lang w:val="en-US"/>
        </w:rPr>
        <w:tab/>
      </w:r>
    </w:p>
    <w:sectPr w:rsidR="00BE001A" w:rsidRPr="00BE001A" w:rsidSect="00F21F13">
      <w:headerReference w:type="even" r:id="rId15"/>
      <w:headerReference w:type="default" r:id="rId16"/>
      <w:footerReference w:type="even" r:id="rId17"/>
      <w:footerReference w:type="default" r:id="rId1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F13" w:rsidRDefault="00F21F13"/>
  </w:endnote>
  <w:endnote w:type="continuationSeparator" w:id="0">
    <w:p w:rsidR="00F21F13" w:rsidRDefault="00F21F13"/>
  </w:endnote>
  <w:endnote w:type="continuationNotice" w:id="1">
    <w:p w:rsidR="00F21F13" w:rsidRDefault="00F21F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13" w:rsidRPr="00F21F13" w:rsidRDefault="00F21F13" w:rsidP="00F21F13">
    <w:pPr>
      <w:pStyle w:val="Footer"/>
      <w:tabs>
        <w:tab w:val="right" w:pos="9638"/>
      </w:tabs>
      <w:rPr>
        <w:sz w:val="18"/>
      </w:rPr>
    </w:pPr>
    <w:r w:rsidRPr="00F21F13">
      <w:rPr>
        <w:b/>
        <w:sz w:val="18"/>
      </w:rPr>
      <w:fldChar w:fldCharType="begin"/>
    </w:r>
    <w:r w:rsidRPr="00F21F13">
      <w:rPr>
        <w:b/>
        <w:sz w:val="18"/>
      </w:rPr>
      <w:instrText xml:space="preserve"> PAGE  \* MERGEFORMAT </w:instrText>
    </w:r>
    <w:r w:rsidRPr="00F21F13">
      <w:rPr>
        <w:b/>
        <w:sz w:val="18"/>
      </w:rPr>
      <w:fldChar w:fldCharType="separate"/>
    </w:r>
    <w:r w:rsidR="00A26537">
      <w:rPr>
        <w:b/>
        <w:noProof/>
        <w:sz w:val="18"/>
      </w:rPr>
      <w:t>4</w:t>
    </w:r>
    <w:r w:rsidRPr="00F21F1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13" w:rsidRPr="00F21F13" w:rsidRDefault="00F21F13" w:rsidP="00F21F13">
    <w:pPr>
      <w:pStyle w:val="Footer"/>
      <w:tabs>
        <w:tab w:val="right" w:pos="9638"/>
      </w:tabs>
      <w:rPr>
        <w:b/>
        <w:sz w:val="18"/>
      </w:rPr>
    </w:pPr>
    <w:r>
      <w:tab/>
    </w:r>
    <w:r w:rsidRPr="00F21F13">
      <w:rPr>
        <w:b/>
        <w:sz w:val="18"/>
      </w:rPr>
      <w:fldChar w:fldCharType="begin"/>
    </w:r>
    <w:r w:rsidRPr="00F21F13">
      <w:rPr>
        <w:b/>
        <w:sz w:val="18"/>
      </w:rPr>
      <w:instrText xml:space="preserve"> PAGE  \* MERGEFORMAT </w:instrText>
    </w:r>
    <w:r w:rsidRPr="00F21F13">
      <w:rPr>
        <w:b/>
        <w:sz w:val="18"/>
      </w:rPr>
      <w:fldChar w:fldCharType="separate"/>
    </w:r>
    <w:r w:rsidR="00A26537">
      <w:rPr>
        <w:b/>
        <w:noProof/>
        <w:sz w:val="18"/>
      </w:rPr>
      <w:t>5</w:t>
    </w:r>
    <w:r w:rsidRPr="00F21F13">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F13" w:rsidRPr="000B175B" w:rsidRDefault="00F21F13" w:rsidP="000B175B">
      <w:pPr>
        <w:tabs>
          <w:tab w:val="right" w:pos="2155"/>
        </w:tabs>
        <w:spacing w:after="80"/>
        <w:ind w:left="680"/>
        <w:rPr>
          <w:u w:val="single"/>
        </w:rPr>
      </w:pPr>
      <w:r>
        <w:rPr>
          <w:u w:val="single"/>
        </w:rPr>
        <w:tab/>
      </w:r>
    </w:p>
  </w:footnote>
  <w:footnote w:type="continuationSeparator" w:id="0">
    <w:p w:rsidR="00F21F13" w:rsidRPr="00FC68B7" w:rsidRDefault="00F21F13" w:rsidP="00FC68B7">
      <w:pPr>
        <w:tabs>
          <w:tab w:val="left" w:pos="2155"/>
        </w:tabs>
        <w:spacing w:after="80"/>
        <w:ind w:left="680"/>
        <w:rPr>
          <w:u w:val="single"/>
        </w:rPr>
      </w:pPr>
      <w:r>
        <w:rPr>
          <w:u w:val="single"/>
        </w:rPr>
        <w:tab/>
      </w:r>
    </w:p>
  </w:footnote>
  <w:footnote w:type="continuationNotice" w:id="1">
    <w:p w:rsidR="00F21F13" w:rsidRDefault="00F21F13"/>
  </w:footnote>
  <w:footnote w:id="2">
    <w:p w:rsidR="00FD124E" w:rsidRPr="00FD124E" w:rsidRDefault="009B20BC">
      <w:pPr>
        <w:pStyle w:val="FootnoteText"/>
        <w:rPr>
          <w:lang w:val="fr-CH"/>
        </w:rPr>
      </w:pPr>
      <w:r>
        <w:tab/>
      </w:r>
      <w:r w:rsidR="00FD124E">
        <w:rPr>
          <w:rStyle w:val="FootnoteReference"/>
        </w:rPr>
        <w:footnoteRef/>
      </w:r>
      <w:r w:rsidR="00FD124E">
        <w:t xml:space="preserve"> </w:t>
      </w:r>
      <w:r>
        <w:tab/>
        <w:t xml:space="preserve">In accordance with the programme of work of the Sub-Committee for 2015–2016 approved by the Committee at its seventh session (see </w:t>
      </w:r>
      <w:r w:rsidR="0099059F">
        <w:t>ST/SG/AC.10/C.4/</w:t>
      </w:r>
      <w:r w:rsidR="008C01AF">
        <w:t>56</w:t>
      </w:r>
      <w:r w:rsidR="0099059F">
        <w:t>, anne</w:t>
      </w:r>
      <w:r w:rsidR="008C01AF">
        <w:t>x III and ST/SG/AC.10/42, para. </w:t>
      </w:r>
      <w:r w:rsidR="0099059F">
        <w:t>15</w:t>
      </w:r>
      <w:r>
        <w:t>).</w:t>
      </w:r>
    </w:p>
  </w:footnote>
  <w:footnote w:id="3">
    <w:p w:rsidR="0075637D" w:rsidRPr="0075637D" w:rsidRDefault="0075637D">
      <w:pPr>
        <w:pStyle w:val="FootnoteText"/>
        <w:rPr>
          <w:lang w:val="fr-CH"/>
        </w:rPr>
      </w:pPr>
      <w:r>
        <w:tab/>
      </w:r>
      <w:r>
        <w:rPr>
          <w:rStyle w:val="FootnoteReference"/>
        </w:rPr>
        <w:t>*</w:t>
      </w:r>
      <w:r>
        <w:t xml:space="preserve"> </w:t>
      </w:r>
      <w:r>
        <w:tab/>
      </w:r>
      <w:r w:rsidRPr="000D4890">
        <w:t xml:space="preserve">The </w:t>
      </w:r>
      <w:r>
        <w:t>p</w:t>
      </w:r>
      <w:r w:rsidRPr="000D4890">
        <w:t>roduct identifier on the front and back page does</w:t>
      </w:r>
      <w:r>
        <w:t xml:space="preserve"> no</w:t>
      </w:r>
      <w:r w:rsidRPr="000D4890">
        <w:t>t include hazardous components. If hazardous components are required on the label they are displayed in the appropriate languages on the text pages</w:t>
      </w:r>
      <w:r>
        <w:t>.</w:t>
      </w:r>
    </w:p>
  </w:footnote>
  <w:footnote w:id="4">
    <w:p w:rsidR="00E92DE9" w:rsidRPr="00E92DE9" w:rsidRDefault="00E92DE9">
      <w:pPr>
        <w:pStyle w:val="FootnoteText"/>
        <w:rPr>
          <w:lang w:val="fr-CH"/>
        </w:rPr>
      </w:pPr>
      <w:r>
        <w:tab/>
      </w:r>
      <w:r>
        <w:rPr>
          <w:rStyle w:val="FootnoteReference"/>
        </w:rPr>
        <w:t>*</w:t>
      </w:r>
      <w:r>
        <w:t xml:space="preserve"> </w:t>
      </w:r>
      <w:r>
        <w:tab/>
      </w:r>
      <w:r w:rsidRPr="000D4890">
        <w:t xml:space="preserve">The </w:t>
      </w:r>
      <w:r>
        <w:t>p</w:t>
      </w:r>
      <w:r w:rsidRPr="000D4890">
        <w:t>roduct identifier on the front and back page does</w:t>
      </w:r>
      <w:r>
        <w:t xml:space="preserve"> no</w:t>
      </w:r>
      <w:r w:rsidRPr="000D4890">
        <w:t>t include hazardous components. If hazardous components are required on the label they are displayed in the appropriate languages on the text pages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13" w:rsidRPr="00F21F13" w:rsidRDefault="00F21F13">
    <w:pPr>
      <w:pStyle w:val="Header"/>
    </w:pPr>
    <w:r w:rsidRPr="008032AF">
      <w:t>ST/SG/AC.10/C.4/</w:t>
    </w:r>
    <w:r w:rsidR="00E92DE9" w:rsidRPr="008032AF">
      <w:t>2016</w:t>
    </w:r>
    <w:r w:rsidRPr="008032AF">
      <w:t>/</w:t>
    </w:r>
    <w:r w:rsidR="008032AF" w:rsidRPr="008032AF">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13" w:rsidRPr="00F21F13" w:rsidRDefault="00F21F13" w:rsidP="00F21F13">
    <w:pPr>
      <w:pStyle w:val="Header"/>
      <w:jc w:val="right"/>
    </w:pPr>
    <w:r>
      <w:t>ST/SG/AC.10/C.4/</w:t>
    </w:r>
    <w:r w:rsidR="008032AF">
      <w:t>2016</w:t>
    </w:r>
    <w:r>
      <w:t>/</w:t>
    </w:r>
    <w:r w:rsidR="008032AF">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6E1350C"/>
    <w:multiLevelType w:val="hybridMultilevel"/>
    <w:tmpl w:val="17ACA5B4"/>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3">
    <w:nsid w:val="324A0D79"/>
    <w:multiLevelType w:val="hybridMultilevel"/>
    <w:tmpl w:val="1DB0491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4">
    <w:nsid w:val="35E55F1C"/>
    <w:multiLevelType w:val="hybridMultilevel"/>
    <w:tmpl w:val="054A3416"/>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525288"/>
    <w:multiLevelType w:val="hybridMultilevel"/>
    <w:tmpl w:val="CE7AB8FC"/>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1"/>
  </w:num>
  <w:num w:numId="13">
    <w:abstractNumId w:val="10"/>
  </w:num>
  <w:num w:numId="14">
    <w:abstractNumId w:val="17"/>
  </w:num>
  <w:num w:numId="15">
    <w:abstractNumId w:val="18"/>
  </w:num>
  <w:num w:numId="16">
    <w:abstractNumId w:val="12"/>
  </w:num>
  <w:num w:numId="17">
    <w:abstractNumId w:val="14"/>
  </w:num>
  <w:num w:numId="18">
    <w:abstractNumId w:val="13"/>
  </w:num>
  <w:num w:numId="19">
    <w:abstractNumId w:val="15"/>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F13"/>
    <w:rsid w:val="00050F6B"/>
    <w:rsid w:val="00057FD8"/>
    <w:rsid w:val="00072C8C"/>
    <w:rsid w:val="0008597D"/>
    <w:rsid w:val="00091419"/>
    <w:rsid w:val="000931C0"/>
    <w:rsid w:val="000B141D"/>
    <w:rsid w:val="000B175B"/>
    <w:rsid w:val="000B3A0F"/>
    <w:rsid w:val="000C03A2"/>
    <w:rsid w:val="000E0415"/>
    <w:rsid w:val="000F3F77"/>
    <w:rsid w:val="0011582C"/>
    <w:rsid w:val="00117787"/>
    <w:rsid w:val="00131D42"/>
    <w:rsid w:val="001633FB"/>
    <w:rsid w:val="001A494F"/>
    <w:rsid w:val="001B4B04"/>
    <w:rsid w:val="001C6663"/>
    <w:rsid w:val="001C7895"/>
    <w:rsid w:val="001D26DF"/>
    <w:rsid w:val="001D2FDC"/>
    <w:rsid w:val="00211E0B"/>
    <w:rsid w:val="002309A7"/>
    <w:rsid w:val="00237785"/>
    <w:rsid w:val="00241466"/>
    <w:rsid w:val="002725CA"/>
    <w:rsid w:val="00280EB7"/>
    <w:rsid w:val="00285C14"/>
    <w:rsid w:val="002A5078"/>
    <w:rsid w:val="002B1CDA"/>
    <w:rsid w:val="002D0AC9"/>
    <w:rsid w:val="003107FA"/>
    <w:rsid w:val="003229D8"/>
    <w:rsid w:val="00341286"/>
    <w:rsid w:val="003418EF"/>
    <w:rsid w:val="00370517"/>
    <w:rsid w:val="0039277A"/>
    <w:rsid w:val="003972E0"/>
    <w:rsid w:val="003C2CC4"/>
    <w:rsid w:val="003D4B23"/>
    <w:rsid w:val="004325CB"/>
    <w:rsid w:val="00437F3F"/>
    <w:rsid w:val="00446DE4"/>
    <w:rsid w:val="00447FDC"/>
    <w:rsid w:val="00450438"/>
    <w:rsid w:val="00464CB2"/>
    <w:rsid w:val="004B2C9D"/>
    <w:rsid w:val="004C2F88"/>
    <w:rsid w:val="00527910"/>
    <w:rsid w:val="005362F9"/>
    <w:rsid w:val="005420F2"/>
    <w:rsid w:val="005779E0"/>
    <w:rsid w:val="00590144"/>
    <w:rsid w:val="005B3DB3"/>
    <w:rsid w:val="005C1489"/>
    <w:rsid w:val="005F55D3"/>
    <w:rsid w:val="00611FC4"/>
    <w:rsid w:val="006176FB"/>
    <w:rsid w:val="00621153"/>
    <w:rsid w:val="00624DF3"/>
    <w:rsid w:val="0063419C"/>
    <w:rsid w:val="00640B26"/>
    <w:rsid w:val="006847C3"/>
    <w:rsid w:val="006A7392"/>
    <w:rsid w:val="006C0D34"/>
    <w:rsid w:val="006E564B"/>
    <w:rsid w:val="00701B95"/>
    <w:rsid w:val="0072632A"/>
    <w:rsid w:val="0075637D"/>
    <w:rsid w:val="00790791"/>
    <w:rsid w:val="007B6BA5"/>
    <w:rsid w:val="007C3390"/>
    <w:rsid w:val="007C4F4B"/>
    <w:rsid w:val="007D0061"/>
    <w:rsid w:val="007F5B4C"/>
    <w:rsid w:val="007F6611"/>
    <w:rsid w:val="008032AF"/>
    <w:rsid w:val="008175E9"/>
    <w:rsid w:val="008242D7"/>
    <w:rsid w:val="008329C1"/>
    <w:rsid w:val="008674D0"/>
    <w:rsid w:val="00871FD5"/>
    <w:rsid w:val="008979B1"/>
    <w:rsid w:val="008A2A13"/>
    <w:rsid w:val="008A6B25"/>
    <w:rsid w:val="008A6C4F"/>
    <w:rsid w:val="008B0F9F"/>
    <w:rsid w:val="008C01AF"/>
    <w:rsid w:val="008E0E46"/>
    <w:rsid w:val="00927D2A"/>
    <w:rsid w:val="00945A5D"/>
    <w:rsid w:val="00963CBA"/>
    <w:rsid w:val="0099059F"/>
    <w:rsid w:val="0099124E"/>
    <w:rsid w:val="00991261"/>
    <w:rsid w:val="0099386C"/>
    <w:rsid w:val="009B20BC"/>
    <w:rsid w:val="009F0F06"/>
    <w:rsid w:val="00A1427D"/>
    <w:rsid w:val="00A26537"/>
    <w:rsid w:val="00A56BA9"/>
    <w:rsid w:val="00A72F22"/>
    <w:rsid w:val="00A748A6"/>
    <w:rsid w:val="00A75EC9"/>
    <w:rsid w:val="00A80388"/>
    <w:rsid w:val="00A81FD3"/>
    <w:rsid w:val="00A879A4"/>
    <w:rsid w:val="00AD6B25"/>
    <w:rsid w:val="00B30179"/>
    <w:rsid w:val="00B3317B"/>
    <w:rsid w:val="00B74438"/>
    <w:rsid w:val="00B81E12"/>
    <w:rsid w:val="00B93068"/>
    <w:rsid w:val="00BA3347"/>
    <w:rsid w:val="00BA7758"/>
    <w:rsid w:val="00BB4EE3"/>
    <w:rsid w:val="00BC74E9"/>
    <w:rsid w:val="00BE001A"/>
    <w:rsid w:val="00BE4D65"/>
    <w:rsid w:val="00BE618E"/>
    <w:rsid w:val="00C463DD"/>
    <w:rsid w:val="00C62F76"/>
    <w:rsid w:val="00C745C3"/>
    <w:rsid w:val="00C74E9A"/>
    <w:rsid w:val="00CD16FD"/>
    <w:rsid w:val="00CE4A8F"/>
    <w:rsid w:val="00CF5DB3"/>
    <w:rsid w:val="00D2031B"/>
    <w:rsid w:val="00D25FE2"/>
    <w:rsid w:val="00D43252"/>
    <w:rsid w:val="00D51D0B"/>
    <w:rsid w:val="00D63B4B"/>
    <w:rsid w:val="00D753D8"/>
    <w:rsid w:val="00D86A11"/>
    <w:rsid w:val="00D96CC5"/>
    <w:rsid w:val="00D978C6"/>
    <w:rsid w:val="00DA4A0E"/>
    <w:rsid w:val="00DA67AD"/>
    <w:rsid w:val="00DF1525"/>
    <w:rsid w:val="00E130AB"/>
    <w:rsid w:val="00E22B06"/>
    <w:rsid w:val="00E5644E"/>
    <w:rsid w:val="00E7260F"/>
    <w:rsid w:val="00E8535A"/>
    <w:rsid w:val="00E92DE9"/>
    <w:rsid w:val="00E96630"/>
    <w:rsid w:val="00EA772F"/>
    <w:rsid w:val="00EB6832"/>
    <w:rsid w:val="00EB7F13"/>
    <w:rsid w:val="00ED7A2A"/>
    <w:rsid w:val="00EF079F"/>
    <w:rsid w:val="00EF1D7F"/>
    <w:rsid w:val="00F05D56"/>
    <w:rsid w:val="00F21F13"/>
    <w:rsid w:val="00F40E75"/>
    <w:rsid w:val="00F54674"/>
    <w:rsid w:val="00FC68B7"/>
    <w:rsid w:val="00FD124E"/>
    <w:rsid w:val="00FD231F"/>
    <w:rsid w:val="00FD6B2B"/>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basedOn w:val="DefaultParagraphFont"/>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paragraph" w:styleId="BalloonText">
    <w:name w:val="Balloon Text"/>
    <w:basedOn w:val="Normal"/>
    <w:link w:val="BalloonTextChar"/>
    <w:rsid w:val="00F21F1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21F13"/>
    <w:rPr>
      <w:rFonts w:ascii="Tahoma" w:hAnsi="Tahoma" w:cs="Tahoma"/>
      <w:sz w:val="16"/>
      <w:szCs w:val="16"/>
      <w:lang w:eastAsia="en-US"/>
    </w:rPr>
  </w:style>
  <w:style w:type="character" w:customStyle="1" w:styleId="HChGChar">
    <w:name w:val="_ H _Ch_G Char"/>
    <w:link w:val="HChG"/>
    <w:rsid w:val="00FD124E"/>
    <w:rPr>
      <w:b/>
      <w:sz w:val="28"/>
      <w:lang w:eastAsia="en-US"/>
    </w:rPr>
  </w:style>
  <w:style w:type="character" w:customStyle="1" w:styleId="SingleTxtGChar">
    <w:name w:val="_ Single Txt_G Char"/>
    <w:link w:val="SingleTxtG"/>
    <w:rsid w:val="00FD124E"/>
    <w:rPr>
      <w:lang w:eastAsia="en-US"/>
    </w:rPr>
  </w:style>
  <w:style w:type="character" w:customStyle="1" w:styleId="FootnoteTextChar">
    <w:name w:val="Footnote Text Char"/>
    <w:aliases w:val="5_G Char"/>
    <w:basedOn w:val="DefaultParagraphFont"/>
    <w:link w:val="FootnoteText"/>
    <w:rsid w:val="009B20BC"/>
    <w:rPr>
      <w:sz w:val="18"/>
      <w:lang w:eastAsia="en-US"/>
    </w:rPr>
  </w:style>
  <w:style w:type="paragraph" w:styleId="CommentSubject">
    <w:name w:val="annotation subject"/>
    <w:basedOn w:val="CommentText"/>
    <w:next w:val="CommentText"/>
    <w:link w:val="CommentSubjectChar"/>
    <w:rsid w:val="001A494F"/>
    <w:pPr>
      <w:spacing w:line="240" w:lineRule="auto"/>
    </w:pPr>
    <w:rPr>
      <w:b/>
      <w:bCs/>
    </w:rPr>
  </w:style>
  <w:style w:type="character" w:customStyle="1" w:styleId="CommentTextChar">
    <w:name w:val="Comment Text Char"/>
    <w:basedOn w:val="DefaultParagraphFont"/>
    <w:link w:val="CommentText"/>
    <w:semiHidden/>
    <w:rsid w:val="001A494F"/>
    <w:rPr>
      <w:lang w:eastAsia="en-US"/>
    </w:rPr>
  </w:style>
  <w:style w:type="character" w:customStyle="1" w:styleId="CommentSubjectChar">
    <w:name w:val="Comment Subject Char"/>
    <w:basedOn w:val="CommentTextChar"/>
    <w:link w:val="CommentSubject"/>
    <w:rsid w:val="001A494F"/>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basedOn w:val="DefaultParagraphFont"/>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paragraph" w:styleId="BalloonText">
    <w:name w:val="Balloon Text"/>
    <w:basedOn w:val="Normal"/>
    <w:link w:val="BalloonTextChar"/>
    <w:rsid w:val="00F21F1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21F13"/>
    <w:rPr>
      <w:rFonts w:ascii="Tahoma" w:hAnsi="Tahoma" w:cs="Tahoma"/>
      <w:sz w:val="16"/>
      <w:szCs w:val="16"/>
      <w:lang w:eastAsia="en-US"/>
    </w:rPr>
  </w:style>
  <w:style w:type="character" w:customStyle="1" w:styleId="HChGChar">
    <w:name w:val="_ H _Ch_G Char"/>
    <w:link w:val="HChG"/>
    <w:rsid w:val="00FD124E"/>
    <w:rPr>
      <w:b/>
      <w:sz w:val="28"/>
      <w:lang w:eastAsia="en-US"/>
    </w:rPr>
  </w:style>
  <w:style w:type="character" w:customStyle="1" w:styleId="SingleTxtGChar">
    <w:name w:val="_ Single Txt_G Char"/>
    <w:link w:val="SingleTxtG"/>
    <w:rsid w:val="00FD124E"/>
    <w:rPr>
      <w:lang w:eastAsia="en-US"/>
    </w:rPr>
  </w:style>
  <w:style w:type="character" w:customStyle="1" w:styleId="FootnoteTextChar">
    <w:name w:val="Footnote Text Char"/>
    <w:aliases w:val="5_G Char"/>
    <w:basedOn w:val="DefaultParagraphFont"/>
    <w:link w:val="FootnoteText"/>
    <w:rsid w:val="009B20BC"/>
    <w:rPr>
      <w:sz w:val="18"/>
      <w:lang w:eastAsia="en-US"/>
    </w:rPr>
  </w:style>
  <w:style w:type="paragraph" w:styleId="CommentSubject">
    <w:name w:val="annotation subject"/>
    <w:basedOn w:val="CommentText"/>
    <w:next w:val="CommentText"/>
    <w:link w:val="CommentSubjectChar"/>
    <w:rsid w:val="001A494F"/>
    <w:pPr>
      <w:spacing w:line="240" w:lineRule="auto"/>
    </w:pPr>
    <w:rPr>
      <w:b/>
      <w:bCs/>
    </w:rPr>
  </w:style>
  <w:style w:type="character" w:customStyle="1" w:styleId="CommentTextChar">
    <w:name w:val="Comment Text Char"/>
    <w:basedOn w:val="DefaultParagraphFont"/>
    <w:link w:val="CommentText"/>
    <w:semiHidden/>
    <w:rsid w:val="001A494F"/>
    <w:rPr>
      <w:lang w:eastAsia="en-US"/>
    </w:rPr>
  </w:style>
  <w:style w:type="character" w:customStyle="1" w:styleId="CommentSubjectChar">
    <w:name w:val="Comment Subject Char"/>
    <w:basedOn w:val="CommentTextChar"/>
    <w:link w:val="CommentSubject"/>
    <w:rsid w:val="001A494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4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D083C-C899-4FA1-975A-91AE793F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AC10_C4_E.dotm</Template>
  <TotalTime>94</TotalTime>
  <Pages>5</Pages>
  <Words>710</Words>
  <Characters>3828</Characters>
  <Application>Microsoft Office Word</Application>
  <DocSecurity>0</DocSecurity>
  <Lines>103</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18</cp:revision>
  <cp:lastPrinted>2016-04-15T16:45:00Z</cp:lastPrinted>
  <dcterms:created xsi:type="dcterms:W3CDTF">2016-04-12T08:23:00Z</dcterms:created>
  <dcterms:modified xsi:type="dcterms:W3CDTF">2016-04-15T16:46:00Z</dcterms:modified>
</cp:coreProperties>
</file>