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0D303C" w:rsidTr="0034591A">
        <w:trPr>
          <w:trHeight w:hRule="exact" w:val="851"/>
        </w:trPr>
        <w:tc>
          <w:tcPr>
            <w:tcW w:w="1276" w:type="dxa"/>
            <w:tcBorders>
              <w:bottom w:val="single" w:sz="4" w:space="0" w:color="auto"/>
            </w:tcBorders>
          </w:tcPr>
          <w:p w:rsidR="00482AF2" w:rsidRPr="000D303C" w:rsidRDefault="00482AF2" w:rsidP="00866D64">
            <w:pPr>
              <w:rPr>
                <w:lang w:val="fr-FR"/>
              </w:rPr>
            </w:pPr>
            <w:bookmarkStart w:id="0" w:name="_GoBack"/>
            <w:bookmarkEnd w:id="0"/>
          </w:p>
        </w:tc>
        <w:tc>
          <w:tcPr>
            <w:tcW w:w="2268" w:type="dxa"/>
            <w:tcBorders>
              <w:bottom w:val="single" w:sz="4" w:space="0" w:color="auto"/>
            </w:tcBorders>
            <w:vAlign w:val="bottom"/>
          </w:tcPr>
          <w:p w:rsidR="00482AF2" w:rsidRPr="000D303C" w:rsidRDefault="00482AF2" w:rsidP="00866D64">
            <w:pPr>
              <w:spacing w:after="80" w:line="300" w:lineRule="exact"/>
              <w:rPr>
                <w:sz w:val="28"/>
                <w:lang w:val="fr-FR"/>
              </w:rPr>
            </w:pPr>
            <w:r w:rsidRPr="000D303C">
              <w:rPr>
                <w:sz w:val="28"/>
                <w:lang w:val="fr-FR"/>
              </w:rPr>
              <w:t>Nations Unies</w:t>
            </w:r>
          </w:p>
        </w:tc>
        <w:tc>
          <w:tcPr>
            <w:tcW w:w="6095" w:type="dxa"/>
            <w:gridSpan w:val="2"/>
            <w:tcBorders>
              <w:bottom w:val="single" w:sz="4" w:space="0" w:color="auto"/>
            </w:tcBorders>
            <w:vAlign w:val="bottom"/>
          </w:tcPr>
          <w:p w:rsidR="00482AF2" w:rsidRPr="000D303C" w:rsidRDefault="00244DAA" w:rsidP="00244DAA">
            <w:pPr>
              <w:jc w:val="right"/>
              <w:rPr>
                <w:lang w:val="fr-FR"/>
              </w:rPr>
            </w:pPr>
            <w:r w:rsidRPr="000D303C">
              <w:rPr>
                <w:sz w:val="40"/>
                <w:lang w:val="fr-FR"/>
              </w:rPr>
              <w:t>ST</w:t>
            </w:r>
            <w:r w:rsidRPr="000D303C">
              <w:rPr>
                <w:lang w:val="fr-FR"/>
              </w:rPr>
              <w:t>/SG/AC.10/C.4/2016/11</w:t>
            </w:r>
          </w:p>
        </w:tc>
      </w:tr>
      <w:tr w:rsidR="00482AF2" w:rsidRPr="000D303C" w:rsidTr="00866D64">
        <w:trPr>
          <w:trHeight w:hRule="exact" w:val="2835"/>
        </w:trPr>
        <w:tc>
          <w:tcPr>
            <w:tcW w:w="1276" w:type="dxa"/>
            <w:tcBorders>
              <w:top w:val="single" w:sz="4" w:space="0" w:color="auto"/>
              <w:bottom w:val="single" w:sz="12" w:space="0" w:color="auto"/>
            </w:tcBorders>
          </w:tcPr>
          <w:p w:rsidR="00482AF2" w:rsidRPr="000D303C" w:rsidRDefault="00A27836" w:rsidP="00866D64">
            <w:pPr>
              <w:spacing w:before="120"/>
              <w:jc w:val="center"/>
              <w:rPr>
                <w:lang w:val="fr-FR"/>
              </w:rPr>
            </w:pPr>
            <w:r w:rsidRPr="000D303C">
              <w:rPr>
                <w:noProof/>
                <w:lang w:val="en-GB" w:eastAsia="en-GB"/>
              </w:rPr>
              <w:drawing>
                <wp:inline distT="0" distB="0" distL="0" distR="0" wp14:anchorId="2F9D7BD8" wp14:editId="47A4E27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0D303C" w:rsidRDefault="00482AF2" w:rsidP="00866D64">
            <w:pPr>
              <w:spacing w:before="120" w:line="420" w:lineRule="exact"/>
              <w:rPr>
                <w:b/>
                <w:sz w:val="40"/>
                <w:szCs w:val="40"/>
                <w:lang w:val="fr-FR"/>
              </w:rPr>
            </w:pPr>
            <w:r w:rsidRPr="000D303C">
              <w:rPr>
                <w:b/>
                <w:sz w:val="40"/>
                <w:szCs w:val="40"/>
                <w:lang w:val="fr-FR"/>
              </w:rPr>
              <w:t>Secrétariat</w:t>
            </w:r>
          </w:p>
        </w:tc>
        <w:tc>
          <w:tcPr>
            <w:tcW w:w="2835" w:type="dxa"/>
            <w:tcBorders>
              <w:top w:val="single" w:sz="4" w:space="0" w:color="auto"/>
              <w:bottom w:val="single" w:sz="12" w:space="0" w:color="auto"/>
            </w:tcBorders>
          </w:tcPr>
          <w:p w:rsidR="00482AF2" w:rsidRPr="000D303C" w:rsidRDefault="00244DAA" w:rsidP="00244DAA">
            <w:pPr>
              <w:spacing w:before="240" w:line="240" w:lineRule="exact"/>
              <w:rPr>
                <w:lang w:val="fr-FR"/>
              </w:rPr>
            </w:pPr>
            <w:r w:rsidRPr="000D303C">
              <w:rPr>
                <w:lang w:val="fr-FR"/>
              </w:rPr>
              <w:t>Distr. générale</w:t>
            </w:r>
          </w:p>
          <w:p w:rsidR="00244DAA" w:rsidRPr="000D303C" w:rsidRDefault="008A2E9A" w:rsidP="00244DAA">
            <w:pPr>
              <w:spacing w:line="240" w:lineRule="exact"/>
              <w:rPr>
                <w:lang w:val="fr-FR"/>
              </w:rPr>
            </w:pPr>
            <w:r>
              <w:rPr>
                <w:lang w:val="fr-FR"/>
              </w:rPr>
              <w:t>19</w:t>
            </w:r>
            <w:r w:rsidR="00244DAA" w:rsidRPr="000D303C">
              <w:rPr>
                <w:lang w:val="fr-FR"/>
              </w:rPr>
              <w:t xml:space="preserve"> </w:t>
            </w:r>
            <w:r w:rsidR="00DA0C59">
              <w:rPr>
                <w:lang w:val="fr-FR"/>
              </w:rPr>
              <w:t xml:space="preserve">septembre </w:t>
            </w:r>
            <w:r w:rsidR="00244DAA" w:rsidRPr="000D303C">
              <w:rPr>
                <w:lang w:val="fr-FR"/>
              </w:rPr>
              <w:t>2016</w:t>
            </w:r>
          </w:p>
          <w:p w:rsidR="00244DAA" w:rsidRPr="000D303C" w:rsidRDefault="002B0951" w:rsidP="00244DAA">
            <w:pPr>
              <w:spacing w:line="240" w:lineRule="exact"/>
              <w:rPr>
                <w:lang w:val="fr-FR"/>
              </w:rPr>
            </w:pPr>
            <w:r>
              <w:rPr>
                <w:lang w:val="fr-FR"/>
              </w:rPr>
              <w:t>français</w:t>
            </w:r>
          </w:p>
          <w:p w:rsidR="00244DAA" w:rsidRPr="000D303C" w:rsidRDefault="00244DAA" w:rsidP="00244DAA">
            <w:pPr>
              <w:spacing w:line="240" w:lineRule="exact"/>
              <w:rPr>
                <w:lang w:val="fr-FR"/>
              </w:rPr>
            </w:pPr>
            <w:r w:rsidRPr="000D303C">
              <w:rPr>
                <w:lang w:val="fr-FR"/>
              </w:rPr>
              <w:t xml:space="preserve">Original: </w:t>
            </w:r>
            <w:r w:rsidR="006606B5">
              <w:rPr>
                <w:lang w:val="fr-FR"/>
              </w:rPr>
              <w:t xml:space="preserve">anglais et </w:t>
            </w:r>
            <w:r w:rsidRPr="000D303C">
              <w:rPr>
                <w:lang w:val="fr-FR"/>
              </w:rPr>
              <w:t xml:space="preserve">français </w:t>
            </w:r>
          </w:p>
        </w:tc>
      </w:tr>
    </w:tbl>
    <w:p w:rsidR="0034591A" w:rsidRPr="000D303C" w:rsidRDefault="0034591A" w:rsidP="00CA0680">
      <w:pPr>
        <w:spacing w:before="120"/>
        <w:rPr>
          <w:b/>
          <w:sz w:val="24"/>
          <w:szCs w:val="24"/>
          <w:lang w:val="fr-FR"/>
        </w:rPr>
      </w:pPr>
      <w:r w:rsidRPr="000D303C">
        <w:rPr>
          <w:b/>
          <w:sz w:val="24"/>
          <w:szCs w:val="24"/>
          <w:lang w:val="fr-FR"/>
        </w:rPr>
        <w:t>C</w:t>
      </w:r>
      <w:r w:rsidR="00CA0680" w:rsidRPr="000D303C">
        <w:rPr>
          <w:b/>
          <w:sz w:val="24"/>
          <w:szCs w:val="24"/>
          <w:lang w:val="fr-FR"/>
        </w:rPr>
        <w:t>omité d’experts du transport des marchandises dangereuses</w:t>
      </w:r>
      <w:r w:rsidR="00CA0680" w:rsidRPr="000D303C">
        <w:rPr>
          <w:b/>
          <w:sz w:val="24"/>
          <w:szCs w:val="24"/>
          <w:lang w:val="fr-FR"/>
        </w:rPr>
        <w:br/>
        <w:t>et du Système général harmonisé de classification</w:t>
      </w:r>
      <w:r w:rsidR="00CA0680" w:rsidRPr="000D303C">
        <w:rPr>
          <w:b/>
          <w:sz w:val="24"/>
          <w:szCs w:val="24"/>
          <w:lang w:val="fr-FR"/>
        </w:rPr>
        <w:br/>
        <w:t>et d’étiquetage des produits chimiques</w:t>
      </w:r>
    </w:p>
    <w:p w:rsidR="0034591A" w:rsidRPr="000D303C" w:rsidRDefault="0034591A" w:rsidP="0094723C">
      <w:pPr>
        <w:spacing w:before="120"/>
        <w:rPr>
          <w:b/>
          <w:lang w:val="fr-FR"/>
        </w:rPr>
      </w:pPr>
      <w:r w:rsidRPr="000D303C">
        <w:rPr>
          <w:b/>
          <w:lang w:val="fr-FR"/>
        </w:rPr>
        <w:t>Sous</w:t>
      </w:r>
      <w:r w:rsidR="00CA0680" w:rsidRPr="000D303C">
        <w:rPr>
          <w:b/>
          <w:lang w:val="fr-FR"/>
        </w:rPr>
        <w:t>-</w:t>
      </w:r>
      <w:r w:rsidRPr="000D303C">
        <w:rPr>
          <w:b/>
          <w:lang w:val="fr-FR"/>
        </w:rPr>
        <w:t xml:space="preserve">Comité d’experts </w:t>
      </w:r>
      <w:r w:rsidR="00F34A9F" w:rsidRPr="000D303C">
        <w:rPr>
          <w:b/>
          <w:lang w:val="fr-FR"/>
        </w:rPr>
        <w:t>du Système général harmonisé</w:t>
      </w:r>
      <w:r w:rsidR="00F34A9F" w:rsidRPr="000D303C">
        <w:rPr>
          <w:b/>
          <w:lang w:val="fr-FR"/>
        </w:rPr>
        <w:br/>
        <w:t>de classification et d’étiquetage des produits chimiques</w:t>
      </w:r>
    </w:p>
    <w:p w:rsidR="0038293E" w:rsidRPr="000D303C" w:rsidRDefault="0038293E" w:rsidP="0038293E">
      <w:pPr>
        <w:spacing w:before="100"/>
        <w:rPr>
          <w:b/>
          <w:lang w:val="fr-FR"/>
        </w:rPr>
      </w:pPr>
      <w:r w:rsidRPr="000D303C">
        <w:rPr>
          <w:b/>
          <w:lang w:val="fr-FR"/>
        </w:rPr>
        <w:t>Trente-deuxième session</w:t>
      </w:r>
    </w:p>
    <w:p w:rsidR="00FF1DBD" w:rsidRPr="000D303C" w:rsidRDefault="0038293E" w:rsidP="0038293E">
      <w:pPr>
        <w:rPr>
          <w:lang w:val="fr-FR"/>
        </w:rPr>
      </w:pPr>
      <w:r w:rsidRPr="000D303C">
        <w:rPr>
          <w:lang w:val="fr-FR"/>
        </w:rPr>
        <w:t>Genève, 7</w:t>
      </w:r>
      <w:r w:rsidR="008A2E9A">
        <w:rPr>
          <w:lang w:val="fr-FR"/>
        </w:rPr>
        <w:t>-</w:t>
      </w:r>
      <w:r w:rsidRPr="000D303C">
        <w:rPr>
          <w:lang w:val="fr-FR"/>
        </w:rPr>
        <w:t>9 décembre 2016</w:t>
      </w:r>
      <w:r w:rsidRPr="000D303C">
        <w:rPr>
          <w:lang w:val="fr-FR"/>
        </w:rPr>
        <w:br/>
      </w:r>
      <w:r w:rsidR="0034591A" w:rsidRPr="000D303C">
        <w:rPr>
          <w:lang w:val="fr-FR"/>
        </w:rPr>
        <w:t xml:space="preserve">Point </w:t>
      </w:r>
      <w:r w:rsidRPr="000D303C">
        <w:rPr>
          <w:lang w:val="fr-FR"/>
        </w:rPr>
        <w:t>2 a)</w:t>
      </w:r>
      <w:r w:rsidR="0034591A" w:rsidRPr="000D303C">
        <w:rPr>
          <w:lang w:val="fr-FR"/>
        </w:rPr>
        <w:t xml:space="preserve"> de l’ordre du jour provisoire</w:t>
      </w:r>
    </w:p>
    <w:p w:rsidR="0038293E" w:rsidRPr="000D303C" w:rsidRDefault="0038293E" w:rsidP="0038293E">
      <w:pPr>
        <w:rPr>
          <w:b/>
          <w:lang w:val="fr-FR"/>
        </w:rPr>
      </w:pPr>
      <w:r w:rsidRPr="000D303C">
        <w:rPr>
          <w:b/>
          <w:lang w:val="fr-FR"/>
        </w:rPr>
        <w:t>Critères de classification et commu</w:t>
      </w:r>
      <w:r w:rsidR="002B0951">
        <w:rPr>
          <w:b/>
          <w:lang w:val="fr-FR"/>
        </w:rPr>
        <w:t>nication des dangers y relatifs</w:t>
      </w:r>
      <w:r w:rsidRPr="000D303C">
        <w:rPr>
          <w:b/>
          <w:lang w:val="fr-FR"/>
        </w:rPr>
        <w:t>:</w:t>
      </w:r>
    </w:p>
    <w:p w:rsidR="0038293E" w:rsidRPr="000D303C" w:rsidRDefault="002B0951" w:rsidP="0038293E">
      <w:pPr>
        <w:rPr>
          <w:b/>
          <w:lang w:val="fr-FR"/>
        </w:rPr>
      </w:pPr>
      <w:r>
        <w:rPr>
          <w:b/>
          <w:lang w:val="fr-FR"/>
        </w:rPr>
        <w:t>r</w:t>
      </w:r>
      <w:r w:rsidR="0038293E" w:rsidRPr="000D303C">
        <w:rPr>
          <w:b/>
          <w:lang w:val="fr-FR"/>
        </w:rPr>
        <w:t xml:space="preserve">ecommandations du Sous-Comité formulées à ses vingt-neuvième, </w:t>
      </w:r>
    </w:p>
    <w:p w:rsidR="00CA0680" w:rsidRPr="000D303C" w:rsidRDefault="00441802" w:rsidP="0034591A">
      <w:pPr>
        <w:rPr>
          <w:b/>
          <w:lang w:val="fr-FR"/>
        </w:rPr>
      </w:pPr>
      <w:r w:rsidRPr="000D303C">
        <w:rPr>
          <w:b/>
          <w:lang w:val="fr-FR"/>
        </w:rPr>
        <w:t>trentième</w:t>
      </w:r>
      <w:r w:rsidR="0038293E" w:rsidRPr="000D303C">
        <w:rPr>
          <w:b/>
          <w:lang w:val="fr-FR"/>
        </w:rPr>
        <w:t xml:space="preserve"> et trente-et-unième sessions</w:t>
      </w:r>
    </w:p>
    <w:p w:rsidR="0038293E" w:rsidRPr="000D303C" w:rsidRDefault="0038293E" w:rsidP="0034591A">
      <w:pPr>
        <w:rPr>
          <w:b/>
          <w:lang w:val="fr-FR"/>
        </w:rPr>
      </w:pPr>
    </w:p>
    <w:p w:rsidR="00AC6D49" w:rsidRDefault="00441802" w:rsidP="00441802">
      <w:pPr>
        <w:pStyle w:val="HChG"/>
        <w:rPr>
          <w:lang w:val="fr-FR"/>
        </w:rPr>
      </w:pPr>
      <w:r w:rsidRPr="000D303C">
        <w:rPr>
          <w:lang w:val="fr-FR"/>
        </w:rPr>
        <w:tab/>
      </w:r>
      <w:r w:rsidRPr="000D303C">
        <w:rPr>
          <w:lang w:val="fr-FR"/>
        </w:rPr>
        <w:tab/>
        <w:t xml:space="preserve">Liste récapitulative des textes adoptés par le sous-comité </w:t>
      </w:r>
      <w:r w:rsidR="00294AA4" w:rsidRPr="000D303C">
        <w:rPr>
          <w:lang w:val="fr-FR"/>
        </w:rPr>
        <w:t>à ses vingt-neuvième, trentième et trente-et-unième sessions</w:t>
      </w:r>
    </w:p>
    <w:p w:rsidR="0038293E" w:rsidRPr="000D303C" w:rsidRDefault="00AC6D49" w:rsidP="00AC6D49">
      <w:pPr>
        <w:pStyle w:val="H1G"/>
        <w:rPr>
          <w:lang w:val="fr-FR"/>
        </w:rPr>
      </w:pPr>
      <w:r>
        <w:rPr>
          <w:lang w:val="fr-FR"/>
        </w:rPr>
        <w:tab/>
      </w:r>
      <w:r>
        <w:rPr>
          <w:lang w:val="fr-FR"/>
        </w:rPr>
        <w:tab/>
        <w:t>Note du secrétariat</w:t>
      </w:r>
      <w:r w:rsidR="00294AA4" w:rsidRPr="000D303C">
        <w:rPr>
          <w:rStyle w:val="FootnoteReference"/>
          <w:lang w:val="fr-FR"/>
        </w:rPr>
        <w:footnoteReference w:id="2"/>
      </w:r>
    </w:p>
    <w:p w:rsidR="0038293E" w:rsidRPr="000D303C" w:rsidRDefault="00441802" w:rsidP="006E31F6">
      <w:pPr>
        <w:pStyle w:val="SingleTxtG"/>
        <w:rPr>
          <w:b/>
          <w:lang w:val="fr-FR"/>
        </w:rPr>
      </w:pPr>
      <w:r w:rsidRPr="000D303C">
        <w:rPr>
          <w:lang w:val="fr-FR"/>
        </w:rPr>
        <w:t xml:space="preserve">Le présent document récapitule les projets d’amendements à la sixième édition révisée du Système général harmonisé de classification et d’étiquetage des produits chimiques (ST/SG/AC.10/30/Rev.6) qui ont été adoptés </w:t>
      </w:r>
      <w:r w:rsidR="006E31F6" w:rsidRPr="000D303C">
        <w:rPr>
          <w:lang w:val="fr-FR"/>
        </w:rPr>
        <w:t xml:space="preserve">par le sous-comité </w:t>
      </w:r>
      <w:r w:rsidRPr="000D303C">
        <w:rPr>
          <w:lang w:val="fr-FR"/>
        </w:rPr>
        <w:t xml:space="preserve">à </w:t>
      </w:r>
      <w:r w:rsidR="006E31F6" w:rsidRPr="000D303C">
        <w:rPr>
          <w:lang w:val="fr-FR"/>
        </w:rPr>
        <w:t xml:space="preserve">ses vingt-neuvième, trentième et trente-et-unième sessions. </w:t>
      </w:r>
    </w:p>
    <w:p w:rsidR="00244DAA" w:rsidRPr="000D303C" w:rsidRDefault="00244DAA">
      <w:pPr>
        <w:suppressAutoHyphens w:val="0"/>
        <w:spacing w:line="240" w:lineRule="auto"/>
        <w:rPr>
          <w:lang w:val="fr-FR"/>
        </w:rPr>
      </w:pPr>
      <w:r w:rsidRPr="000D303C">
        <w:rPr>
          <w:lang w:val="fr-FR"/>
        </w:rPr>
        <w:br w:type="page"/>
      </w:r>
    </w:p>
    <w:p w:rsidR="006E31F6" w:rsidRPr="000D303C" w:rsidRDefault="006E31F6" w:rsidP="006E31F6">
      <w:pPr>
        <w:pStyle w:val="H1G"/>
        <w:rPr>
          <w:lang w:val="fr-FR"/>
        </w:rPr>
      </w:pPr>
      <w:r w:rsidRPr="000D303C">
        <w:rPr>
          <w:lang w:val="fr-FR"/>
        </w:rPr>
        <w:lastRenderedPageBreak/>
        <w:tab/>
      </w:r>
      <w:r w:rsidRPr="000D303C">
        <w:rPr>
          <w:lang w:val="fr-FR"/>
        </w:rPr>
        <w:tab/>
        <w:t>Chapitre 1.2</w:t>
      </w:r>
    </w:p>
    <w:p w:rsidR="006E31F6" w:rsidRPr="000D303C" w:rsidRDefault="006E31F6" w:rsidP="006E31F6">
      <w:pPr>
        <w:pStyle w:val="SingleTxtG"/>
        <w:rPr>
          <w:lang w:val="fr-FR"/>
        </w:rPr>
      </w:pPr>
      <w:r w:rsidRPr="000D303C">
        <w:rPr>
          <w:lang w:val="fr-FR"/>
        </w:rPr>
        <w:t>Supprimer les définitions de «</w:t>
      </w:r>
      <w:r w:rsidR="006606B5">
        <w:rPr>
          <w:lang w:val="fr-FR"/>
        </w:rPr>
        <w:t> </w:t>
      </w:r>
      <w:r w:rsidRPr="000D303C">
        <w:rPr>
          <w:lang w:val="fr-FR"/>
        </w:rPr>
        <w:t>Corrosion cutanée ou corrosion de la peau</w:t>
      </w:r>
      <w:r w:rsidR="006606B5">
        <w:rPr>
          <w:lang w:val="fr-FR"/>
        </w:rPr>
        <w:t> </w:t>
      </w:r>
      <w:r w:rsidRPr="000D303C">
        <w:rPr>
          <w:lang w:val="fr-FR"/>
        </w:rPr>
        <w:t>», «</w:t>
      </w:r>
      <w:r w:rsidR="006606B5">
        <w:rPr>
          <w:lang w:val="fr-FR"/>
        </w:rPr>
        <w:t> </w:t>
      </w:r>
      <w:r w:rsidRPr="000D303C">
        <w:rPr>
          <w:lang w:val="fr-FR"/>
        </w:rPr>
        <w:t>Irritation cutanée</w:t>
      </w:r>
      <w:r w:rsidR="006606B5">
        <w:rPr>
          <w:lang w:val="fr-FR"/>
        </w:rPr>
        <w:t> </w:t>
      </w:r>
      <w:r w:rsidRPr="000D303C">
        <w:rPr>
          <w:lang w:val="fr-FR"/>
        </w:rPr>
        <w:t>», «</w:t>
      </w:r>
      <w:r w:rsidR="006606B5">
        <w:rPr>
          <w:lang w:val="fr-FR"/>
        </w:rPr>
        <w:t> </w:t>
      </w:r>
      <w:r w:rsidRPr="000D303C">
        <w:rPr>
          <w:lang w:val="fr-FR"/>
        </w:rPr>
        <w:t>Lésion cutanée</w:t>
      </w:r>
      <w:r w:rsidR="006606B5">
        <w:rPr>
          <w:lang w:val="fr-FR"/>
        </w:rPr>
        <w:t> </w:t>
      </w:r>
      <w:r w:rsidRPr="000D303C">
        <w:rPr>
          <w:lang w:val="fr-FR"/>
        </w:rPr>
        <w:t>», «</w:t>
      </w:r>
      <w:r w:rsidR="006606B5">
        <w:rPr>
          <w:lang w:val="fr-FR"/>
        </w:rPr>
        <w:t> </w:t>
      </w:r>
      <w:r w:rsidRPr="000D303C">
        <w:rPr>
          <w:lang w:val="fr-FR"/>
        </w:rPr>
        <w:t>Irritation oculaire</w:t>
      </w:r>
      <w:r w:rsidR="006606B5">
        <w:rPr>
          <w:lang w:val="fr-FR"/>
        </w:rPr>
        <w:t> </w:t>
      </w:r>
      <w:r w:rsidRPr="000D303C">
        <w:rPr>
          <w:lang w:val="fr-FR"/>
        </w:rPr>
        <w:t>» et «</w:t>
      </w:r>
      <w:r w:rsidR="006606B5">
        <w:rPr>
          <w:lang w:val="fr-FR"/>
        </w:rPr>
        <w:t> </w:t>
      </w:r>
      <w:r w:rsidRPr="000D303C">
        <w:rPr>
          <w:lang w:val="fr-FR"/>
        </w:rPr>
        <w:t>Lésion oculaire grave</w:t>
      </w:r>
      <w:r w:rsidR="006606B5">
        <w:rPr>
          <w:lang w:val="fr-FR"/>
        </w:rPr>
        <w:t> </w:t>
      </w:r>
      <w:r w:rsidRPr="000D303C">
        <w:rPr>
          <w:lang w:val="fr-FR"/>
        </w:rPr>
        <w:t>».</w:t>
      </w:r>
    </w:p>
    <w:p w:rsidR="006E31F6" w:rsidRPr="000D303C" w:rsidRDefault="006E31F6" w:rsidP="006E31F6">
      <w:pPr>
        <w:pStyle w:val="SingleTxtG"/>
        <w:rPr>
          <w:lang w:val="fr-FR"/>
        </w:rPr>
      </w:pPr>
      <w:r w:rsidRPr="000D303C">
        <w:rPr>
          <w:lang w:val="fr-FR"/>
        </w:rPr>
        <w:t>Dans la définition de «</w:t>
      </w:r>
      <w:r w:rsidR="006606B5">
        <w:rPr>
          <w:lang w:val="fr-FR"/>
        </w:rPr>
        <w:t> </w:t>
      </w:r>
      <w:r w:rsidRPr="000D303C">
        <w:rPr>
          <w:lang w:val="fr-FR"/>
        </w:rPr>
        <w:t>Sensibilisant des voies respiratoires</w:t>
      </w:r>
      <w:r w:rsidR="006606B5">
        <w:rPr>
          <w:lang w:val="fr-FR"/>
        </w:rPr>
        <w:t> </w:t>
      </w:r>
      <w:r w:rsidRPr="000D303C">
        <w:rPr>
          <w:lang w:val="fr-FR"/>
        </w:rPr>
        <w:t>», remplacer «</w:t>
      </w:r>
      <w:r w:rsidR="006606B5">
        <w:rPr>
          <w:lang w:val="fr-FR"/>
        </w:rPr>
        <w:t> </w:t>
      </w:r>
      <w:r w:rsidRPr="000D303C">
        <w:rPr>
          <w:lang w:val="fr-FR"/>
        </w:rPr>
        <w:t>une substance qui, lorsqu’elle est inhalée, provoque</w:t>
      </w:r>
      <w:r w:rsidR="006606B5">
        <w:rPr>
          <w:lang w:val="fr-FR"/>
        </w:rPr>
        <w:t> </w:t>
      </w:r>
      <w:r w:rsidRPr="000D303C">
        <w:rPr>
          <w:lang w:val="fr-FR"/>
        </w:rPr>
        <w:t>» par «</w:t>
      </w:r>
      <w:r w:rsidR="006606B5">
        <w:rPr>
          <w:lang w:val="fr-FR"/>
        </w:rPr>
        <w:t> </w:t>
      </w:r>
      <w:r w:rsidRPr="000D303C">
        <w:rPr>
          <w:lang w:val="fr-FR"/>
        </w:rPr>
        <w:t>une substance ou un mélange dont l’inhalation entraîne</w:t>
      </w:r>
      <w:r w:rsidR="006606B5">
        <w:rPr>
          <w:lang w:val="fr-FR"/>
        </w:rPr>
        <w:t> </w:t>
      </w:r>
      <w:r w:rsidRPr="000D303C">
        <w:rPr>
          <w:lang w:val="fr-FR"/>
        </w:rPr>
        <w:t>».</w:t>
      </w:r>
    </w:p>
    <w:p w:rsidR="006E31F6" w:rsidRPr="000D303C" w:rsidRDefault="006E31F6" w:rsidP="006E31F6">
      <w:pPr>
        <w:pStyle w:val="SingleTxtG"/>
        <w:rPr>
          <w:lang w:val="fr-FR"/>
        </w:rPr>
      </w:pPr>
      <w:r w:rsidRPr="000D303C">
        <w:rPr>
          <w:lang w:val="fr-FR"/>
        </w:rPr>
        <w:t>Dans la définition de «</w:t>
      </w:r>
      <w:r w:rsidR="006606B5">
        <w:rPr>
          <w:lang w:val="fr-FR"/>
        </w:rPr>
        <w:t> </w:t>
      </w:r>
      <w:r w:rsidRPr="000D303C">
        <w:rPr>
          <w:lang w:val="fr-FR"/>
        </w:rPr>
        <w:t>Sensibilisant cutané</w:t>
      </w:r>
      <w:r w:rsidR="006606B5">
        <w:rPr>
          <w:lang w:val="fr-FR"/>
        </w:rPr>
        <w:t> </w:t>
      </w:r>
      <w:r w:rsidRPr="000D303C">
        <w:rPr>
          <w:lang w:val="fr-FR"/>
        </w:rPr>
        <w:t>», remplacer «</w:t>
      </w:r>
      <w:r w:rsidR="006606B5">
        <w:rPr>
          <w:lang w:val="fr-FR"/>
        </w:rPr>
        <w:t> </w:t>
      </w:r>
      <w:r w:rsidRPr="000D303C">
        <w:rPr>
          <w:lang w:val="fr-FR"/>
        </w:rPr>
        <w:t>une substance</w:t>
      </w:r>
      <w:r w:rsidR="006606B5">
        <w:rPr>
          <w:lang w:val="fr-FR"/>
        </w:rPr>
        <w:t> </w:t>
      </w:r>
      <w:r w:rsidRPr="000D303C">
        <w:rPr>
          <w:lang w:val="fr-FR"/>
        </w:rPr>
        <w:t>» par «</w:t>
      </w:r>
      <w:r w:rsidR="006606B5">
        <w:rPr>
          <w:lang w:val="fr-FR"/>
        </w:rPr>
        <w:t> </w:t>
      </w:r>
      <w:r w:rsidRPr="000D303C">
        <w:rPr>
          <w:lang w:val="fr-FR"/>
        </w:rPr>
        <w:t>une substance ou un mélange</w:t>
      </w:r>
      <w:r w:rsidR="006606B5">
        <w:rPr>
          <w:lang w:val="fr-FR"/>
        </w:rPr>
        <w:t> </w:t>
      </w:r>
      <w:r w:rsidRPr="000D303C">
        <w:rPr>
          <w:lang w:val="fr-FR"/>
        </w:rPr>
        <w:t>».</w:t>
      </w:r>
    </w:p>
    <w:p w:rsidR="006E31F6" w:rsidRPr="000D303C" w:rsidRDefault="006E31F6" w:rsidP="006E31F6">
      <w:pPr>
        <w:pStyle w:val="SingleTxtG"/>
        <w:rPr>
          <w:i/>
          <w:lang w:val="fr-FR"/>
        </w:rPr>
      </w:pPr>
      <w:r w:rsidRPr="000D303C">
        <w:rPr>
          <w:i/>
          <w:lang w:val="fr-FR"/>
        </w:rPr>
        <w:t>(Document de référence: ST/SG/AC.10/C.4/62, annexe I)</w:t>
      </w:r>
    </w:p>
    <w:p w:rsidR="00E31D19" w:rsidRPr="000D303C" w:rsidRDefault="00E31D19" w:rsidP="006E172A">
      <w:pPr>
        <w:pStyle w:val="H1G"/>
        <w:spacing w:before="320"/>
        <w:rPr>
          <w:lang w:val="fr-FR"/>
        </w:rPr>
      </w:pPr>
      <w:r w:rsidRPr="000D303C">
        <w:rPr>
          <w:lang w:val="fr-FR"/>
        </w:rPr>
        <w:tab/>
      </w:r>
      <w:r w:rsidRPr="000D303C">
        <w:rPr>
          <w:lang w:val="fr-FR"/>
        </w:rPr>
        <w:tab/>
        <w:t>Chapitre 1.5</w:t>
      </w:r>
    </w:p>
    <w:p w:rsidR="00E31D19" w:rsidRPr="000D303C" w:rsidRDefault="005D30FD" w:rsidP="005D30FD">
      <w:pPr>
        <w:pStyle w:val="SingleTxtG"/>
        <w:ind w:left="2552" w:hanging="1418"/>
        <w:rPr>
          <w:lang w:val="fr-FR"/>
        </w:rPr>
      </w:pPr>
      <w:r w:rsidRPr="000D303C">
        <w:rPr>
          <w:lang w:val="fr-FR"/>
        </w:rPr>
        <w:t>T</w:t>
      </w:r>
      <w:r w:rsidR="00E31D19" w:rsidRPr="000D303C">
        <w:rPr>
          <w:lang w:val="fr-FR"/>
        </w:rPr>
        <w:t>ableau 1.5.1</w:t>
      </w:r>
      <w:r w:rsidRPr="000D303C">
        <w:rPr>
          <w:lang w:val="fr-FR"/>
        </w:rPr>
        <w:t> :</w:t>
      </w:r>
      <w:r w:rsidR="00E31D19" w:rsidRPr="000D303C">
        <w:rPr>
          <w:lang w:val="fr-FR"/>
        </w:rPr>
        <w:t xml:space="preserve"> </w:t>
      </w:r>
      <w:r w:rsidR="00C97344">
        <w:rPr>
          <w:lang w:val="fr-FR"/>
        </w:rPr>
        <w:tab/>
        <w:t>P</w:t>
      </w:r>
      <w:r w:rsidR="00E31D19" w:rsidRPr="000D303C">
        <w:rPr>
          <w:lang w:val="fr-FR"/>
        </w:rPr>
        <w:t xml:space="preserve">our la classe de danger « Danger par aspiration », catégories 1 et 2, remplacer le texte sous l’entête </w:t>
      </w:r>
      <w:r w:rsidRPr="000D303C">
        <w:rPr>
          <w:lang w:val="fr-FR"/>
        </w:rPr>
        <w:t>« Valeur seuil/limite de concentration » par « </w:t>
      </w:r>
      <w:r w:rsidRPr="000D303C">
        <w:rPr>
          <w:color w:val="000000"/>
          <w:szCs w:val="22"/>
          <w:lang w:val="fr-FR"/>
        </w:rPr>
        <w:sym w:font="Symbol" w:char="F0B3"/>
      </w:r>
      <w:r w:rsidRPr="000D303C">
        <w:rPr>
          <w:color w:val="000000"/>
          <w:szCs w:val="22"/>
          <w:lang w:val="fr-FR"/>
        </w:rPr>
        <w:t xml:space="preserve"> 1.0% ».</w:t>
      </w:r>
    </w:p>
    <w:p w:rsidR="005D30FD" w:rsidRPr="000D303C" w:rsidRDefault="00E31D19" w:rsidP="005D30FD">
      <w:pPr>
        <w:pStyle w:val="SingleTxtG"/>
        <w:tabs>
          <w:tab w:val="left" w:pos="2552"/>
        </w:tabs>
        <w:rPr>
          <w:lang w:val="fr-FR"/>
        </w:rPr>
      </w:pPr>
      <w:r w:rsidRPr="000D303C">
        <w:rPr>
          <w:lang w:val="fr-FR"/>
        </w:rPr>
        <w:t>1.5.3.3.1</w:t>
      </w:r>
      <w:r w:rsidR="005D30FD" w:rsidRPr="000D303C">
        <w:rPr>
          <w:lang w:val="fr-FR"/>
        </w:rPr>
        <w:tab/>
        <w:t>A</w:t>
      </w:r>
      <w:r w:rsidRPr="000D303C">
        <w:rPr>
          <w:lang w:val="fr-FR"/>
        </w:rPr>
        <w:t xml:space="preserve">jouter à la fin la phrase suivante : </w:t>
      </w:r>
    </w:p>
    <w:p w:rsidR="005D30FD" w:rsidRPr="000D303C" w:rsidRDefault="00E31D19" w:rsidP="005D30FD">
      <w:pPr>
        <w:pStyle w:val="SingleTxtG"/>
        <w:tabs>
          <w:tab w:val="left" w:pos="2552"/>
        </w:tabs>
        <w:ind w:left="2552"/>
        <w:rPr>
          <w:lang w:val="fr-FR"/>
        </w:rPr>
      </w:pPr>
      <w:r w:rsidRPr="000D303C">
        <w:rPr>
          <w:lang w:val="fr-FR"/>
        </w:rPr>
        <w:t>« On trouvera à l’annexe 4 des conseils sur la préparation de</w:t>
      </w:r>
      <w:r w:rsidR="00C97344">
        <w:rPr>
          <w:lang w:val="fr-FR"/>
        </w:rPr>
        <w:t>s</w:t>
      </w:r>
      <w:r w:rsidRPr="000D303C">
        <w:rPr>
          <w:lang w:val="fr-FR"/>
        </w:rPr>
        <w:t xml:space="preserve"> FDS conformément aux prescriptions du SGH. ». </w:t>
      </w:r>
    </w:p>
    <w:p w:rsidR="005D30FD" w:rsidRPr="000D303C" w:rsidRDefault="00E31D19" w:rsidP="005D30FD">
      <w:pPr>
        <w:pStyle w:val="SingleTxtG"/>
        <w:tabs>
          <w:tab w:val="left" w:pos="2552"/>
        </w:tabs>
        <w:rPr>
          <w:lang w:val="fr-FR"/>
        </w:rPr>
      </w:pPr>
      <w:r w:rsidRPr="000D303C">
        <w:rPr>
          <w:lang w:val="fr-FR"/>
        </w:rPr>
        <w:t>1.5.3.3.3</w:t>
      </w:r>
      <w:r w:rsidR="005D30FD" w:rsidRPr="000D303C">
        <w:rPr>
          <w:lang w:val="fr-FR"/>
        </w:rPr>
        <w:tab/>
        <w:t>S</w:t>
      </w:r>
      <w:r w:rsidRPr="000D303C">
        <w:rPr>
          <w:lang w:val="fr-FR"/>
        </w:rPr>
        <w:t xml:space="preserve">upprimer. </w:t>
      </w:r>
    </w:p>
    <w:p w:rsidR="00E31D19" w:rsidRPr="000D303C" w:rsidRDefault="005D30FD" w:rsidP="005D30FD">
      <w:pPr>
        <w:pStyle w:val="SingleTxtG"/>
        <w:tabs>
          <w:tab w:val="left" w:pos="2552"/>
        </w:tabs>
        <w:rPr>
          <w:lang w:val="fr-FR"/>
        </w:rPr>
      </w:pPr>
      <w:r w:rsidRPr="000D303C">
        <w:rPr>
          <w:lang w:val="fr-FR"/>
        </w:rPr>
        <w:t>1.5.3.3.4</w:t>
      </w:r>
      <w:r w:rsidRPr="000D303C">
        <w:rPr>
          <w:lang w:val="fr-FR"/>
        </w:rPr>
        <w:tab/>
      </w:r>
      <w:r w:rsidR="00E31D19" w:rsidRPr="000D303C">
        <w:rPr>
          <w:lang w:val="fr-FR"/>
        </w:rPr>
        <w:t xml:space="preserve">Le paragraphe 1.5.3.3.4 </w:t>
      </w:r>
      <w:r w:rsidRPr="000D303C">
        <w:rPr>
          <w:lang w:val="fr-FR"/>
        </w:rPr>
        <w:t xml:space="preserve">actuel </w:t>
      </w:r>
      <w:r w:rsidR="00E31D19" w:rsidRPr="000D303C">
        <w:rPr>
          <w:lang w:val="fr-FR"/>
        </w:rPr>
        <w:t xml:space="preserve">devient le </w:t>
      </w:r>
      <w:r w:rsidRPr="000D303C">
        <w:rPr>
          <w:lang w:val="fr-FR"/>
        </w:rPr>
        <w:t xml:space="preserve">nouveau </w:t>
      </w:r>
      <w:r w:rsidR="00E31D19" w:rsidRPr="000D303C">
        <w:rPr>
          <w:lang w:val="fr-FR"/>
        </w:rPr>
        <w:t>paragraphe 1.5.3.3.</w:t>
      </w:r>
      <w:r w:rsidR="00397670" w:rsidRPr="000D303C">
        <w:rPr>
          <w:lang w:val="fr-FR"/>
        </w:rPr>
        <w:t>4</w:t>
      </w:r>
      <w:r w:rsidR="00E31D19" w:rsidRPr="000D303C">
        <w:rPr>
          <w:lang w:val="fr-FR"/>
        </w:rPr>
        <w:t>.</w:t>
      </w:r>
    </w:p>
    <w:p w:rsidR="00397670" w:rsidRPr="000D303C" w:rsidRDefault="00397670" w:rsidP="00397670">
      <w:pPr>
        <w:pStyle w:val="SingleTxtG"/>
        <w:rPr>
          <w:i/>
          <w:lang w:val="fr-FR"/>
        </w:rPr>
      </w:pPr>
      <w:r w:rsidRPr="000D303C">
        <w:rPr>
          <w:i/>
          <w:lang w:val="fr-FR"/>
        </w:rPr>
        <w:t>(Document de référence: ST/SG/AC.10/C.4/2016/9 et ST/SG/AC.10/C.4/62, annexe I)</w:t>
      </w:r>
    </w:p>
    <w:p w:rsidR="00397670" w:rsidRPr="000D303C" w:rsidRDefault="00397670" w:rsidP="006E172A">
      <w:pPr>
        <w:pStyle w:val="H1G"/>
        <w:spacing w:before="320"/>
        <w:rPr>
          <w:lang w:val="fr-FR"/>
        </w:rPr>
      </w:pPr>
      <w:r w:rsidRPr="000D303C">
        <w:rPr>
          <w:lang w:val="fr-FR"/>
        </w:rPr>
        <w:tab/>
      </w:r>
      <w:r w:rsidRPr="000D303C">
        <w:rPr>
          <w:lang w:val="fr-FR"/>
        </w:rPr>
        <w:tab/>
        <w:t>Chapitre 2.17</w:t>
      </w:r>
    </w:p>
    <w:p w:rsidR="00397670" w:rsidRPr="000D303C" w:rsidRDefault="00397670" w:rsidP="00397670">
      <w:pPr>
        <w:pStyle w:val="SingleTxtG"/>
        <w:ind w:left="2552" w:hanging="1418"/>
        <w:rPr>
          <w:lang w:val="fr-FR"/>
        </w:rPr>
      </w:pPr>
      <w:r w:rsidRPr="000D303C">
        <w:rPr>
          <w:lang w:val="fr-FR"/>
        </w:rPr>
        <w:t>2.17.2.1</w:t>
      </w:r>
      <w:r w:rsidRPr="000D303C">
        <w:rPr>
          <w:lang w:val="fr-FR"/>
        </w:rPr>
        <w:tab/>
        <w:t xml:space="preserve">Modifier le texte avant les alinéas </w:t>
      </w:r>
      <w:r w:rsidR="006E172A">
        <w:rPr>
          <w:lang w:val="fr-FR"/>
        </w:rPr>
        <w:t xml:space="preserve">a) et b) </w:t>
      </w:r>
      <w:r w:rsidRPr="000D303C">
        <w:rPr>
          <w:lang w:val="fr-FR"/>
        </w:rPr>
        <w:t>pour lire comme suit: «Toute matière explosible désensibilisée dans un état désensibilisé est considérée comme relevant de cette classe, sauf si, dans cet état:».</w:t>
      </w:r>
    </w:p>
    <w:p w:rsidR="00397670" w:rsidRPr="000D303C" w:rsidRDefault="00397670" w:rsidP="00397670">
      <w:pPr>
        <w:pStyle w:val="SingleTxtG"/>
        <w:ind w:left="2552" w:hanging="1418"/>
        <w:rPr>
          <w:lang w:val="fr-FR"/>
        </w:rPr>
      </w:pPr>
      <w:r w:rsidRPr="000D303C">
        <w:rPr>
          <w:lang w:val="fr-FR"/>
        </w:rPr>
        <w:t>2.17.2.1 a)</w:t>
      </w:r>
      <w:r w:rsidRPr="000D303C">
        <w:rPr>
          <w:lang w:val="fr-FR"/>
        </w:rPr>
        <w:tab/>
        <w:t>Modifier pour lire comme suit:</w:t>
      </w:r>
    </w:p>
    <w:p w:rsidR="00397670" w:rsidRPr="000D303C" w:rsidRDefault="00397670" w:rsidP="00397670">
      <w:pPr>
        <w:pStyle w:val="SingleTxtG"/>
        <w:tabs>
          <w:tab w:val="left" w:pos="3119"/>
        </w:tabs>
        <w:ind w:left="2552" w:hanging="1418"/>
        <w:rPr>
          <w:lang w:val="fr-FR"/>
        </w:rPr>
      </w:pPr>
      <w:r w:rsidRPr="000D303C">
        <w:rPr>
          <w:lang w:val="fr-FR"/>
        </w:rPr>
        <w:tab/>
        <w:t>«a)</w:t>
      </w:r>
      <w:r w:rsidRPr="000D303C">
        <w:rPr>
          <w:lang w:val="fr-FR"/>
        </w:rPr>
        <w:tab/>
        <w:t>Elle est destinée à produire un effet pratique explosif ou pyrotechnique;».</w:t>
      </w:r>
    </w:p>
    <w:p w:rsidR="00397670" w:rsidRPr="000D303C" w:rsidRDefault="00397670" w:rsidP="00397670">
      <w:pPr>
        <w:pStyle w:val="SingleTxtG"/>
        <w:ind w:left="2552" w:hanging="1418"/>
        <w:rPr>
          <w:lang w:val="fr-FR"/>
        </w:rPr>
      </w:pPr>
      <w:r w:rsidRPr="000D303C">
        <w:rPr>
          <w:lang w:val="fr-FR"/>
        </w:rPr>
        <w:t>2.17.2.1 b)</w:t>
      </w:r>
      <w:r w:rsidRPr="000D303C">
        <w:rPr>
          <w:lang w:val="fr-FR"/>
        </w:rPr>
        <w:tab/>
        <w:t>Remplacer «sa vitesse» par «la vitesse».</w:t>
      </w:r>
    </w:p>
    <w:p w:rsidR="00397670" w:rsidRPr="000D303C" w:rsidRDefault="00397670" w:rsidP="00397670">
      <w:pPr>
        <w:pStyle w:val="SingleTxtG"/>
        <w:ind w:left="2552" w:hanging="1418"/>
        <w:rPr>
          <w:lang w:val="fr-FR"/>
        </w:rPr>
      </w:pPr>
      <w:r w:rsidRPr="000D303C">
        <w:rPr>
          <w:lang w:val="fr-FR"/>
        </w:rPr>
        <w:t>2.17.2.1 c)</w:t>
      </w:r>
      <w:r w:rsidRPr="000D303C">
        <w:rPr>
          <w:lang w:val="fr-FR"/>
        </w:rPr>
        <w:tab/>
        <w:t>Remplacer «Son énergie» par «L’énergie».</w:t>
      </w:r>
    </w:p>
    <w:p w:rsidR="00397670" w:rsidRPr="000D303C" w:rsidRDefault="00397670" w:rsidP="00397670">
      <w:pPr>
        <w:pStyle w:val="SingleTxtG"/>
        <w:rPr>
          <w:iCs/>
          <w:lang w:val="fr-FR"/>
        </w:rPr>
      </w:pPr>
      <w:r w:rsidRPr="000D303C">
        <w:rPr>
          <w:iCs/>
          <w:lang w:val="fr-FR"/>
        </w:rPr>
        <w:t xml:space="preserve">Au </w:t>
      </w:r>
      <w:r w:rsidRPr="000D303C">
        <w:rPr>
          <w:lang w:val="fr-FR"/>
        </w:rPr>
        <w:t>Nota 1, après «</w:t>
      </w:r>
      <w:r w:rsidRPr="000D303C">
        <w:rPr>
          <w:i/>
          <w:lang w:val="fr-FR"/>
        </w:rPr>
        <w:t>qui satisfont aux critères a) ou b)</w:t>
      </w:r>
      <w:r w:rsidRPr="000D303C">
        <w:rPr>
          <w:lang w:val="fr-FR"/>
        </w:rPr>
        <w:t>» ajouter «</w:t>
      </w:r>
      <w:r w:rsidRPr="000D303C">
        <w:rPr>
          <w:i/>
          <w:lang w:val="fr-FR"/>
        </w:rPr>
        <w:t>dans leur état désensibilisé</w:t>
      </w:r>
      <w:r w:rsidR="001A3958">
        <w:rPr>
          <w:lang w:val="fr-FR"/>
        </w:rPr>
        <w:t>».</w:t>
      </w:r>
    </w:p>
    <w:p w:rsidR="00397670" w:rsidRPr="000D303C" w:rsidRDefault="00397670" w:rsidP="00397670">
      <w:pPr>
        <w:pStyle w:val="SingleTxtG"/>
        <w:rPr>
          <w:i/>
          <w:lang w:val="fr-FR"/>
        </w:rPr>
      </w:pPr>
      <w:r w:rsidRPr="000D303C">
        <w:rPr>
          <w:i/>
          <w:lang w:val="fr-FR"/>
        </w:rPr>
        <w:t>(Document de référence: ST/SG/AC.10/C.4/62, annexe I)</w:t>
      </w:r>
    </w:p>
    <w:p w:rsidR="006E31F6" w:rsidRPr="000D303C" w:rsidRDefault="00397670" w:rsidP="006E172A">
      <w:pPr>
        <w:pStyle w:val="H1G"/>
        <w:spacing w:before="320"/>
        <w:rPr>
          <w:lang w:val="fr-FR"/>
        </w:rPr>
      </w:pPr>
      <w:r w:rsidRPr="000D303C">
        <w:rPr>
          <w:lang w:val="fr-FR"/>
        </w:rPr>
        <w:tab/>
      </w:r>
      <w:r w:rsidRPr="000D303C">
        <w:rPr>
          <w:lang w:val="fr-FR"/>
        </w:rPr>
        <w:tab/>
      </w:r>
      <w:r w:rsidR="006E31F6" w:rsidRPr="000D303C">
        <w:rPr>
          <w:lang w:val="fr-FR"/>
        </w:rPr>
        <w:t>Chapitre 3.1</w:t>
      </w:r>
    </w:p>
    <w:p w:rsidR="00EA755E" w:rsidRPr="000D303C" w:rsidRDefault="00EA755E" w:rsidP="00EA755E">
      <w:pPr>
        <w:pStyle w:val="SingleTxtG"/>
        <w:tabs>
          <w:tab w:val="left" w:pos="2268"/>
        </w:tabs>
        <w:rPr>
          <w:lang w:val="fr-FR"/>
        </w:rPr>
      </w:pPr>
      <w:r w:rsidRPr="000D303C">
        <w:rPr>
          <w:lang w:val="fr-FR"/>
        </w:rPr>
        <w:t>3.1.1</w:t>
      </w:r>
      <w:r w:rsidRPr="000D303C">
        <w:rPr>
          <w:lang w:val="fr-FR"/>
        </w:rPr>
        <w:tab/>
        <w:t>Modifier la définition de « toxicité aiguë » comme suit :</w:t>
      </w:r>
    </w:p>
    <w:p w:rsidR="00EA755E" w:rsidRPr="000D303C" w:rsidRDefault="00EA755E" w:rsidP="00EA755E">
      <w:pPr>
        <w:pStyle w:val="SingleTxtG"/>
        <w:tabs>
          <w:tab w:val="left" w:pos="2268"/>
        </w:tabs>
        <w:ind w:left="2268"/>
        <w:rPr>
          <w:lang w:val="fr-FR"/>
        </w:rPr>
      </w:pPr>
      <w:r w:rsidRPr="000D303C">
        <w:rPr>
          <w:lang w:val="fr-FR"/>
        </w:rPr>
        <w:t>«</w:t>
      </w:r>
      <w:r w:rsidR="00D64782">
        <w:rPr>
          <w:lang w:val="fr-FR"/>
        </w:rPr>
        <w:t> </w:t>
      </w:r>
      <w:r w:rsidRPr="000D303C">
        <w:rPr>
          <w:lang w:val="fr-FR"/>
        </w:rPr>
        <w:t xml:space="preserve">La </w:t>
      </w:r>
      <w:r w:rsidRPr="000D303C">
        <w:rPr>
          <w:i/>
          <w:lang w:val="fr-FR"/>
        </w:rPr>
        <w:t>toxicité aiguë</w:t>
      </w:r>
      <w:r w:rsidRPr="000D303C">
        <w:rPr>
          <w:lang w:val="fr-FR"/>
        </w:rPr>
        <w:t xml:space="preserve"> </w:t>
      </w:r>
      <w:r w:rsidR="00E7775A">
        <w:rPr>
          <w:lang w:val="fr-FR"/>
        </w:rPr>
        <w:t>désigne</w:t>
      </w:r>
      <w:r w:rsidRPr="000D303C">
        <w:rPr>
          <w:lang w:val="fr-FR"/>
        </w:rPr>
        <w:t xml:space="preserve"> </w:t>
      </w:r>
      <w:r w:rsidR="00E7775A">
        <w:rPr>
          <w:lang w:val="fr-FR"/>
        </w:rPr>
        <w:t>d</w:t>
      </w:r>
      <w:r w:rsidRPr="000D303C">
        <w:rPr>
          <w:lang w:val="fr-FR"/>
        </w:rPr>
        <w:t>es effets indésirables graves (y compris le décès) qui se manifestent après administration par voie orale ou cutanée d’une dose unique ou suite à une exposition par inhalation d’une substance ou d’un mélange.».</w:t>
      </w:r>
    </w:p>
    <w:p w:rsidR="00EA755E" w:rsidRPr="000D303C" w:rsidRDefault="00EA755E" w:rsidP="00EA755E">
      <w:pPr>
        <w:pStyle w:val="SingleTxtG"/>
        <w:rPr>
          <w:i/>
          <w:lang w:val="fr-FR"/>
        </w:rPr>
      </w:pPr>
      <w:r w:rsidRPr="000D303C">
        <w:rPr>
          <w:i/>
          <w:lang w:val="fr-FR"/>
        </w:rPr>
        <w:t>(Document de référence: ST/SG/AC.10/C.4/2016/9 et ST/SG/AC.10/C.4/62, annexe I)</w:t>
      </w:r>
    </w:p>
    <w:p w:rsidR="006E31F6" w:rsidRPr="000D303C" w:rsidRDefault="006E31F6" w:rsidP="00EA755E">
      <w:pPr>
        <w:pStyle w:val="SingleTxtG"/>
        <w:tabs>
          <w:tab w:val="left" w:pos="2268"/>
        </w:tabs>
        <w:rPr>
          <w:lang w:val="fr-FR"/>
        </w:rPr>
      </w:pPr>
      <w:r w:rsidRPr="000D303C">
        <w:rPr>
          <w:lang w:val="fr-FR"/>
        </w:rPr>
        <w:lastRenderedPageBreak/>
        <w:t>3.1.2</w:t>
      </w:r>
      <w:r w:rsidRPr="000D303C">
        <w:rPr>
          <w:lang w:val="fr-FR"/>
        </w:rPr>
        <w:tab/>
        <w:t>Modifier le tableau 3.1.1 pour lire comme suit:</w:t>
      </w:r>
    </w:p>
    <w:p w:rsidR="006E31F6" w:rsidRPr="000D303C" w:rsidRDefault="006E31F6" w:rsidP="006E31F6">
      <w:pPr>
        <w:pStyle w:val="Heading1"/>
        <w:spacing w:after="120"/>
        <w:ind w:left="0"/>
        <w:jc w:val="center"/>
        <w:rPr>
          <w:b/>
          <w:lang w:val="fr-FR"/>
        </w:rPr>
      </w:pPr>
      <w:r w:rsidRPr="000D303C">
        <w:rPr>
          <w:lang w:val="fr-FR"/>
        </w:rPr>
        <w:t>« </w:t>
      </w:r>
      <w:r w:rsidRPr="000D303C">
        <w:rPr>
          <w:b/>
          <w:lang w:val="fr-FR"/>
        </w:rPr>
        <w:t xml:space="preserve">Tableau 3.1.1 </w:t>
      </w:r>
      <w:r w:rsidRPr="000D303C">
        <w:rPr>
          <w:b/>
          <w:lang w:val="fr-FR"/>
        </w:rPr>
        <w:br/>
        <w:t>Estimations de toxicité aiguë (ETA) et critères définissant les catégories de danger de toxicité aiguë</w:t>
      </w:r>
    </w:p>
    <w:tbl>
      <w:tblPr>
        <w:tblW w:w="8957"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1276"/>
        <w:gridCol w:w="1417"/>
        <w:gridCol w:w="1560"/>
        <w:gridCol w:w="1701"/>
        <w:gridCol w:w="1115"/>
      </w:tblGrid>
      <w:tr w:rsidR="006E31F6" w:rsidRPr="000D303C" w:rsidTr="002720FA">
        <w:trPr>
          <w:trHeight w:val="220"/>
          <w:jc w:val="center"/>
        </w:trPr>
        <w:tc>
          <w:tcPr>
            <w:tcW w:w="1888" w:type="dxa"/>
            <w:vAlign w:val="center"/>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b/>
                <w:bCs/>
                <w:sz w:val="16"/>
                <w:szCs w:val="16"/>
                <w:lang w:val="fr-FR"/>
              </w:rPr>
            </w:pPr>
            <w:r w:rsidRPr="000D303C">
              <w:rPr>
                <w:b/>
                <w:bCs/>
                <w:sz w:val="16"/>
                <w:szCs w:val="16"/>
                <w:lang w:val="fr-FR"/>
              </w:rPr>
              <w:t>Voie d’exposition</w:t>
            </w:r>
          </w:p>
        </w:tc>
        <w:tc>
          <w:tcPr>
            <w:tcW w:w="1276" w:type="dxa"/>
            <w:vAlign w:val="center"/>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0D303C">
              <w:rPr>
                <w:b/>
                <w:bCs/>
                <w:sz w:val="16"/>
                <w:szCs w:val="16"/>
                <w:lang w:val="fr-FR"/>
              </w:rPr>
              <w:t>Catégorie 1</w:t>
            </w:r>
          </w:p>
        </w:tc>
        <w:tc>
          <w:tcPr>
            <w:tcW w:w="1417" w:type="dxa"/>
            <w:vAlign w:val="center"/>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0D303C">
              <w:rPr>
                <w:b/>
                <w:bCs/>
                <w:sz w:val="16"/>
                <w:szCs w:val="16"/>
                <w:lang w:val="fr-FR"/>
              </w:rPr>
              <w:t>Catégorie 2</w:t>
            </w:r>
          </w:p>
        </w:tc>
        <w:tc>
          <w:tcPr>
            <w:tcW w:w="1560" w:type="dxa"/>
            <w:vAlign w:val="center"/>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0D303C">
              <w:rPr>
                <w:b/>
                <w:bCs/>
                <w:sz w:val="16"/>
                <w:szCs w:val="16"/>
                <w:lang w:val="fr-FR"/>
              </w:rPr>
              <w:t>Catégorie 3</w:t>
            </w:r>
          </w:p>
        </w:tc>
        <w:tc>
          <w:tcPr>
            <w:tcW w:w="1701" w:type="dxa"/>
            <w:vAlign w:val="center"/>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0D303C">
              <w:rPr>
                <w:b/>
                <w:bCs/>
                <w:sz w:val="16"/>
                <w:szCs w:val="16"/>
                <w:lang w:val="fr-FR"/>
              </w:rPr>
              <w:t>Catégorie 4</w:t>
            </w:r>
          </w:p>
        </w:tc>
        <w:tc>
          <w:tcPr>
            <w:tcW w:w="1115" w:type="dxa"/>
            <w:vAlign w:val="center"/>
          </w:tcPr>
          <w:p w:rsidR="006E31F6" w:rsidRPr="000D303C" w:rsidRDefault="006E31F6" w:rsidP="002720FA">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ind w:left="-140" w:right="-69"/>
              <w:jc w:val="center"/>
              <w:rPr>
                <w:b/>
                <w:bCs/>
                <w:sz w:val="16"/>
                <w:szCs w:val="16"/>
                <w:lang w:val="fr-FR"/>
              </w:rPr>
            </w:pPr>
            <w:r w:rsidRPr="000D303C">
              <w:rPr>
                <w:b/>
                <w:bCs/>
                <w:sz w:val="16"/>
                <w:szCs w:val="16"/>
                <w:lang w:val="fr-FR"/>
              </w:rPr>
              <w:t>Catégorie 5</w:t>
            </w:r>
          </w:p>
        </w:tc>
      </w:tr>
      <w:tr w:rsidR="006E31F6" w:rsidRPr="000D303C" w:rsidTr="002720FA">
        <w:trPr>
          <w:trHeight w:val="124"/>
          <w:jc w:val="center"/>
        </w:trPr>
        <w:tc>
          <w:tcPr>
            <w:tcW w:w="1888"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0D303C">
              <w:rPr>
                <w:b/>
                <w:bCs/>
                <w:sz w:val="16"/>
                <w:szCs w:val="16"/>
                <w:lang w:val="fr-FR"/>
              </w:rPr>
              <w:t xml:space="preserve">Orale </w:t>
            </w:r>
            <w:r w:rsidRPr="000D303C">
              <w:rPr>
                <w:sz w:val="16"/>
                <w:szCs w:val="16"/>
                <w:lang w:val="fr-FR"/>
              </w:rPr>
              <w:t>(mg/kg de poids corporel)</w:t>
            </w:r>
          </w:p>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0D303C">
              <w:rPr>
                <w:i/>
                <w:iCs/>
                <w:sz w:val="16"/>
                <w:szCs w:val="16"/>
                <w:lang w:val="fr-FR"/>
              </w:rPr>
              <w:t>Voir notes a) et b)</w:t>
            </w:r>
          </w:p>
        </w:tc>
        <w:tc>
          <w:tcPr>
            <w:tcW w:w="1276"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ETA ≤ 5</w:t>
            </w:r>
          </w:p>
        </w:tc>
        <w:tc>
          <w:tcPr>
            <w:tcW w:w="1417"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5 &lt; ETA ≤ 50</w:t>
            </w:r>
          </w:p>
        </w:tc>
        <w:tc>
          <w:tcPr>
            <w:tcW w:w="1560"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50 &lt; ETA ≤ 300</w:t>
            </w:r>
          </w:p>
        </w:tc>
        <w:tc>
          <w:tcPr>
            <w:tcW w:w="1701"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300 &lt; ETA ≤ 2 000</w:t>
            </w:r>
          </w:p>
        </w:tc>
        <w:tc>
          <w:tcPr>
            <w:tcW w:w="1115" w:type="dxa"/>
            <w:vMerge w:val="restart"/>
            <w:vAlign w:val="center"/>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2000 &lt; ETA ≤ 5000</w:t>
            </w:r>
            <w:r w:rsidRPr="000D303C">
              <w:rPr>
                <w:sz w:val="16"/>
                <w:szCs w:val="16"/>
                <w:lang w:val="fr-FR"/>
              </w:rPr>
              <w:br/>
            </w:r>
            <w:r w:rsidRPr="000D303C">
              <w:rPr>
                <w:i/>
                <w:iCs/>
                <w:sz w:val="16"/>
                <w:szCs w:val="16"/>
                <w:lang w:val="fr-FR"/>
              </w:rPr>
              <w:t xml:space="preserve">Voir critères détaillés </w:t>
            </w:r>
            <w:r w:rsidRPr="000D303C">
              <w:rPr>
                <w:i/>
                <w:iCs/>
                <w:sz w:val="16"/>
                <w:szCs w:val="16"/>
                <w:lang w:val="fr-FR"/>
              </w:rPr>
              <w:br/>
              <w:t>en note g)</w:t>
            </w:r>
          </w:p>
        </w:tc>
      </w:tr>
      <w:tr w:rsidR="006E31F6" w:rsidRPr="000D303C" w:rsidTr="002720FA">
        <w:trPr>
          <w:trHeight w:val="158"/>
          <w:jc w:val="center"/>
        </w:trPr>
        <w:tc>
          <w:tcPr>
            <w:tcW w:w="1888"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i/>
                <w:iCs/>
                <w:sz w:val="16"/>
                <w:szCs w:val="16"/>
                <w:lang w:val="fr-FR"/>
              </w:rPr>
            </w:pPr>
            <w:r w:rsidRPr="000D303C">
              <w:rPr>
                <w:b/>
                <w:bCs/>
                <w:sz w:val="16"/>
                <w:szCs w:val="16"/>
                <w:lang w:val="fr-FR"/>
              </w:rPr>
              <w:t xml:space="preserve">Cutanée </w:t>
            </w:r>
            <w:r w:rsidRPr="000D303C">
              <w:rPr>
                <w:sz w:val="16"/>
                <w:szCs w:val="16"/>
                <w:lang w:val="fr-FR"/>
              </w:rPr>
              <w:t>(mg/kg de poids corporel)</w:t>
            </w:r>
            <w:r w:rsidRPr="000D303C">
              <w:rPr>
                <w:i/>
                <w:iCs/>
                <w:sz w:val="16"/>
                <w:szCs w:val="16"/>
                <w:lang w:val="fr-FR"/>
              </w:rPr>
              <w:t xml:space="preserve"> Voir notes a) et b)</w:t>
            </w:r>
          </w:p>
        </w:tc>
        <w:tc>
          <w:tcPr>
            <w:tcW w:w="1276"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ETA ≤ 50</w:t>
            </w:r>
          </w:p>
        </w:tc>
        <w:tc>
          <w:tcPr>
            <w:tcW w:w="1417"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50 &lt; ETA ≤ 200</w:t>
            </w:r>
          </w:p>
        </w:tc>
        <w:tc>
          <w:tcPr>
            <w:tcW w:w="1560"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200 &lt; ETA ≤ 1 000</w:t>
            </w:r>
          </w:p>
        </w:tc>
        <w:tc>
          <w:tcPr>
            <w:tcW w:w="1701"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1 000 &lt; ETA ≤ 2 000</w:t>
            </w:r>
          </w:p>
        </w:tc>
        <w:tc>
          <w:tcPr>
            <w:tcW w:w="1115" w:type="dxa"/>
            <w:vMerge/>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u w:val="single"/>
                <w:lang w:val="fr-FR"/>
              </w:rPr>
            </w:pPr>
          </w:p>
        </w:tc>
      </w:tr>
      <w:tr w:rsidR="006E31F6" w:rsidRPr="000D303C" w:rsidTr="002720FA">
        <w:trPr>
          <w:trHeight w:val="206"/>
          <w:jc w:val="center"/>
        </w:trPr>
        <w:tc>
          <w:tcPr>
            <w:tcW w:w="1888"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0D303C">
              <w:rPr>
                <w:b/>
                <w:bCs/>
                <w:sz w:val="16"/>
                <w:szCs w:val="16"/>
                <w:lang w:val="fr-FR"/>
              </w:rPr>
              <w:t>Gaz</w:t>
            </w:r>
            <w:r w:rsidRPr="000D303C">
              <w:rPr>
                <w:sz w:val="16"/>
                <w:szCs w:val="16"/>
                <w:lang w:val="fr-FR"/>
              </w:rPr>
              <w:t xml:space="preserve"> (ppmV)</w:t>
            </w:r>
          </w:p>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153" w:hanging="1153"/>
              <w:rPr>
                <w:i/>
                <w:iCs/>
                <w:sz w:val="16"/>
                <w:szCs w:val="16"/>
                <w:lang w:val="fr-FR"/>
              </w:rPr>
            </w:pPr>
            <w:r w:rsidRPr="000D303C">
              <w:rPr>
                <w:i/>
                <w:iCs/>
                <w:sz w:val="16"/>
                <w:szCs w:val="16"/>
                <w:lang w:val="fr-FR"/>
              </w:rPr>
              <w:t>Voir notes a), b) et c)</w:t>
            </w:r>
          </w:p>
        </w:tc>
        <w:tc>
          <w:tcPr>
            <w:tcW w:w="1276"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ETA ≤ 100</w:t>
            </w:r>
          </w:p>
        </w:tc>
        <w:tc>
          <w:tcPr>
            <w:tcW w:w="1417"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100 &lt; ETA ≤ 500</w:t>
            </w:r>
          </w:p>
        </w:tc>
        <w:tc>
          <w:tcPr>
            <w:tcW w:w="1560"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500 &lt; ETA ≤ 2 500</w:t>
            </w:r>
          </w:p>
        </w:tc>
        <w:tc>
          <w:tcPr>
            <w:tcW w:w="1701"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2 500 &lt; ETA ≤ 20 000</w:t>
            </w:r>
          </w:p>
        </w:tc>
        <w:tc>
          <w:tcPr>
            <w:tcW w:w="1115" w:type="dxa"/>
            <w:vMerge w:val="restart"/>
            <w:vAlign w:val="center"/>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r w:rsidRPr="000D303C">
              <w:rPr>
                <w:i/>
                <w:iCs/>
                <w:sz w:val="16"/>
                <w:szCs w:val="16"/>
                <w:lang w:val="fr-FR"/>
              </w:rPr>
              <w:t xml:space="preserve">Voir critères détaillés </w:t>
            </w:r>
            <w:r w:rsidRPr="000D303C">
              <w:rPr>
                <w:i/>
                <w:iCs/>
                <w:sz w:val="16"/>
                <w:szCs w:val="16"/>
                <w:lang w:val="fr-FR"/>
              </w:rPr>
              <w:br/>
              <w:t>en note g)</w:t>
            </w:r>
          </w:p>
        </w:tc>
      </w:tr>
      <w:tr w:rsidR="006E31F6" w:rsidRPr="000D303C" w:rsidTr="002720FA">
        <w:trPr>
          <w:trHeight w:val="289"/>
          <w:jc w:val="center"/>
        </w:trPr>
        <w:tc>
          <w:tcPr>
            <w:tcW w:w="1888"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0D303C">
              <w:rPr>
                <w:b/>
                <w:bCs/>
                <w:sz w:val="16"/>
                <w:szCs w:val="16"/>
                <w:lang w:val="fr-FR"/>
              </w:rPr>
              <w:t>Vapeurs</w:t>
            </w:r>
            <w:r w:rsidRPr="000D303C">
              <w:rPr>
                <w:sz w:val="16"/>
                <w:szCs w:val="16"/>
                <w:lang w:val="fr-FR"/>
              </w:rPr>
              <w:t xml:space="preserve"> (mg/l)</w:t>
            </w:r>
          </w:p>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0D303C">
              <w:rPr>
                <w:i/>
                <w:iCs/>
                <w:sz w:val="16"/>
                <w:szCs w:val="16"/>
                <w:lang w:val="fr-FR"/>
              </w:rPr>
              <w:t>Voir notes a), b), c), d) et e)</w:t>
            </w:r>
          </w:p>
        </w:tc>
        <w:tc>
          <w:tcPr>
            <w:tcW w:w="1276"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ETA ≤ 0,5</w:t>
            </w:r>
          </w:p>
        </w:tc>
        <w:tc>
          <w:tcPr>
            <w:tcW w:w="1417"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0,5 &lt;ETA ≤ 2,0</w:t>
            </w:r>
          </w:p>
        </w:tc>
        <w:tc>
          <w:tcPr>
            <w:tcW w:w="1560"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2,0 &lt; ETA ≤ 10,0</w:t>
            </w:r>
          </w:p>
        </w:tc>
        <w:tc>
          <w:tcPr>
            <w:tcW w:w="1701"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10,0 &lt; ETA ≤ 20,0</w:t>
            </w:r>
          </w:p>
        </w:tc>
        <w:tc>
          <w:tcPr>
            <w:tcW w:w="1115" w:type="dxa"/>
            <w:vMerge/>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p>
        </w:tc>
      </w:tr>
      <w:tr w:rsidR="006E31F6" w:rsidRPr="000D303C" w:rsidTr="002720FA">
        <w:trPr>
          <w:trHeight w:val="365"/>
          <w:jc w:val="center"/>
        </w:trPr>
        <w:tc>
          <w:tcPr>
            <w:tcW w:w="1888"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0D303C">
              <w:rPr>
                <w:b/>
                <w:bCs/>
                <w:sz w:val="16"/>
                <w:szCs w:val="16"/>
                <w:lang w:val="fr-FR"/>
              </w:rPr>
              <w:t xml:space="preserve">Poussières et brouillards </w:t>
            </w:r>
            <w:r w:rsidRPr="000D303C">
              <w:rPr>
                <w:sz w:val="16"/>
                <w:szCs w:val="16"/>
                <w:lang w:val="fr-FR"/>
              </w:rPr>
              <w:t>(mg/l)</w:t>
            </w:r>
          </w:p>
          <w:p w:rsidR="006E31F6" w:rsidRPr="000D303C" w:rsidRDefault="006E31F6" w:rsidP="002720FA">
            <w:pPr>
              <w:pStyle w:val="HTMLAddres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0D303C">
              <w:rPr>
                <w:iCs w:val="0"/>
                <w:sz w:val="16"/>
                <w:szCs w:val="16"/>
                <w:lang w:val="fr-FR"/>
              </w:rPr>
              <w:t xml:space="preserve">Voir notes a), b), c) et </w:t>
            </w:r>
            <w:r w:rsidRPr="000D303C">
              <w:rPr>
                <w:sz w:val="16"/>
                <w:szCs w:val="16"/>
                <w:lang w:val="fr-FR"/>
              </w:rPr>
              <w:t xml:space="preserve">f) </w:t>
            </w:r>
          </w:p>
        </w:tc>
        <w:tc>
          <w:tcPr>
            <w:tcW w:w="1276"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ETA ≤ 0,05</w:t>
            </w:r>
          </w:p>
        </w:tc>
        <w:tc>
          <w:tcPr>
            <w:tcW w:w="1417"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0,05 &lt; ETA ≤ 0,5</w:t>
            </w:r>
          </w:p>
        </w:tc>
        <w:tc>
          <w:tcPr>
            <w:tcW w:w="1560"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0,5 &lt; ETA ≤ 1,0</w:t>
            </w:r>
          </w:p>
        </w:tc>
        <w:tc>
          <w:tcPr>
            <w:tcW w:w="1701" w:type="dxa"/>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0D303C">
              <w:rPr>
                <w:sz w:val="16"/>
                <w:szCs w:val="16"/>
                <w:lang w:val="fr-FR"/>
              </w:rPr>
              <w:t>1,0 &lt; ETA ≤ 5,0</w:t>
            </w:r>
          </w:p>
        </w:tc>
        <w:tc>
          <w:tcPr>
            <w:tcW w:w="1115" w:type="dxa"/>
            <w:vMerge/>
          </w:tcPr>
          <w:p w:rsidR="006E31F6" w:rsidRPr="000D303C" w:rsidRDefault="006E31F6" w:rsidP="002720F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p>
        </w:tc>
      </w:tr>
    </w:tbl>
    <w:p w:rsidR="006E31F6" w:rsidRPr="000D303C" w:rsidRDefault="006E31F6" w:rsidP="006E31F6">
      <w:pPr>
        <w:pStyle w:val="SingleTxtG"/>
        <w:spacing w:before="120" w:after="240"/>
        <w:rPr>
          <w:i/>
          <w:lang w:val="fr-FR"/>
        </w:rPr>
      </w:pPr>
      <w:r w:rsidRPr="000D303C">
        <w:rPr>
          <w:b/>
          <w:bCs/>
          <w:i/>
          <w:lang w:val="fr-FR"/>
        </w:rPr>
        <w:t>Nota </w:t>
      </w:r>
      <w:r w:rsidRPr="000D303C">
        <w:rPr>
          <w:i/>
          <w:lang w:val="fr-FR"/>
        </w:rPr>
        <w:t>: La concentration des gaz est exprimée en parties par million en volume (ppmV). »</w:t>
      </w:r>
    </w:p>
    <w:p w:rsidR="00EA755E" w:rsidRPr="000D303C" w:rsidRDefault="00EA755E" w:rsidP="00EA755E">
      <w:pPr>
        <w:pStyle w:val="SingleTxtG"/>
        <w:rPr>
          <w:i/>
          <w:lang w:val="fr-FR"/>
        </w:rPr>
      </w:pPr>
      <w:r w:rsidRPr="000D303C">
        <w:rPr>
          <w:i/>
          <w:lang w:val="fr-FR"/>
        </w:rPr>
        <w:t>(Document de référence: ST/SG/AC.10/C.4/62, annexe I)</w:t>
      </w:r>
    </w:p>
    <w:p w:rsidR="00EA755E" w:rsidRPr="000D303C" w:rsidRDefault="00EA755E" w:rsidP="00EA755E">
      <w:pPr>
        <w:pStyle w:val="SingleTxtG"/>
        <w:rPr>
          <w:lang w:val="fr-FR"/>
        </w:rPr>
      </w:pPr>
      <w:r w:rsidRPr="00C97344">
        <w:rPr>
          <w:lang w:val="fr-FR"/>
        </w:rPr>
        <w:t>3.1.2.1</w:t>
      </w:r>
      <w:r w:rsidRPr="00C97344">
        <w:rPr>
          <w:lang w:val="fr-FR"/>
        </w:rPr>
        <w:tab/>
      </w:r>
      <w:r w:rsidRPr="00C97344">
        <w:rPr>
          <w:lang w:val="fr-FR"/>
        </w:rPr>
        <w:tab/>
      </w:r>
      <w:r w:rsidR="00C97344" w:rsidRPr="00C97344">
        <w:rPr>
          <w:lang w:val="fr-FR"/>
        </w:rPr>
        <w:t>Insérer la phrase suivante a</w:t>
      </w:r>
      <w:r w:rsidRPr="00C97344">
        <w:rPr>
          <w:lang w:val="fr-FR"/>
        </w:rPr>
        <w:t xml:space="preserve">vant </w:t>
      </w:r>
      <w:r w:rsidR="00C97344" w:rsidRPr="00C97344">
        <w:rPr>
          <w:lang w:val="fr-FR"/>
        </w:rPr>
        <w:t>la dernière phrase (</w:t>
      </w:r>
      <w:r w:rsidRPr="00C97344">
        <w:rPr>
          <w:lang w:val="fr-FR"/>
        </w:rPr>
        <w:t>«</w:t>
      </w:r>
      <w:r w:rsidR="00C97344" w:rsidRPr="00C97344">
        <w:rPr>
          <w:lang w:val="fr-FR"/>
        </w:rPr>
        <w:t> </w:t>
      </w:r>
      <w:r w:rsidRPr="00C97344">
        <w:rPr>
          <w:lang w:val="fr-FR"/>
        </w:rPr>
        <w:t xml:space="preserve">Le tableau 3.1.1 </w:t>
      </w:r>
      <w:r w:rsidR="00C97344">
        <w:rPr>
          <w:lang w:val="fr-FR"/>
        </w:rPr>
        <w:t>est suivi de notes explicatives</w:t>
      </w:r>
      <w:r w:rsidR="00C97344" w:rsidRPr="00C97344">
        <w:rPr>
          <w:lang w:val="fr-FR"/>
        </w:rPr>
        <w:t> »)</w:t>
      </w:r>
      <w:r w:rsidRPr="00C97344">
        <w:rPr>
          <w:lang w:val="fr-FR"/>
        </w:rPr>
        <w:t>:</w:t>
      </w:r>
    </w:p>
    <w:p w:rsidR="00EA755E" w:rsidRPr="000D303C" w:rsidRDefault="00EA755E" w:rsidP="00EA755E">
      <w:pPr>
        <w:pStyle w:val="SingleTxtG"/>
        <w:ind w:left="2268"/>
        <w:rPr>
          <w:lang w:val="fr-FR"/>
        </w:rPr>
      </w:pPr>
      <w:r w:rsidRPr="000D303C">
        <w:rPr>
          <w:lang w:val="fr-FR"/>
        </w:rPr>
        <w:t xml:space="preserve">« Certaines méthodes </w:t>
      </w:r>
      <w:r w:rsidRPr="000D303C">
        <w:rPr>
          <w:i/>
          <w:iCs/>
          <w:lang w:val="fr-FR"/>
        </w:rPr>
        <w:t xml:space="preserve">in vivo </w:t>
      </w:r>
      <w:r w:rsidRPr="000D303C">
        <w:rPr>
          <w:lang w:val="fr-FR"/>
        </w:rPr>
        <w:t>permettent de déterminer directement les valeurs DL</w:t>
      </w:r>
      <w:r w:rsidRPr="000D303C">
        <w:rPr>
          <w:vertAlign w:val="subscript"/>
          <w:lang w:val="fr-FR"/>
        </w:rPr>
        <w:t>50</w:t>
      </w:r>
      <w:r w:rsidRPr="000D303C">
        <w:rPr>
          <w:lang w:val="fr-FR"/>
        </w:rPr>
        <w:t>/CL</w:t>
      </w:r>
      <w:r w:rsidRPr="000D303C">
        <w:rPr>
          <w:vertAlign w:val="subscript"/>
          <w:lang w:val="fr-FR"/>
        </w:rPr>
        <w:t>50</w:t>
      </w:r>
      <w:r w:rsidRPr="000D303C">
        <w:rPr>
          <w:lang w:val="fr-FR"/>
        </w:rPr>
        <w:t xml:space="preserve">, mais d’autres méthodes </w:t>
      </w:r>
      <w:r w:rsidRPr="000D303C">
        <w:rPr>
          <w:i/>
          <w:iCs/>
          <w:lang w:val="fr-FR"/>
        </w:rPr>
        <w:t xml:space="preserve">in vivo </w:t>
      </w:r>
      <w:r w:rsidRPr="000D303C">
        <w:rPr>
          <w:lang w:val="fr-FR"/>
        </w:rPr>
        <w:t>plus récentes (qui nécessitent d’utiliser un nombre moindre d’animaux) considèrent d’autres indicateurs de toxicité aiguë, tels que des signes cliniques graves de toxicité, qui sont utilisés par référence pour déterminer la catégorie de danger. ».</w:t>
      </w:r>
    </w:p>
    <w:p w:rsidR="00D61D90" w:rsidRPr="000D303C" w:rsidRDefault="00D61D90" w:rsidP="00D61D90">
      <w:pPr>
        <w:pStyle w:val="SingleTxtG"/>
        <w:rPr>
          <w:i/>
          <w:lang w:val="fr-FR"/>
        </w:rPr>
      </w:pPr>
      <w:r w:rsidRPr="000D303C">
        <w:rPr>
          <w:i/>
          <w:lang w:val="fr-FR"/>
        </w:rPr>
        <w:t>(Document de référence: ST/SG/AC.10/C.4/2016/9 et ST/SG/AC.10/C.4/62, annexe I)</w:t>
      </w:r>
    </w:p>
    <w:p w:rsidR="006E31F6" w:rsidRPr="000D303C" w:rsidRDefault="006E31F6" w:rsidP="006E31F6">
      <w:pPr>
        <w:pStyle w:val="SingleTxtG"/>
        <w:rPr>
          <w:lang w:val="fr-FR"/>
        </w:rPr>
      </w:pPr>
      <w:r w:rsidRPr="000D303C">
        <w:rPr>
          <w:lang w:val="fr-FR"/>
        </w:rPr>
        <w:t>3.1.2.3</w:t>
      </w:r>
      <w:r w:rsidR="00EA755E" w:rsidRPr="000D303C">
        <w:rPr>
          <w:lang w:val="fr-FR"/>
        </w:rPr>
        <w:tab/>
      </w:r>
      <w:r w:rsidRPr="000D303C">
        <w:rPr>
          <w:lang w:val="fr-FR"/>
        </w:rPr>
        <w:tab/>
        <w:t>Ajouter la nouvelle phrase suivante à la fin du paragraphe:</w:t>
      </w:r>
    </w:p>
    <w:p w:rsidR="006E31F6" w:rsidRPr="000D303C" w:rsidRDefault="00D61D90" w:rsidP="00D61D90">
      <w:pPr>
        <w:pStyle w:val="SingleTxtG"/>
        <w:ind w:left="2268"/>
        <w:rPr>
          <w:lang w:val="fr-FR"/>
        </w:rPr>
      </w:pPr>
      <w:r w:rsidRPr="000D303C">
        <w:rPr>
          <w:lang w:val="fr-FR"/>
        </w:rPr>
        <w:t>« </w:t>
      </w:r>
      <w:r w:rsidR="006E31F6" w:rsidRPr="000D303C">
        <w:rPr>
          <w:lang w:val="fr-FR"/>
        </w:rPr>
        <w:t>Dans les cas où des données tirées de l’expérience humaine (à savoir les données professionnelles, les données provenant des bases de données sur les accidents, les études épidémiologiques, les rapports d’études cliniques) sont également disponibles, elles doivent être prises en considération selon une méthode d’évaluation de la force probante des données conforme aux principes énoncés au 1.3.2.4.9.</w:t>
      </w:r>
      <w:r w:rsidRPr="000D303C">
        <w:rPr>
          <w:lang w:val="fr-FR"/>
        </w:rPr>
        <w:t> »</w:t>
      </w:r>
      <w:r w:rsidR="006E31F6" w:rsidRPr="000D303C">
        <w:rPr>
          <w:lang w:val="fr-FR"/>
        </w:rPr>
        <w:t>.</w:t>
      </w:r>
    </w:p>
    <w:p w:rsidR="006E31F6" w:rsidRPr="000D303C" w:rsidRDefault="006E31F6" w:rsidP="006E31F6">
      <w:pPr>
        <w:pStyle w:val="SingleTxtG"/>
        <w:rPr>
          <w:lang w:val="fr-FR"/>
        </w:rPr>
      </w:pPr>
      <w:r w:rsidRPr="000D303C">
        <w:rPr>
          <w:i/>
          <w:iCs/>
          <w:lang w:val="fr-FR"/>
        </w:rPr>
        <w:t>(</w:t>
      </w:r>
      <w:r w:rsidRPr="000D303C">
        <w:rPr>
          <w:i/>
          <w:lang w:val="fr-FR"/>
        </w:rPr>
        <w:t xml:space="preserve">Document de référence: </w:t>
      </w:r>
      <w:r w:rsidRPr="000D303C">
        <w:rPr>
          <w:i/>
          <w:iCs/>
          <w:lang w:val="fr-FR"/>
        </w:rPr>
        <w:t>ST/SG/AC.10/C.4/2016/9 tel que modifié)</w:t>
      </w:r>
    </w:p>
    <w:p w:rsidR="00C664C8" w:rsidRPr="000D303C" w:rsidRDefault="00C664C8" w:rsidP="00C664C8">
      <w:pPr>
        <w:pStyle w:val="H1G"/>
        <w:rPr>
          <w:lang w:val="fr-FR"/>
        </w:rPr>
      </w:pPr>
      <w:r w:rsidRPr="000D303C">
        <w:rPr>
          <w:lang w:val="fr-FR"/>
        </w:rPr>
        <w:tab/>
      </w:r>
      <w:r w:rsidRPr="000D303C">
        <w:rPr>
          <w:lang w:val="fr-FR"/>
        </w:rPr>
        <w:tab/>
        <w:t>Chapitre 3.2</w:t>
      </w:r>
    </w:p>
    <w:p w:rsidR="00C664C8" w:rsidRPr="000D303C" w:rsidRDefault="00C664C8" w:rsidP="00C664C8">
      <w:pPr>
        <w:pStyle w:val="SingleTxtG"/>
        <w:rPr>
          <w:lang w:val="fr-FR"/>
        </w:rPr>
      </w:pPr>
      <w:r w:rsidRPr="000D303C">
        <w:rPr>
          <w:lang w:val="fr-FR"/>
        </w:rPr>
        <w:t>3.2.1.1</w:t>
      </w:r>
      <w:r w:rsidRPr="000D303C">
        <w:rPr>
          <w:lang w:val="fr-FR"/>
        </w:rPr>
        <w:tab/>
      </w:r>
      <w:r w:rsidRPr="000D303C">
        <w:rPr>
          <w:lang w:val="fr-FR"/>
        </w:rPr>
        <w:tab/>
        <w:t>Modifier pour lire comme suit:</w:t>
      </w:r>
    </w:p>
    <w:p w:rsidR="00C664C8" w:rsidRPr="000D303C" w:rsidRDefault="00A87A96" w:rsidP="00C664C8">
      <w:pPr>
        <w:pStyle w:val="SingleTxtG"/>
        <w:ind w:left="2268"/>
        <w:rPr>
          <w:lang w:val="fr-FR"/>
        </w:rPr>
      </w:pPr>
      <w:r w:rsidRPr="000D303C">
        <w:rPr>
          <w:lang w:val="fr-FR"/>
        </w:rPr>
        <w:t>« </w:t>
      </w:r>
      <w:r w:rsidR="00C664C8" w:rsidRPr="000D303C">
        <w:rPr>
          <w:lang w:val="fr-FR"/>
        </w:rPr>
        <w:t xml:space="preserve">La </w:t>
      </w:r>
      <w:r w:rsidR="00C664C8" w:rsidRPr="000D303C">
        <w:rPr>
          <w:i/>
          <w:lang w:val="fr-FR"/>
        </w:rPr>
        <w:t>corrosion cutanée</w:t>
      </w:r>
      <w:r w:rsidR="00C664C8" w:rsidRPr="000D303C">
        <w:rPr>
          <w:lang w:val="fr-FR"/>
        </w:rPr>
        <w:t xml:space="preserve"> désigne des lésions cutanées irréversibles, telles qu’une nécrose visible au travers de l’épiderme et dans le derme, à la suite de l’exposition à une substance ou un mélange.</w:t>
      </w:r>
    </w:p>
    <w:p w:rsidR="00C664C8" w:rsidRDefault="00C664C8" w:rsidP="00C664C8">
      <w:pPr>
        <w:pStyle w:val="SingleTxtG"/>
        <w:ind w:left="2268"/>
        <w:rPr>
          <w:lang w:val="fr-FR"/>
        </w:rPr>
      </w:pPr>
      <w:r w:rsidRPr="000D303C">
        <w:rPr>
          <w:lang w:val="fr-FR"/>
        </w:rPr>
        <w:t>L’</w:t>
      </w:r>
      <w:r w:rsidRPr="000D303C">
        <w:rPr>
          <w:i/>
          <w:lang w:val="fr-FR"/>
        </w:rPr>
        <w:t>irritation cutanée</w:t>
      </w:r>
      <w:r w:rsidRPr="000D303C">
        <w:rPr>
          <w:lang w:val="fr-FR"/>
        </w:rPr>
        <w:t xml:space="preserve"> </w:t>
      </w:r>
      <w:r w:rsidR="00E7775A">
        <w:rPr>
          <w:lang w:val="fr-FR"/>
        </w:rPr>
        <w:t>désigne</w:t>
      </w:r>
      <w:r w:rsidRPr="000D303C">
        <w:rPr>
          <w:lang w:val="fr-FR"/>
        </w:rPr>
        <w:t xml:space="preserve"> l’apparition sur la peau de lésions réversibles à la suite de l’exposition à une substance ou un mélange.</w:t>
      </w:r>
      <w:r w:rsidR="00A87A96" w:rsidRPr="000D303C">
        <w:rPr>
          <w:lang w:val="fr-FR"/>
        </w:rPr>
        <w:t> »</w:t>
      </w:r>
      <w:r w:rsidRPr="000D303C">
        <w:rPr>
          <w:lang w:val="fr-FR"/>
        </w:rPr>
        <w:t>.</w:t>
      </w:r>
    </w:p>
    <w:p w:rsidR="0058308C" w:rsidRPr="000D303C" w:rsidRDefault="0058308C" w:rsidP="00C664C8">
      <w:pPr>
        <w:pStyle w:val="SingleTxtG"/>
        <w:ind w:left="2268"/>
        <w:rPr>
          <w:lang w:val="fr-FR"/>
        </w:rPr>
      </w:pPr>
      <w:r w:rsidRPr="0058308C">
        <w:rPr>
          <w:u w:val="single"/>
          <w:lang w:val="fr-FR"/>
        </w:rPr>
        <w:lastRenderedPageBreak/>
        <w:t>Amendement corollaire</w:t>
      </w:r>
      <w:r>
        <w:rPr>
          <w:lang w:val="fr-FR"/>
        </w:rPr>
        <w:t> : Supprimer la note de bas de page 1 et renuméroter les notes de bas de page suivantes en conséquence.</w:t>
      </w:r>
    </w:p>
    <w:p w:rsidR="00C664C8" w:rsidRPr="000D303C" w:rsidRDefault="0058308C" w:rsidP="00C664C8">
      <w:pPr>
        <w:pStyle w:val="SingleTxtG"/>
        <w:rPr>
          <w:i/>
          <w:lang w:val="fr-FR"/>
        </w:rPr>
      </w:pPr>
      <w:r w:rsidRPr="000D303C">
        <w:rPr>
          <w:i/>
          <w:lang w:val="fr-FR"/>
        </w:rPr>
        <w:t xml:space="preserve"> </w:t>
      </w:r>
      <w:r w:rsidR="00C664C8" w:rsidRPr="000D303C">
        <w:rPr>
          <w:i/>
          <w:lang w:val="fr-FR"/>
        </w:rPr>
        <w:t>(Document de référence: ST/SG/AC.10/C.4/2016/9 et ST/SG/AC.10/C.4/62, annexe I)</w:t>
      </w:r>
    </w:p>
    <w:p w:rsidR="00A87A96" w:rsidRPr="000D303C" w:rsidRDefault="00A87A96" w:rsidP="00A87A96">
      <w:pPr>
        <w:pStyle w:val="H1G"/>
        <w:rPr>
          <w:lang w:val="fr-FR"/>
        </w:rPr>
      </w:pPr>
      <w:r w:rsidRPr="000D303C">
        <w:rPr>
          <w:lang w:val="fr-FR"/>
        </w:rPr>
        <w:tab/>
      </w:r>
      <w:r w:rsidRPr="000D303C">
        <w:rPr>
          <w:lang w:val="fr-FR"/>
        </w:rPr>
        <w:tab/>
        <w:t>Chapitre 3.3</w:t>
      </w:r>
    </w:p>
    <w:p w:rsidR="00A87A96" w:rsidRPr="000D303C" w:rsidRDefault="00A87A96" w:rsidP="00A87A96">
      <w:pPr>
        <w:pStyle w:val="SingleTxtG"/>
        <w:keepNext/>
        <w:rPr>
          <w:lang w:val="fr-FR"/>
        </w:rPr>
      </w:pPr>
      <w:r w:rsidRPr="000D303C">
        <w:rPr>
          <w:lang w:val="fr-FR"/>
        </w:rPr>
        <w:t>3.3.1.1</w:t>
      </w:r>
      <w:r w:rsidRPr="000D303C">
        <w:rPr>
          <w:lang w:val="fr-FR"/>
        </w:rPr>
        <w:tab/>
      </w:r>
      <w:r w:rsidRPr="000D303C">
        <w:rPr>
          <w:lang w:val="fr-FR"/>
        </w:rPr>
        <w:tab/>
        <w:t>Modifier pour lire comme suit:</w:t>
      </w:r>
    </w:p>
    <w:p w:rsidR="00A87A96" w:rsidRPr="000D303C" w:rsidRDefault="00A87A96" w:rsidP="00A87A96">
      <w:pPr>
        <w:pStyle w:val="SingleTxtG"/>
        <w:ind w:left="2268"/>
        <w:rPr>
          <w:lang w:val="fr-FR"/>
        </w:rPr>
      </w:pPr>
      <w:r w:rsidRPr="000D303C">
        <w:rPr>
          <w:lang w:val="fr-FR"/>
        </w:rPr>
        <w:t xml:space="preserve">« Les </w:t>
      </w:r>
      <w:r w:rsidRPr="000D303C">
        <w:rPr>
          <w:i/>
          <w:lang w:val="fr-FR"/>
        </w:rPr>
        <w:t xml:space="preserve">lésions oculaires graves </w:t>
      </w:r>
      <w:r w:rsidR="00E7775A">
        <w:rPr>
          <w:lang w:val="fr-FR"/>
        </w:rPr>
        <w:t>désignent</w:t>
      </w:r>
      <w:r w:rsidRPr="000D303C">
        <w:rPr>
          <w:lang w:val="fr-FR"/>
        </w:rPr>
        <w:t xml:space="preserve"> des lésions des tissus oculaires ou une dégradation grave de la vue</w:t>
      </w:r>
      <w:r w:rsidR="00814909">
        <w:rPr>
          <w:lang w:val="fr-FR"/>
        </w:rPr>
        <w:t xml:space="preserve"> </w:t>
      </w:r>
      <w:r w:rsidRPr="000D303C">
        <w:rPr>
          <w:lang w:val="fr-FR"/>
        </w:rPr>
        <w:t>faisant suite à l’exposition de l’œil à une substance ou un mélange</w:t>
      </w:r>
      <w:r w:rsidR="0000313F">
        <w:rPr>
          <w:lang w:val="fr-FR"/>
        </w:rPr>
        <w:t xml:space="preserve">, et </w:t>
      </w:r>
      <w:r w:rsidR="0000313F" w:rsidRPr="000D303C">
        <w:rPr>
          <w:lang w:val="fr-FR"/>
        </w:rPr>
        <w:t>qui ne sont pas totalement réversibles</w:t>
      </w:r>
      <w:r w:rsidRPr="000D303C">
        <w:rPr>
          <w:lang w:val="fr-FR"/>
        </w:rPr>
        <w:t>.</w:t>
      </w:r>
    </w:p>
    <w:p w:rsidR="00A87A96" w:rsidRPr="000D303C" w:rsidRDefault="00A87A96" w:rsidP="00A87A96">
      <w:pPr>
        <w:pStyle w:val="SingleTxtG"/>
        <w:ind w:left="2268"/>
        <w:rPr>
          <w:lang w:val="fr-FR"/>
        </w:rPr>
      </w:pPr>
      <w:r w:rsidRPr="000D303C">
        <w:rPr>
          <w:lang w:val="fr-FR"/>
        </w:rPr>
        <w:t>L’</w:t>
      </w:r>
      <w:r w:rsidRPr="000D303C">
        <w:rPr>
          <w:i/>
          <w:lang w:val="fr-FR"/>
        </w:rPr>
        <w:t>irritation oculaire</w:t>
      </w:r>
      <w:r w:rsidRPr="000D303C">
        <w:rPr>
          <w:lang w:val="fr-FR"/>
        </w:rPr>
        <w:t xml:space="preserve"> </w:t>
      </w:r>
      <w:r w:rsidR="00E7775A">
        <w:rPr>
          <w:lang w:val="fr-FR"/>
        </w:rPr>
        <w:t>désigne</w:t>
      </w:r>
      <w:r w:rsidRPr="000D303C">
        <w:rPr>
          <w:lang w:val="fr-FR"/>
        </w:rPr>
        <w:t xml:space="preserve"> une atteinte</w:t>
      </w:r>
      <w:r w:rsidR="00AB74C6" w:rsidRPr="00AB74C6">
        <w:rPr>
          <w:lang w:val="fr-FR"/>
        </w:rPr>
        <w:t xml:space="preserve"> </w:t>
      </w:r>
      <w:r w:rsidR="00814909" w:rsidRPr="000D303C">
        <w:rPr>
          <w:lang w:val="fr-FR"/>
        </w:rPr>
        <w:t xml:space="preserve">totalement réversible </w:t>
      </w:r>
      <w:r w:rsidRPr="000D303C">
        <w:rPr>
          <w:lang w:val="fr-FR"/>
        </w:rPr>
        <w:t>de l’œil faisant suite à l’exposition de celui-ci à une substance ou un mélange. ».</w:t>
      </w:r>
    </w:p>
    <w:p w:rsidR="0058308C" w:rsidRPr="000D303C" w:rsidRDefault="0058308C" w:rsidP="0058308C">
      <w:pPr>
        <w:pStyle w:val="SingleTxtG"/>
        <w:ind w:left="2268"/>
        <w:rPr>
          <w:lang w:val="fr-FR"/>
        </w:rPr>
      </w:pPr>
      <w:r w:rsidRPr="0058308C">
        <w:rPr>
          <w:u w:val="single"/>
          <w:lang w:val="fr-FR"/>
        </w:rPr>
        <w:t>Amendement corollaire</w:t>
      </w:r>
      <w:r>
        <w:rPr>
          <w:lang w:val="fr-FR"/>
        </w:rPr>
        <w:t> : Supprimer la note de bas de page 1 et renuméroter les notes de bas de page suivantes en conséquence.</w:t>
      </w:r>
    </w:p>
    <w:p w:rsidR="00A87A96" w:rsidRPr="000D303C" w:rsidRDefault="00A87A96" w:rsidP="0058308C">
      <w:pPr>
        <w:pStyle w:val="SingleTxtG"/>
        <w:rPr>
          <w:i/>
          <w:lang w:val="fr-FR"/>
        </w:rPr>
      </w:pPr>
      <w:r w:rsidRPr="000D303C">
        <w:rPr>
          <w:i/>
          <w:lang w:val="fr-FR"/>
        </w:rPr>
        <w:t>(Document de référence: ST/SG/AC.10/C.4/2016/9 et ST/SG/AC.10/C.4/62, annexe I)</w:t>
      </w:r>
    </w:p>
    <w:p w:rsidR="00A87A96" w:rsidRPr="000D303C" w:rsidRDefault="00A87A96" w:rsidP="00A87A96">
      <w:pPr>
        <w:pStyle w:val="H1G"/>
        <w:rPr>
          <w:lang w:val="fr-FR"/>
        </w:rPr>
      </w:pPr>
      <w:r w:rsidRPr="000D303C">
        <w:rPr>
          <w:lang w:val="fr-FR"/>
        </w:rPr>
        <w:tab/>
      </w:r>
      <w:r w:rsidRPr="000D303C">
        <w:rPr>
          <w:lang w:val="fr-FR"/>
        </w:rPr>
        <w:tab/>
        <w:t xml:space="preserve">Chapitre 3.4 </w:t>
      </w:r>
    </w:p>
    <w:p w:rsidR="00A87A96" w:rsidRPr="000D303C" w:rsidRDefault="00A87A96" w:rsidP="00A87A96">
      <w:pPr>
        <w:pStyle w:val="SingleTxtG"/>
        <w:rPr>
          <w:lang w:val="fr-FR"/>
        </w:rPr>
      </w:pPr>
      <w:r w:rsidRPr="000D303C">
        <w:rPr>
          <w:lang w:val="fr-FR"/>
        </w:rPr>
        <w:t>3.4.1.1</w:t>
      </w:r>
      <w:r w:rsidRPr="000D303C">
        <w:rPr>
          <w:lang w:val="fr-FR"/>
        </w:rPr>
        <w:tab/>
      </w:r>
      <w:r w:rsidRPr="000D303C">
        <w:rPr>
          <w:lang w:val="fr-FR"/>
        </w:rPr>
        <w:tab/>
        <w:t>Modifier pour lire comme suit:</w:t>
      </w:r>
    </w:p>
    <w:p w:rsidR="00A87A96" w:rsidRPr="000D303C" w:rsidRDefault="00A87A96" w:rsidP="00A87A96">
      <w:pPr>
        <w:pStyle w:val="SingleTxtG"/>
        <w:ind w:left="2268"/>
        <w:rPr>
          <w:lang w:val="fr-FR"/>
        </w:rPr>
      </w:pPr>
      <w:r w:rsidRPr="000D303C">
        <w:rPr>
          <w:iCs/>
          <w:lang w:val="fr-FR"/>
        </w:rPr>
        <w:t xml:space="preserve">« La </w:t>
      </w:r>
      <w:r w:rsidRPr="000D303C">
        <w:rPr>
          <w:i/>
          <w:lang w:val="fr-FR"/>
        </w:rPr>
        <w:t>sensibilisation respiratoire</w:t>
      </w:r>
      <w:r w:rsidRPr="000D303C">
        <w:rPr>
          <w:lang w:val="fr-FR"/>
        </w:rPr>
        <w:t xml:space="preserve"> </w:t>
      </w:r>
      <w:r w:rsidR="00E7775A">
        <w:rPr>
          <w:lang w:val="fr-FR"/>
        </w:rPr>
        <w:t>désigne</w:t>
      </w:r>
      <w:r w:rsidRPr="000D303C">
        <w:rPr>
          <w:lang w:val="fr-FR"/>
        </w:rPr>
        <w:t xml:space="preserve"> une hypersensibilité des voies respiratoires survenant après l’inhalation d’une substance ou d’un mélange.</w:t>
      </w:r>
    </w:p>
    <w:p w:rsidR="00A87A96" w:rsidRPr="000D303C" w:rsidRDefault="00A87A96" w:rsidP="00A87A96">
      <w:pPr>
        <w:pStyle w:val="SingleTxtG"/>
        <w:ind w:left="2268"/>
        <w:rPr>
          <w:lang w:val="fr-FR"/>
        </w:rPr>
      </w:pPr>
      <w:r w:rsidRPr="000D303C">
        <w:rPr>
          <w:lang w:val="fr-FR"/>
        </w:rPr>
        <w:t xml:space="preserve">La </w:t>
      </w:r>
      <w:r w:rsidRPr="000D303C">
        <w:rPr>
          <w:i/>
          <w:iCs/>
          <w:lang w:val="fr-FR"/>
        </w:rPr>
        <w:t xml:space="preserve">sensibilisation cutanée </w:t>
      </w:r>
      <w:r w:rsidR="00E7775A">
        <w:rPr>
          <w:lang w:val="fr-FR"/>
        </w:rPr>
        <w:t>désigne</w:t>
      </w:r>
      <w:r w:rsidRPr="000D303C">
        <w:rPr>
          <w:lang w:val="fr-FR"/>
        </w:rPr>
        <w:t xml:space="preserve"> une réaction allergique survenant après un contact de la peau avec une substance ou un mélange. ». </w:t>
      </w:r>
    </w:p>
    <w:p w:rsidR="0058308C" w:rsidRPr="000D303C" w:rsidRDefault="0058308C" w:rsidP="0058308C">
      <w:pPr>
        <w:pStyle w:val="SingleTxtG"/>
        <w:ind w:left="2268"/>
        <w:rPr>
          <w:lang w:val="fr-FR"/>
        </w:rPr>
      </w:pPr>
      <w:r w:rsidRPr="0058308C">
        <w:rPr>
          <w:u w:val="single"/>
          <w:lang w:val="fr-FR"/>
        </w:rPr>
        <w:t>Amendement corollaire</w:t>
      </w:r>
      <w:r>
        <w:rPr>
          <w:lang w:val="fr-FR"/>
        </w:rPr>
        <w:t> : Supprimer la note de bas de page 1 et renuméroter les notes de bas de page suivantes en conséquence.</w:t>
      </w:r>
    </w:p>
    <w:p w:rsidR="00A87A96" w:rsidRPr="000D303C" w:rsidRDefault="0058308C" w:rsidP="0058308C">
      <w:pPr>
        <w:pStyle w:val="SingleTxtG"/>
        <w:rPr>
          <w:i/>
          <w:lang w:val="fr-FR"/>
        </w:rPr>
      </w:pPr>
      <w:r w:rsidRPr="000D303C">
        <w:rPr>
          <w:i/>
          <w:lang w:val="fr-FR"/>
        </w:rPr>
        <w:t xml:space="preserve"> </w:t>
      </w:r>
      <w:r w:rsidR="00A87A96" w:rsidRPr="000D303C">
        <w:rPr>
          <w:i/>
          <w:lang w:val="fr-FR"/>
        </w:rPr>
        <w:t>(Document de référence: ST/SG/AC.10/C.4/2016/9 et ST/SG/AC.10/C.4/62, annexe I)</w:t>
      </w:r>
    </w:p>
    <w:p w:rsidR="00A87A96" w:rsidRPr="000D303C" w:rsidRDefault="00A87A96" w:rsidP="00A87A96">
      <w:pPr>
        <w:pStyle w:val="H1G"/>
        <w:rPr>
          <w:lang w:val="fr-FR"/>
        </w:rPr>
      </w:pPr>
      <w:r w:rsidRPr="000D303C">
        <w:rPr>
          <w:lang w:val="fr-FR"/>
        </w:rPr>
        <w:tab/>
      </w:r>
      <w:r w:rsidRPr="000D303C">
        <w:rPr>
          <w:lang w:val="fr-FR"/>
        </w:rPr>
        <w:tab/>
        <w:t>Chapitre 3.5</w:t>
      </w:r>
    </w:p>
    <w:p w:rsidR="00A87A96" w:rsidRPr="000D303C" w:rsidRDefault="00A87A96" w:rsidP="00A87A96">
      <w:pPr>
        <w:pStyle w:val="SingleTxtG"/>
        <w:rPr>
          <w:lang w:val="fr-FR"/>
        </w:rPr>
      </w:pPr>
      <w:r w:rsidRPr="000D303C">
        <w:rPr>
          <w:lang w:val="fr-FR"/>
        </w:rPr>
        <w:t>3.5.1.1</w:t>
      </w:r>
      <w:r w:rsidRPr="000D303C">
        <w:rPr>
          <w:lang w:val="fr-FR"/>
        </w:rPr>
        <w:tab/>
      </w:r>
      <w:r w:rsidRPr="000D303C">
        <w:rPr>
          <w:lang w:val="fr-FR"/>
        </w:rPr>
        <w:tab/>
        <w:t>Ajouter un nouveau paragraphe 3.5.1.1, libellé comme suit:</w:t>
      </w:r>
    </w:p>
    <w:p w:rsidR="00A87A96" w:rsidRPr="000D303C" w:rsidRDefault="00A87A96" w:rsidP="00A87A96">
      <w:pPr>
        <w:pStyle w:val="SingleTxtG"/>
        <w:ind w:left="2268"/>
        <w:rPr>
          <w:lang w:val="fr-FR"/>
        </w:rPr>
      </w:pPr>
      <w:r w:rsidRPr="000D303C">
        <w:rPr>
          <w:lang w:val="fr-FR"/>
        </w:rPr>
        <w:t>« 3.5.1.1</w:t>
      </w:r>
      <w:r w:rsidRPr="000D303C">
        <w:rPr>
          <w:lang w:val="fr-FR"/>
        </w:rPr>
        <w:tab/>
        <w:t xml:space="preserve">La </w:t>
      </w:r>
      <w:r w:rsidRPr="000D303C">
        <w:rPr>
          <w:i/>
          <w:iCs/>
          <w:lang w:val="fr-FR"/>
        </w:rPr>
        <w:t xml:space="preserve">mutagénicité sur les cellules germinales </w:t>
      </w:r>
      <w:r w:rsidR="00123A8A">
        <w:rPr>
          <w:lang w:val="fr-FR"/>
        </w:rPr>
        <w:t>désigne</w:t>
      </w:r>
      <w:r w:rsidRPr="000D303C">
        <w:rPr>
          <w:lang w:val="fr-FR"/>
        </w:rPr>
        <w:t xml:space="preserve"> des mutations héritables de gènes, y compris des aberrations chromosomiques structurelles et numériques héritables des cellules germinales survenant après une exposition à une substance ou un mélange. ».</w:t>
      </w:r>
    </w:p>
    <w:p w:rsidR="00A87A96" w:rsidRPr="000D303C" w:rsidRDefault="00A87A96" w:rsidP="00A87A96">
      <w:pPr>
        <w:pStyle w:val="SingleTxtG"/>
        <w:ind w:left="2268"/>
        <w:rPr>
          <w:lang w:val="fr-FR"/>
        </w:rPr>
      </w:pPr>
      <w:r w:rsidRPr="000D303C">
        <w:rPr>
          <w:lang w:val="fr-FR"/>
        </w:rPr>
        <w:t>Les paragraphes 3.5.1.1 à 3.5.1.4 deviennent les paragraphes 3.5.1.2 à 3.5.1.5.</w:t>
      </w:r>
    </w:p>
    <w:p w:rsidR="00A87A96" w:rsidRPr="000D303C" w:rsidRDefault="00A87A96" w:rsidP="00A87A96">
      <w:pPr>
        <w:pStyle w:val="SingleTxtG"/>
        <w:rPr>
          <w:i/>
          <w:lang w:val="fr-FR"/>
        </w:rPr>
      </w:pPr>
      <w:bookmarkStart w:id="1" w:name="_Toc11573781"/>
      <w:r w:rsidRPr="000D303C">
        <w:rPr>
          <w:i/>
          <w:lang w:val="fr-FR"/>
        </w:rPr>
        <w:t>(Document de référence: ST/SG/AC.10/C.4/2016/9 et ST/SG/AC.10/C.4/62, annexe I)</w:t>
      </w:r>
    </w:p>
    <w:p w:rsidR="00A87A96" w:rsidRPr="000D303C" w:rsidRDefault="00A87A96" w:rsidP="00A87A96">
      <w:pPr>
        <w:pStyle w:val="H1G"/>
        <w:rPr>
          <w:lang w:val="fr-FR"/>
        </w:rPr>
      </w:pPr>
      <w:r w:rsidRPr="000D303C">
        <w:rPr>
          <w:lang w:val="fr-FR"/>
        </w:rPr>
        <w:tab/>
      </w:r>
      <w:r w:rsidRPr="000D303C">
        <w:rPr>
          <w:lang w:val="fr-FR"/>
        </w:rPr>
        <w:tab/>
        <w:t>Chapitre 3.6</w:t>
      </w:r>
      <w:bookmarkEnd w:id="1"/>
    </w:p>
    <w:p w:rsidR="00A87A96" w:rsidRPr="000D303C" w:rsidRDefault="00A87A96" w:rsidP="00A87A96">
      <w:pPr>
        <w:pStyle w:val="SingleTxtG"/>
        <w:tabs>
          <w:tab w:val="left" w:pos="2268"/>
        </w:tabs>
        <w:rPr>
          <w:lang w:val="fr-FR"/>
        </w:rPr>
      </w:pPr>
      <w:r w:rsidRPr="000D303C">
        <w:rPr>
          <w:lang w:val="fr-FR"/>
        </w:rPr>
        <w:t>3.6.1</w:t>
      </w:r>
      <w:r w:rsidRPr="000D303C">
        <w:rPr>
          <w:lang w:val="fr-FR"/>
        </w:rPr>
        <w:tab/>
        <w:t>Modifier la première phrase pour lire comme suit :</w:t>
      </w:r>
    </w:p>
    <w:p w:rsidR="00A87A96" w:rsidRPr="000D303C" w:rsidRDefault="00A87A96" w:rsidP="00A87A96">
      <w:pPr>
        <w:pStyle w:val="SingleTxtG"/>
        <w:ind w:left="2268"/>
        <w:rPr>
          <w:lang w:val="fr-FR"/>
        </w:rPr>
      </w:pPr>
      <w:r w:rsidRPr="000D303C">
        <w:rPr>
          <w:iCs/>
          <w:lang w:val="fr-FR"/>
        </w:rPr>
        <w:t xml:space="preserve">« La </w:t>
      </w:r>
      <w:r w:rsidRPr="000D303C">
        <w:rPr>
          <w:i/>
          <w:lang w:val="fr-FR"/>
        </w:rPr>
        <w:t>carcinogénicité</w:t>
      </w:r>
      <w:r w:rsidRPr="000D303C">
        <w:rPr>
          <w:iCs/>
          <w:lang w:val="fr-FR"/>
        </w:rPr>
        <w:t xml:space="preserve"> désigne l’induction d’un cancer ou une augmentation de l’incidence du cancer après exposition à une substance ou un mélange</w:t>
      </w:r>
      <w:r w:rsidRPr="000D303C">
        <w:rPr>
          <w:lang w:val="fr-FR"/>
        </w:rPr>
        <w:t>. ».</w:t>
      </w:r>
    </w:p>
    <w:p w:rsidR="00A87A96" w:rsidRPr="000D303C" w:rsidRDefault="00A87A96" w:rsidP="00A87A96">
      <w:pPr>
        <w:pStyle w:val="SingleTxtG"/>
        <w:rPr>
          <w:i/>
          <w:lang w:val="fr-FR"/>
        </w:rPr>
      </w:pPr>
      <w:r w:rsidRPr="000D303C">
        <w:rPr>
          <w:i/>
          <w:lang w:val="fr-FR"/>
        </w:rPr>
        <w:t>(Document de référence: ST/SG/AC.10/C.4/2016/9 et ST/SG/AC.10/C.4/62, annexe I)</w:t>
      </w:r>
    </w:p>
    <w:p w:rsidR="00A87A96" w:rsidRPr="000D303C" w:rsidRDefault="00A87A96" w:rsidP="00A87A96">
      <w:pPr>
        <w:pStyle w:val="H1G"/>
        <w:rPr>
          <w:lang w:val="fr-FR"/>
        </w:rPr>
      </w:pPr>
      <w:r w:rsidRPr="000D303C">
        <w:rPr>
          <w:lang w:val="fr-FR"/>
        </w:rPr>
        <w:lastRenderedPageBreak/>
        <w:tab/>
      </w:r>
      <w:r w:rsidRPr="000D303C">
        <w:rPr>
          <w:lang w:val="fr-FR"/>
        </w:rPr>
        <w:tab/>
        <w:t>Chapitre 3.7</w:t>
      </w:r>
    </w:p>
    <w:p w:rsidR="0058308C" w:rsidRDefault="00A87A96" w:rsidP="00A87A96">
      <w:pPr>
        <w:pStyle w:val="SingleTxtG"/>
        <w:tabs>
          <w:tab w:val="left" w:pos="1985"/>
        </w:tabs>
        <w:ind w:left="2268" w:hanging="1134"/>
        <w:rPr>
          <w:lang w:val="fr-FR"/>
        </w:rPr>
      </w:pPr>
      <w:r w:rsidRPr="000D303C">
        <w:rPr>
          <w:lang w:val="fr-FR"/>
        </w:rPr>
        <w:t>3.7.1.1</w:t>
      </w:r>
      <w:r w:rsidRPr="000D303C">
        <w:rPr>
          <w:lang w:val="fr-FR"/>
        </w:rPr>
        <w:tab/>
      </w:r>
      <w:r w:rsidRPr="000D303C">
        <w:rPr>
          <w:lang w:val="fr-FR"/>
        </w:rPr>
        <w:tab/>
      </w:r>
      <w:r w:rsidR="0058308C">
        <w:rPr>
          <w:lang w:val="fr-FR"/>
        </w:rPr>
        <w:t>Modifier la première phrase pour lire comme suit :</w:t>
      </w:r>
    </w:p>
    <w:p w:rsidR="00A87A96" w:rsidRPr="00532494" w:rsidRDefault="0058308C" w:rsidP="00A87A96">
      <w:pPr>
        <w:pStyle w:val="SingleTxtG"/>
        <w:tabs>
          <w:tab w:val="left" w:pos="1985"/>
        </w:tabs>
        <w:ind w:left="2268" w:hanging="1134"/>
        <w:rPr>
          <w:lang w:val="fr-FR"/>
        </w:rPr>
      </w:pPr>
      <w:r>
        <w:rPr>
          <w:lang w:val="fr-FR"/>
        </w:rPr>
        <w:tab/>
      </w:r>
      <w:r>
        <w:rPr>
          <w:lang w:val="fr-FR"/>
        </w:rPr>
        <w:tab/>
      </w:r>
      <w:r w:rsidRPr="00532494">
        <w:rPr>
          <w:lang w:val="fr-FR"/>
        </w:rPr>
        <w:t xml:space="preserve">« La </w:t>
      </w:r>
      <w:r w:rsidRPr="00532494">
        <w:rPr>
          <w:i/>
          <w:lang w:val="fr-FR"/>
        </w:rPr>
        <w:t>toxicité pour la reproduction</w:t>
      </w:r>
      <w:r w:rsidRPr="00532494">
        <w:rPr>
          <w:lang w:val="fr-FR"/>
        </w:rPr>
        <w:t xml:space="preserve"> </w:t>
      </w:r>
      <w:r w:rsidR="00123A8A">
        <w:rPr>
          <w:lang w:val="fr-FR"/>
        </w:rPr>
        <w:t>désigne</w:t>
      </w:r>
      <w:r w:rsidR="0096430D" w:rsidRPr="00532494">
        <w:rPr>
          <w:lang w:val="fr-FR"/>
        </w:rPr>
        <w:t xml:space="preserve"> des</w:t>
      </w:r>
      <w:r w:rsidR="00AA4B53" w:rsidRPr="00532494">
        <w:rPr>
          <w:lang w:val="fr-FR"/>
        </w:rPr>
        <w:t xml:space="preserve"> effets néfastes sur la fonction sexuelle et la fertilité des mâles et des femelles adultes, ainsi qu</w:t>
      </w:r>
      <w:r w:rsidR="0096430D" w:rsidRPr="00532494">
        <w:rPr>
          <w:lang w:val="fr-FR"/>
        </w:rPr>
        <w:t>e  des</w:t>
      </w:r>
      <w:r w:rsidR="00AA4B53" w:rsidRPr="00532494">
        <w:rPr>
          <w:lang w:val="fr-FR"/>
        </w:rPr>
        <w:t xml:space="preserve"> effets indésirables sur le développement de leurs descendants, </w:t>
      </w:r>
      <w:r w:rsidR="00A87A96" w:rsidRPr="00532494">
        <w:rPr>
          <w:lang w:val="fr-FR"/>
        </w:rPr>
        <w:t>survenant après une exposition à une substance ou un mélange</w:t>
      </w:r>
      <w:r w:rsidR="006727AF" w:rsidRPr="00532494">
        <w:rPr>
          <w:lang w:val="fr-FR"/>
        </w:rPr>
        <w:t> »</w:t>
      </w:r>
      <w:r w:rsidR="00A87A96" w:rsidRPr="00532494">
        <w:rPr>
          <w:lang w:val="fr-FR"/>
        </w:rPr>
        <w:t>.</w:t>
      </w:r>
    </w:p>
    <w:p w:rsidR="00A87A96" w:rsidRPr="000D303C" w:rsidRDefault="00A87A96" w:rsidP="00A87A96">
      <w:pPr>
        <w:pStyle w:val="SingleTxtG"/>
        <w:ind w:left="2268" w:hanging="1134"/>
        <w:rPr>
          <w:lang w:val="fr-FR"/>
        </w:rPr>
      </w:pPr>
      <w:r w:rsidRPr="00532494">
        <w:rPr>
          <w:lang w:val="fr-FR"/>
        </w:rPr>
        <w:tab/>
        <w:t>À la dernière phrase, remplacer « Néanmoins, des produits chimiques présentant ce type d’effets » par « Néanmoins, les substances et mélanges présentant ce type d’effets ».</w:t>
      </w:r>
      <w:r w:rsidRPr="000D303C">
        <w:rPr>
          <w:lang w:val="fr-FR"/>
        </w:rPr>
        <w:t xml:space="preserve"> </w:t>
      </w:r>
    </w:p>
    <w:p w:rsidR="00A87A96" w:rsidRPr="000D303C" w:rsidRDefault="00A87A96" w:rsidP="00A87A96">
      <w:pPr>
        <w:pStyle w:val="SingleTxtG"/>
        <w:rPr>
          <w:i/>
          <w:lang w:val="fr-FR"/>
        </w:rPr>
      </w:pPr>
      <w:r w:rsidRPr="000D303C">
        <w:rPr>
          <w:i/>
          <w:lang w:val="fr-FR"/>
        </w:rPr>
        <w:t>(Document de référence: ST/SG/AC.10/C.4/2016/9 et ST/SG/AC.10/C.4/62, annexe I)</w:t>
      </w:r>
    </w:p>
    <w:p w:rsidR="00A87A96" w:rsidRPr="000D303C" w:rsidRDefault="00A87A96" w:rsidP="00A87A96">
      <w:pPr>
        <w:pStyle w:val="H1G"/>
        <w:rPr>
          <w:lang w:val="fr-FR"/>
        </w:rPr>
      </w:pPr>
      <w:r w:rsidRPr="000D303C">
        <w:rPr>
          <w:lang w:val="fr-FR"/>
        </w:rPr>
        <w:tab/>
      </w:r>
      <w:r w:rsidRPr="000D303C">
        <w:rPr>
          <w:lang w:val="fr-FR"/>
        </w:rPr>
        <w:tab/>
        <w:t>Chapitre 3.8</w:t>
      </w:r>
    </w:p>
    <w:p w:rsidR="00A87A96" w:rsidRPr="000D303C" w:rsidRDefault="00A87A96" w:rsidP="00A87A96">
      <w:pPr>
        <w:pStyle w:val="SingleTxtG"/>
        <w:keepNext/>
        <w:rPr>
          <w:snapToGrid w:val="0"/>
          <w:lang w:val="fr-FR"/>
        </w:rPr>
      </w:pPr>
      <w:r w:rsidRPr="000D303C">
        <w:rPr>
          <w:snapToGrid w:val="0"/>
          <w:lang w:val="fr-FR"/>
        </w:rPr>
        <w:t>3.8.1.1</w:t>
      </w:r>
      <w:r w:rsidRPr="000D303C">
        <w:rPr>
          <w:lang w:val="fr-FR"/>
        </w:rPr>
        <w:t xml:space="preserve"> </w:t>
      </w:r>
      <w:r w:rsidRPr="000D303C">
        <w:rPr>
          <w:lang w:val="fr-FR"/>
        </w:rPr>
        <w:tab/>
        <w:t xml:space="preserve">Modifier </w:t>
      </w:r>
      <w:r w:rsidR="00532494">
        <w:rPr>
          <w:lang w:val="fr-FR"/>
        </w:rPr>
        <w:t xml:space="preserve">la première phrase </w:t>
      </w:r>
      <w:r w:rsidRPr="000D303C">
        <w:rPr>
          <w:lang w:val="fr-FR"/>
        </w:rPr>
        <w:t>pour lire comme suit:</w:t>
      </w:r>
    </w:p>
    <w:p w:rsidR="00A87A96" w:rsidRPr="000D303C" w:rsidRDefault="006727AF" w:rsidP="00A87A96">
      <w:pPr>
        <w:pStyle w:val="SingleTxtG"/>
        <w:ind w:left="2268"/>
        <w:rPr>
          <w:lang w:val="fr-FR"/>
        </w:rPr>
      </w:pPr>
      <w:bookmarkStart w:id="2" w:name="_Toc11573817"/>
      <w:r w:rsidRPr="000D303C">
        <w:rPr>
          <w:lang w:val="fr-FR"/>
        </w:rPr>
        <w:t>« </w:t>
      </w:r>
      <w:r w:rsidR="00A87A96" w:rsidRPr="000D303C">
        <w:rPr>
          <w:lang w:val="fr-FR"/>
        </w:rPr>
        <w:t xml:space="preserve">La </w:t>
      </w:r>
      <w:r w:rsidR="00A87A96" w:rsidRPr="000D303C">
        <w:rPr>
          <w:i/>
          <w:lang w:val="fr-FR"/>
        </w:rPr>
        <w:t>toxicité pour certains organes cibles − exposition unique</w:t>
      </w:r>
      <w:r w:rsidR="00A87A96" w:rsidRPr="000D303C">
        <w:rPr>
          <w:lang w:val="fr-FR"/>
        </w:rPr>
        <w:t xml:space="preserve"> </w:t>
      </w:r>
      <w:r w:rsidR="00123A8A">
        <w:rPr>
          <w:lang w:val="fr-FR"/>
        </w:rPr>
        <w:t>désigne</w:t>
      </w:r>
      <w:r w:rsidR="00A87A96" w:rsidRPr="000D303C">
        <w:rPr>
          <w:lang w:val="fr-FR"/>
        </w:rPr>
        <w:t xml:space="preserve"> des effets toxiques spécifiques et non létaux sur des organes cibles à la suite d’une exposition unique à une substance ou un mélange.</w:t>
      </w:r>
      <w:r w:rsidR="00532494">
        <w:rPr>
          <w:lang w:val="fr-FR"/>
        </w:rPr>
        <w:t> »</w:t>
      </w:r>
      <w:r w:rsidR="00A87A96" w:rsidRPr="000D303C">
        <w:rPr>
          <w:lang w:val="fr-FR"/>
        </w:rPr>
        <w:t xml:space="preserve"> </w:t>
      </w:r>
    </w:p>
    <w:p w:rsidR="006727AF" w:rsidRPr="000D303C" w:rsidRDefault="006727AF" w:rsidP="006727AF">
      <w:pPr>
        <w:pStyle w:val="SingleTxtG"/>
        <w:rPr>
          <w:i/>
          <w:lang w:val="fr-FR"/>
        </w:rPr>
      </w:pPr>
      <w:r w:rsidRPr="000D303C">
        <w:rPr>
          <w:i/>
          <w:lang w:val="fr-FR"/>
        </w:rPr>
        <w:t>(Document de référence: ST/SG/AC.10/C.4/2016/9 et ST/SG/AC.10/C.4/62, annexe I)</w:t>
      </w:r>
    </w:p>
    <w:p w:rsidR="00A87A96" w:rsidRPr="000D303C" w:rsidRDefault="00A87A96" w:rsidP="00A87A96">
      <w:pPr>
        <w:pStyle w:val="H1G"/>
        <w:rPr>
          <w:lang w:val="fr-FR"/>
        </w:rPr>
      </w:pPr>
      <w:r w:rsidRPr="000D303C">
        <w:rPr>
          <w:lang w:val="fr-FR"/>
        </w:rPr>
        <w:tab/>
      </w:r>
      <w:r w:rsidRPr="000D303C">
        <w:rPr>
          <w:lang w:val="fr-FR"/>
        </w:rPr>
        <w:tab/>
        <w:t xml:space="preserve">Chapitre 3.9 </w:t>
      </w:r>
      <w:bookmarkEnd w:id="2"/>
    </w:p>
    <w:p w:rsidR="00A87A96" w:rsidRPr="000D303C" w:rsidRDefault="00A87A96" w:rsidP="00A87A96">
      <w:pPr>
        <w:pStyle w:val="SingleTxtG"/>
        <w:rPr>
          <w:lang w:val="fr-FR"/>
        </w:rPr>
      </w:pPr>
      <w:r w:rsidRPr="000D303C">
        <w:rPr>
          <w:lang w:val="fr-FR"/>
        </w:rPr>
        <w:t xml:space="preserve">3.9.1.1 </w:t>
      </w:r>
      <w:r w:rsidRPr="000D303C">
        <w:rPr>
          <w:lang w:val="fr-FR"/>
        </w:rPr>
        <w:tab/>
        <w:t xml:space="preserve">Modifier </w:t>
      </w:r>
      <w:r w:rsidR="00532494">
        <w:rPr>
          <w:lang w:val="fr-FR"/>
        </w:rPr>
        <w:t xml:space="preserve">la première phrase </w:t>
      </w:r>
      <w:r w:rsidRPr="000D303C">
        <w:rPr>
          <w:lang w:val="fr-FR"/>
        </w:rPr>
        <w:t>pour lire comme suit:</w:t>
      </w:r>
    </w:p>
    <w:p w:rsidR="00A87A96" w:rsidRPr="000D303C" w:rsidRDefault="006727AF" w:rsidP="006727AF">
      <w:pPr>
        <w:pStyle w:val="SingleTxtG"/>
        <w:ind w:left="2268"/>
        <w:rPr>
          <w:lang w:val="fr-FR"/>
        </w:rPr>
      </w:pPr>
      <w:r w:rsidRPr="000D303C">
        <w:rPr>
          <w:i/>
          <w:lang w:val="fr-FR"/>
        </w:rPr>
        <w:t>« </w:t>
      </w:r>
      <w:r w:rsidR="00A87A96" w:rsidRPr="000D303C">
        <w:rPr>
          <w:i/>
          <w:lang w:val="fr-FR"/>
        </w:rPr>
        <w:t>La toxicité pour certains organes cibles − expositions répétées</w:t>
      </w:r>
      <w:r w:rsidR="00A87A96" w:rsidRPr="000D303C">
        <w:rPr>
          <w:lang w:val="fr-FR"/>
        </w:rPr>
        <w:t xml:space="preserve"> </w:t>
      </w:r>
      <w:r w:rsidR="00123A8A">
        <w:rPr>
          <w:lang w:val="fr-FR"/>
        </w:rPr>
        <w:t>désigne</w:t>
      </w:r>
      <w:r w:rsidR="00A87A96" w:rsidRPr="000D303C">
        <w:rPr>
          <w:lang w:val="fr-FR"/>
        </w:rPr>
        <w:t xml:space="preserve"> des effets toxiques spécifiques sur des organes cibles à la suite d’expositions répétées à une substance ou un mélange.</w:t>
      </w:r>
      <w:r w:rsidRPr="000D303C">
        <w:rPr>
          <w:lang w:val="fr-FR"/>
        </w:rPr>
        <w:t> »</w:t>
      </w:r>
      <w:r w:rsidR="00A87A96" w:rsidRPr="000D303C">
        <w:rPr>
          <w:lang w:val="fr-FR"/>
        </w:rPr>
        <w:t xml:space="preserve">. </w:t>
      </w:r>
    </w:p>
    <w:p w:rsidR="00A87A96" w:rsidRPr="000D303C" w:rsidRDefault="00A87A96" w:rsidP="00A87A96">
      <w:pPr>
        <w:pStyle w:val="SingleTxtG"/>
        <w:rPr>
          <w:lang w:val="fr-FR"/>
        </w:rPr>
      </w:pPr>
      <w:r w:rsidRPr="000D303C">
        <w:rPr>
          <w:i/>
          <w:iCs/>
          <w:lang w:val="fr-FR"/>
        </w:rPr>
        <w:t>(</w:t>
      </w:r>
      <w:r w:rsidRPr="000D303C">
        <w:rPr>
          <w:i/>
          <w:lang w:val="fr-FR"/>
        </w:rPr>
        <w:t xml:space="preserve">Document de référence: </w:t>
      </w:r>
      <w:r w:rsidRPr="000D303C">
        <w:rPr>
          <w:i/>
          <w:iCs/>
          <w:lang w:val="fr-FR"/>
        </w:rPr>
        <w:t>ST/SG/AC.10/C.4/2016/9)</w:t>
      </w:r>
    </w:p>
    <w:p w:rsidR="00A87A96" w:rsidRPr="000D303C" w:rsidRDefault="00A87A96" w:rsidP="00A87A96">
      <w:pPr>
        <w:pStyle w:val="H1G"/>
        <w:rPr>
          <w:lang w:val="fr-FR"/>
        </w:rPr>
      </w:pPr>
      <w:r w:rsidRPr="000D303C">
        <w:rPr>
          <w:lang w:val="fr-FR"/>
        </w:rPr>
        <w:t xml:space="preserve"> </w:t>
      </w:r>
      <w:r w:rsidRPr="000D303C">
        <w:rPr>
          <w:lang w:val="fr-FR"/>
        </w:rPr>
        <w:tab/>
      </w:r>
      <w:r w:rsidRPr="000D303C">
        <w:rPr>
          <w:lang w:val="fr-FR"/>
        </w:rPr>
        <w:tab/>
        <w:t xml:space="preserve">Chapitre 3.10 </w:t>
      </w:r>
    </w:p>
    <w:p w:rsidR="00A87A96" w:rsidRPr="000D303C" w:rsidRDefault="00A87A96" w:rsidP="006727AF">
      <w:pPr>
        <w:pStyle w:val="SingleTxtG"/>
        <w:keepNext/>
        <w:keepLines/>
        <w:tabs>
          <w:tab w:val="left" w:pos="2268"/>
        </w:tabs>
        <w:spacing w:after="80"/>
        <w:ind w:left="2268" w:hanging="1134"/>
        <w:rPr>
          <w:lang w:val="fr-FR"/>
        </w:rPr>
      </w:pPr>
      <w:r w:rsidRPr="000D303C">
        <w:rPr>
          <w:lang w:val="fr-FR"/>
        </w:rPr>
        <w:t>3.10.1</w:t>
      </w:r>
      <w:r w:rsidRPr="000D303C">
        <w:rPr>
          <w:lang w:val="fr-FR"/>
        </w:rPr>
        <w:tab/>
        <w:t xml:space="preserve">Modifier le titre </w:t>
      </w:r>
      <w:r w:rsidR="006727AF" w:rsidRPr="000D303C">
        <w:rPr>
          <w:lang w:val="fr-FR"/>
        </w:rPr>
        <w:t xml:space="preserve">pour lire </w:t>
      </w:r>
      <w:r w:rsidRPr="000D303C">
        <w:rPr>
          <w:lang w:val="fr-FR"/>
        </w:rPr>
        <w:t>comme suit:</w:t>
      </w:r>
      <w:r w:rsidR="006727AF" w:rsidRPr="000D303C">
        <w:rPr>
          <w:lang w:val="fr-FR"/>
        </w:rPr>
        <w:t xml:space="preserve"> « </w:t>
      </w:r>
      <w:r w:rsidRPr="000D303C">
        <w:rPr>
          <w:b/>
          <w:lang w:val="fr-FR"/>
        </w:rPr>
        <w:t>Définitions et considérations générales</w:t>
      </w:r>
      <w:r w:rsidR="006727AF" w:rsidRPr="000D303C">
        <w:rPr>
          <w:b/>
          <w:lang w:val="fr-FR"/>
        </w:rPr>
        <w:t> »</w:t>
      </w:r>
      <w:r w:rsidRPr="000D303C">
        <w:rPr>
          <w:bCs/>
          <w:lang w:val="fr-FR"/>
        </w:rPr>
        <w:t>.</w:t>
      </w:r>
    </w:p>
    <w:p w:rsidR="00A87A96" w:rsidRPr="000D303C" w:rsidRDefault="00A87A96" w:rsidP="00A87A96">
      <w:pPr>
        <w:pStyle w:val="SingleTxtG"/>
        <w:keepNext/>
        <w:keepLines/>
        <w:tabs>
          <w:tab w:val="left" w:pos="2268"/>
        </w:tabs>
        <w:spacing w:after="80"/>
        <w:rPr>
          <w:lang w:val="fr-FR"/>
        </w:rPr>
      </w:pPr>
      <w:r w:rsidRPr="000D303C">
        <w:rPr>
          <w:lang w:val="fr-FR"/>
        </w:rPr>
        <w:t>3.10.1.1</w:t>
      </w:r>
      <w:r w:rsidRPr="000D303C">
        <w:rPr>
          <w:lang w:val="fr-FR"/>
        </w:rPr>
        <w:tab/>
        <w:t>Supprimer.</w:t>
      </w:r>
    </w:p>
    <w:p w:rsidR="00A87A96" w:rsidRPr="000D303C" w:rsidRDefault="006727AF" w:rsidP="00A87A96">
      <w:pPr>
        <w:pStyle w:val="SingleTxtG"/>
        <w:tabs>
          <w:tab w:val="left" w:pos="2268"/>
        </w:tabs>
        <w:spacing w:after="80"/>
        <w:rPr>
          <w:lang w:val="fr-FR"/>
        </w:rPr>
      </w:pPr>
      <w:r w:rsidRPr="000D303C">
        <w:rPr>
          <w:lang w:val="fr-FR"/>
        </w:rPr>
        <w:t>3.10.1.2</w:t>
      </w:r>
      <w:r w:rsidRPr="000D303C">
        <w:rPr>
          <w:lang w:val="fr-FR"/>
        </w:rPr>
        <w:tab/>
      </w:r>
      <w:r w:rsidR="00A87A96" w:rsidRPr="000D303C">
        <w:rPr>
          <w:lang w:val="fr-FR"/>
        </w:rPr>
        <w:t>Le paragraphe 3.10.1.2 devient le paragraphe 3.10.1.1.</w:t>
      </w:r>
    </w:p>
    <w:p w:rsidR="00A87A96" w:rsidRPr="000D303C" w:rsidRDefault="006727AF" w:rsidP="006727AF">
      <w:pPr>
        <w:pStyle w:val="SingleTxtG"/>
        <w:keepNext/>
        <w:keepLines/>
        <w:tabs>
          <w:tab w:val="left" w:pos="2268"/>
        </w:tabs>
        <w:spacing w:after="80"/>
        <w:ind w:left="2268" w:hanging="1134"/>
        <w:rPr>
          <w:lang w:val="fr-FR"/>
        </w:rPr>
      </w:pPr>
      <w:r w:rsidRPr="000D303C">
        <w:rPr>
          <w:lang w:val="fr-FR"/>
        </w:rPr>
        <w:t>3.10.1.3</w:t>
      </w:r>
      <w:r w:rsidRPr="000D303C">
        <w:rPr>
          <w:lang w:val="fr-FR"/>
        </w:rPr>
        <w:tab/>
      </w:r>
      <w:r w:rsidR="00A87A96" w:rsidRPr="000D303C">
        <w:rPr>
          <w:lang w:val="fr-FR"/>
        </w:rPr>
        <w:t xml:space="preserve">Le paragraphe 3.10.1.3 devient le paragraphe 3.10.1.2, </w:t>
      </w:r>
      <w:r w:rsidR="00C7395A">
        <w:rPr>
          <w:lang w:val="fr-FR"/>
        </w:rPr>
        <w:t xml:space="preserve">tel que </w:t>
      </w:r>
      <w:r w:rsidR="00A87A96" w:rsidRPr="000D303C">
        <w:rPr>
          <w:lang w:val="fr-FR"/>
        </w:rPr>
        <w:t xml:space="preserve">modifié </w:t>
      </w:r>
      <w:r w:rsidR="00C7395A">
        <w:rPr>
          <w:lang w:val="fr-FR"/>
        </w:rPr>
        <w:t xml:space="preserve">pour lire </w:t>
      </w:r>
      <w:r w:rsidR="00A87A96" w:rsidRPr="000D303C">
        <w:rPr>
          <w:lang w:val="fr-FR"/>
        </w:rPr>
        <w:t>comme suit:</w:t>
      </w:r>
    </w:p>
    <w:p w:rsidR="00A87A96" w:rsidRPr="000D303C" w:rsidRDefault="006727AF" w:rsidP="006727AF">
      <w:pPr>
        <w:pStyle w:val="SingleTxtG"/>
        <w:ind w:left="2268"/>
        <w:rPr>
          <w:lang w:val="fr-FR"/>
        </w:rPr>
      </w:pPr>
      <w:r w:rsidRPr="000D303C">
        <w:rPr>
          <w:lang w:val="fr-FR"/>
        </w:rPr>
        <w:t>« </w:t>
      </w:r>
      <w:r w:rsidR="00A87A96" w:rsidRPr="000D303C">
        <w:rPr>
          <w:lang w:val="fr-FR"/>
        </w:rPr>
        <w:t>Le danger par aspiration peut entraîner de graves effets aigus tels que pneumonie chimique, lésions pulmonaires plus ou moins importantes, voire décès consécutif à l’aspiration d’une substance ou d’un mélange.</w:t>
      </w:r>
      <w:r w:rsidRPr="000D303C">
        <w:rPr>
          <w:lang w:val="fr-FR"/>
        </w:rPr>
        <w:t> »</w:t>
      </w:r>
      <w:r w:rsidR="00A87A96" w:rsidRPr="000D303C">
        <w:rPr>
          <w:lang w:val="fr-FR"/>
        </w:rPr>
        <w:t xml:space="preserve">. </w:t>
      </w:r>
    </w:p>
    <w:p w:rsidR="00A87A96" w:rsidRPr="000D303C" w:rsidRDefault="006727AF" w:rsidP="006727AF">
      <w:pPr>
        <w:pStyle w:val="SingleTxtG"/>
        <w:tabs>
          <w:tab w:val="left" w:pos="2268"/>
          <w:tab w:val="left" w:pos="3402"/>
        </w:tabs>
        <w:ind w:left="2268" w:hanging="1134"/>
        <w:rPr>
          <w:lang w:val="fr-FR"/>
        </w:rPr>
      </w:pPr>
      <w:r w:rsidRPr="000D303C">
        <w:rPr>
          <w:lang w:val="fr-FR"/>
        </w:rPr>
        <w:t>3.10.1.4 et 3.10.1.5</w:t>
      </w:r>
      <w:r w:rsidRPr="000D303C">
        <w:rPr>
          <w:lang w:val="fr-FR"/>
        </w:rPr>
        <w:tab/>
      </w:r>
      <w:r w:rsidR="00A87A96" w:rsidRPr="000D303C">
        <w:rPr>
          <w:lang w:val="fr-FR"/>
        </w:rPr>
        <w:t>Les paragraphes 3.10.1.4 et 3.10.1.5 deviennent les paragraphes 3.10.1.3 et 3.10.1.4.</w:t>
      </w:r>
    </w:p>
    <w:p w:rsidR="006727AF" w:rsidRPr="000D303C" w:rsidRDefault="006727AF" w:rsidP="006727AF">
      <w:pPr>
        <w:pStyle w:val="SingleTxtG"/>
        <w:rPr>
          <w:i/>
          <w:lang w:val="fr-FR"/>
        </w:rPr>
      </w:pPr>
      <w:r w:rsidRPr="000D303C">
        <w:rPr>
          <w:i/>
          <w:lang w:val="fr-FR"/>
        </w:rPr>
        <w:t>(Document de référence: ST/SG/AC.10/C.4/2016/9 et ST/SG/AC.10/C.4/62, annexe I)</w:t>
      </w:r>
    </w:p>
    <w:p w:rsidR="006E31F6" w:rsidRPr="000D303C" w:rsidRDefault="006727AF" w:rsidP="006727AF">
      <w:pPr>
        <w:pStyle w:val="H1G"/>
        <w:rPr>
          <w:lang w:val="fr-FR"/>
        </w:rPr>
      </w:pPr>
      <w:r w:rsidRPr="000D303C">
        <w:rPr>
          <w:lang w:val="fr-FR"/>
        </w:rPr>
        <w:lastRenderedPageBreak/>
        <w:tab/>
      </w:r>
      <w:r w:rsidRPr="000D303C">
        <w:rPr>
          <w:lang w:val="fr-FR"/>
        </w:rPr>
        <w:tab/>
        <w:t>Annexe 3</w:t>
      </w:r>
    </w:p>
    <w:p w:rsidR="006727AF" w:rsidRPr="000D303C" w:rsidRDefault="006727AF" w:rsidP="006727AF">
      <w:pPr>
        <w:pStyle w:val="H23G"/>
        <w:rPr>
          <w:lang w:val="fr-FR"/>
        </w:rPr>
      </w:pPr>
      <w:r w:rsidRPr="000D303C">
        <w:rPr>
          <w:lang w:val="fr-FR"/>
        </w:rPr>
        <w:tab/>
      </w:r>
      <w:r w:rsidRPr="000D303C">
        <w:rPr>
          <w:lang w:val="fr-FR"/>
        </w:rPr>
        <w:tab/>
        <w:t>Section 2, paragraphe A3.2.</w:t>
      </w:r>
      <w:r w:rsidR="00E0250F" w:rsidRPr="000D303C">
        <w:rPr>
          <w:lang w:val="fr-FR"/>
        </w:rPr>
        <w:t>3.3</w:t>
      </w:r>
    </w:p>
    <w:p w:rsidR="00E0250F" w:rsidRPr="000D303C" w:rsidRDefault="00167371" w:rsidP="00167371">
      <w:pPr>
        <w:pStyle w:val="SingleTxtG"/>
        <w:rPr>
          <w:lang w:val="fr-FR"/>
        </w:rPr>
      </w:pPr>
      <w:r w:rsidRPr="000D303C">
        <w:rPr>
          <w:lang w:val="fr-FR"/>
        </w:rPr>
        <w:t>Modifier le début de</w:t>
      </w:r>
      <w:r w:rsidR="00E0250F" w:rsidRPr="000D303C">
        <w:rPr>
          <w:lang w:val="fr-FR"/>
        </w:rPr>
        <w:t xml:space="preserve"> la dernière phrase</w:t>
      </w:r>
      <w:r w:rsidRPr="000D303C">
        <w:rPr>
          <w:lang w:val="fr-FR"/>
        </w:rPr>
        <w:t xml:space="preserve"> pour lire comme suit :</w:t>
      </w:r>
    </w:p>
    <w:p w:rsidR="00E0250F" w:rsidRPr="000D303C" w:rsidRDefault="00167371" w:rsidP="0095568D">
      <w:pPr>
        <w:pStyle w:val="SingleTxtG"/>
        <w:ind w:left="1418"/>
        <w:rPr>
          <w:lang w:val="fr-FR"/>
        </w:rPr>
      </w:pPr>
      <w:r w:rsidRPr="000D303C">
        <w:rPr>
          <w:lang w:val="fr-FR"/>
        </w:rPr>
        <w:t>« Par exemple, le conseil P280 : « </w:t>
      </w:r>
      <w:r w:rsidR="00E0250F" w:rsidRPr="000D303C">
        <w:rPr>
          <w:b/>
          <w:lang w:val="fr-FR"/>
        </w:rPr>
        <w:t>Porter des gants de protection/des vêtements de protection/un équipement de protection des yeux/du visage/</w:t>
      </w:r>
      <w:r w:rsidR="003643BE" w:rsidRPr="000D303C">
        <w:rPr>
          <w:b/>
          <w:lang w:val="fr-FR"/>
        </w:rPr>
        <w:t>auditive</w:t>
      </w:r>
      <w:r w:rsidR="00E0250F" w:rsidRPr="000D303C">
        <w:rPr>
          <w:b/>
          <w:lang w:val="fr-FR"/>
        </w:rPr>
        <w:t>/…</w:t>
      </w:r>
      <w:r w:rsidR="00E0250F" w:rsidRPr="000D303C">
        <w:rPr>
          <w:lang w:val="fr-FR"/>
        </w:rPr>
        <w:t> »</w:t>
      </w:r>
      <w:r w:rsidRPr="000D303C">
        <w:rPr>
          <w:lang w:val="fr-FR"/>
        </w:rPr>
        <w:t xml:space="preserve"> pourrait être reformulé » </w:t>
      </w:r>
      <w:r w:rsidRPr="000D303C">
        <w:rPr>
          <w:i/>
          <w:lang w:val="fr-FR"/>
        </w:rPr>
        <w:t>(le restant de la phrase demeure inchangé)</w:t>
      </w:r>
      <w:r w:rsidR="00E0250F" w:rsidRPr="000D303C">
        <w:rPr>
          <w:lang w:val="fr-FR"/>
        </w:rPr>
        <w:t>.</w:t>
      </w:r>
    </w:p>
    <w:p w:rsidR="00167371" w:rsidRPr="000D303C" w:rsidRDefault="00167371" w:rsidP="00167371">
      <w:pPr>
        <w:pStyle w:val="SingleTxtG"/>
        <w:rPr>
          <w:i/>
          <w:lang w:val="fr-FR"/>
        </w:rPr>
      </w:pPr>
      <w:r w:rsidRPr="000D303C">
        <w:rPr>
          <w:i/>
          <w:lang w:val="fr-FR"/>
        </w:rPr>
        <w:t>(</w:t>
      </w:r>
      <w:r w:rsidR="00DC3510" w:rsidRPr="000D303C">
        <w:rPr>
          <w:i/>
          <w:lang w:val="fr-FR"/>
        </w:rPr>
        <w:t xml:space="preserve">Référence : </w:t>
      </w:r>
      <w:r w:rsidRPr="000D303C">
        <w:rPr>
          <w:i/>
          <w:lang w:val="fr-FR"/>
        </w:rPr>
        <w:t>Amend</w:t>
      </w:r>
      <w:r w:rsidR="00DC3510" w:rsidRPr="000D303C">
        <w:rPr>
          <w:i/>
          <w:lang w:val="fr-FR"/>
        </w:rPr>
        <w:t>e</w:t>
      </w:r>
      <w:r w:rsidRPr="000D303C">
        <w:rPr>
          <w:i/>
          <w:lang w:val="fr-FR"/>
        </w:rPr>
        <w:t xml:space="preserve">ment corolaire à l’amendement du texte </w:t>
      </w:r>
      <w:r w:rsidR="00DC3510" w:rsidRPr="000D303C">
        <w:rPr>
          <w:i/>
          <w:lang w:val="fr-FR"/>
        </w:rPr>
        <w:t>du conseil de prudence</w:t>
      </w:r>
      <w:r w:rsidRPr="000D303C">
        <w:rPr>
          <w:i/>
          <w:lang w:val="fr-FR"/>
        </w:rPr>
        <w:t xml:space="preserve"> P280) </w:t>
      </w:r>
    </w:p>
    <w:p w:rsidR="00DC3510" w:rsidRPr="000D303C" w:rsidRDefault="00DC3510" w:rsidP="00DC3510">
      <w:pPr>
        <w:pStyle w:val="H23G"/>
        <w:rPr>
          <w:lang w:val="fr-FR"/>
        </w:rPr>
      </w:pPr>
      <w:r w:rsidRPr="000D303C">
        <w:rPr>
          <w:lang w:val="fr-FR"/>
        </w:rPr>
        <w:tab/>
      </w:r>
      <w:r w:rsidRPr="000D303C">
        <w:rPr>
          <w:lang w:val="fr-FR"/>
        </w:rPr>
        <w:tab/>
        <w:t>Section 2, Tableau A3.2.2</w:t>
      </w:r>
    </w:p>
    <w:p w:rsidR="00167371" w:rsidRPr="000D303C" w:rsidRDefault="00DC3510" w:rsidP="00167371">
      <w:pPr>
        <w:pStyle w:val="SingleTxtG"/>
        <w:rPr>
          <w:b/>
          <w:lang w:val="fr-FR"/>
        </w:rPr>
      </w:pPr>
      <w:r w:rsidRPr="000D303C">
        <w:rPr>
          <w:b/>
          <w:lang w:val="fr-FR"/>
        </w:rPr>
        <w:t>P280</w:t>
      </w:r>
    </w:p>
    <w:p w:rsidR="00DC3510" w:rsidRPr="000D303C" w:rsidRDefault="00DC3510" w:rsidP="00DC3510">
      <w:pPr>
        <w:pStyle w:val="SingleTxtG"/>
        <w:rPr>
          <w:lang w:val="fr-FR"/>
        </w:rPr>
      </w:pPr>
      <w:r w:rsidRPr="000D303C">
        <w:rPr>
          <w:lang w:val="fr-FR"/>
        </w:rPr>
        <w:t>Modifier le texte du conseil de prudence en colonne (2) pour lire comme suit :</w:t>
      </w:r>
    </w:p>
    <w:p w:rsidR="00E0250F" w:rsidRPr="000D303C" w:rsidRDefault="00DC3510" w:rsidP="0095568D">
      <w:pPr>
        <w:pStyle w:val="SingleTxtG"/>
        <w:ind w:left="1418"/>
        <w:rPr>
          <w:lang w:val="fr-FR"/>
        </w:rPr>
      </w:pPr>
      <w:r w:rsidRPr="000D303C">
        <w:rPr>
          <w:lang w:val="fr-FR"/>
        </w:rPr>
        <w:t>« </w:t>
      </w:r>
      <w:r w:rsidR="003643BE" w:rsidRPr="000D303C">
        <w:rPr>
          <w:b/>
          <w:lang w:val="fr-FR"/>
        </w:rPr>
        <w:t>Porter des gants de protection/des vêtements de protection/un équipement de protection des yeux/du visage/auditive/…</w:t>
      </w:r>
      <w:r w:rsidR="003643BE" w:rsidRPr="000D303C">
        <w:rPr>
          <w:lang w:val="fr-FR"/>
        </w:rPr>
        <w:t> </w:t>
      </w:r>
      <w:r w:rsidRPr="000D303C">
        <w:rPr>
          <w:lang w:val="fr-FR"/>
        </w:rPr>
        <w:t>»</w:t>
      </w:r>
    </w:p>
    <w:p w:rsidR="005609CD" w:rsidRPr="000D303C" w:rsidRDefault="005609CD" w:rsidP="00DC3510">
      <w:pPr>
        <w:pStyle w:val="SingleTxtG"/>
        <w:rPr>
          <w:lang w:val="fr-FR"/>
        </w:rPr>
      </w:pPr>
      <w:r w:rsidRPr="000D303C">
        <w:rPr>
          <w:lang w:val="fr-FR"/>
        </w:rPr>
        <w:t xml:space="preserve">Pour les </w:t>
      </w:r>
      <w:r w:rsidR="003643BE" w:rsidRPr="000D303C">
        <w:rPr>
          <w:lang w:val="fr-FR"/>
        </w:rPr>
        <w:t>classes de danger</w:t>
      </w:r>
      <w:r w:rsidRPr="000D303C">
        <w:rPr>
          <w:lang w:val="fr-FR"/>
        </w:rPr>
        <w:t> :</w:t>
      </w:r>
      <w:r w:rsidR="00E22BF6" w:rsidRPr="000D303C">
        <w:rPr>
          <w:lang w:val="fr-FR"/>
        </w:rPr>
        <w:t xml:space="preserve"> « Matières et objets explosibles », « Gaz inflammables », « Liquides inflammables », « Matières solides inflammables », « Matières autoréactives », « Liquides pyrophoriques », « Matières solides pyrophoriques », « Matières auto-échauffantes », « Matières qui, au contact de l’eau, dégagent des gaz inflammables », « Liquides comburants », « Matières solides comburantes », « Peroxydes organiques », « Matières explosibles désensibilisées », </w:t>
      </w:r>
      <w:r w:rsidRPr="000D303C">
        <w:rPr>
          <w:lang w:val="fr-FR"/>
        </w:rPr>
        <w:t>« Mutagénicité pour les cellules germinales », « Cancérogénicité » et « Toxicité pour la r</w:t>
      </w:r>
      <w:r w:rsidR="00E960A9">
        <w:rPr>
          <w:lang w:val="fr-FR"/>
        </w:rPr>
        <w:t>e</w:t>
      </w:r>
      <w:r w:rsidRPr="000D303C">
        <w:rPr>
          <w:lang w:val="fr-FR"/>
        </w:rPr>
        <w:t xml:space="preserve">production », modifier le conseil de prudence à la colonne (5) pour lire comme suit : </w:t>
      </w:r>
    </w:p>
    <w:p w:rsidR="002F69F0" w:rsidRPr="000D303C" w:rsidRDefault="00E0250F" w:rsidP="002F69F0">
      <w:pPr>
        <w:pStyle w:val="SingleTxtG"/>
        <w:ind w:left="1418"/>
        <w:rPr>
          <w:lang w:val="fr-FR"/>
        </w:rPr>
      </w:pPr>
      <w:r w:rsidRPr="000D303C">
        <w:rPr>
          <w:lang w:val="fr-FR"/>
        </w:rPr>
        <w:t xml:space="preserve">« Il revient au fabricant/fournisseur ou à l’autorité compétente de préciser </w:t>
      </w:r>
      <w:r w:rsidR="002F69F0" w:rsidRPr="000D303C">
        <w:rPr>
          <w:lang w:val="fr-FR"/>
        </w:rPr>
        <w:t>l’</w:t>
      </w:r>
      <w:r w:rsidRPr="000D303C">
        <w:rPr>
          <w:lang w:val="fr-FR"/>
        </w:rPr>
        <w:t xml:space="preserve">équipement de protection individuelle </w:t>
      </w:r>
      <w:r w:rsidR="002F69F0" w:rsidRPr="000D303C">
        <w:rPr>
          <w:lang w:val="fr-FR"/>
        </w:rPr>
        <w:t>approprié</w:t>
      </w:r>
      <w:r w:rsidRPr="000D303C">
        <w:rPr>
          <w:lang w:val="fr-FR"/>
        </w:rPr>
        <w:t> ».</w:t>
      </w:r>
    </w:p>
    <w:p w:rsidR="00A12E1D" w:rsidRDefault="00A12E1D" w:rsidP="00A12E1D">
      <w:pPr>
        <w:pStyle w:val="SingleTxtG"/>
        <w:rPr>
          <w:i/>
          <w:lang w:val="fr-FR"/>
        </w:rPr>
      </w:pPr>
      <w:r w:rsidRPr="000D303C">
        <w:rPr>
          <w:i/>
          <w:lang w:val="fr-FR"/>
        </w:rPr>
        <w:t>(Document de référence: ST/SG/AC.10/C.4/2016/1 et ST/SG/AC.10/C.4/62, annexe I)</w:t>
      </w:r>
    </w:p>
    <w:p w:rsidR="004C63B3" w:rsidRPr="000D303C" w:rsidRDefault="004C63B3" w:rsidP="004C63B3">
      <w:pPr>
        <w:pStyle w:val="H23G"/>
        <w:rPr>
          <w:lang w:val="fr-FR"/>
        </w:rPr>
      </w:pPr>
      <w:r>
        <w:rPr>
          <w:lang w:val="fr-FR"/>
        </w:rPr>
        <w:tab/>
      </w:r>
      <w:r>
        <w:rPr>
          <w:lang w:val="fr-FR"/>
        </w:rPr>
        <w:tab/>
      </w:r>
      <w:r w:rsidRPr="000D303C">
        <w:rPr>
          <w:lang w:val="fr-FR"/>
        </w:rPr>
        <w:t>Section 2, Tableau A3.2.5</w:t>
      </w:r>
    </w:p>
    <w:p w:rsidR="004C63B3" w:rsidRPr="000D303C" w:rsidRDefault="004C63B3" w:rsidP="004C63B3">
      <w:pPr>
        <w:pStyle w:val="H23G"/>
        <w:rPr>
          <w:lang w:val="fr-FR"/>
        </w:rPr>
      </w:pPr>
      <w:r w:rsidRPr="000D303C">
        <w:rPr>
          <w:lang w:val="fr-FR"/>
        </w:rPr>
        <w:tab/>
      </w:r>
      <w:r w:rsidRPr="000D303C">
        <w:rPr>
          <w:lang w:val="fr-FR"/>
        </w:rPr>
        <w:tab/>
        <w:t>P503</w:t>
      </w:r>
    </w:p>
    <w:p w:rsidR="004C63B3" w:rsidRPr="000D303C" w:rsidRDefault="004C63B3" w:rsidP="004C63B3">
      <w:pPr>
        <w:pStyle w:val="SingleTxtG"/>
        <w:rPr>
          <w:lang w:val="fr-FR"/>
        </w:rPr>
      </w:pPr>
      <w:r w:rsidRPr="000D303C">
        <w:rPr>
          <w:lang w:val="fr-FR"/>
        </w:rPr>
        <w:t>Ajouter une nouvelle rubrique P503 ainsi conçue :</w:t>
      </w:r>
    </w:p>
    <w:tbl>
      <w:tblPr>
        <w:tblStyle w:val="TableGrid"/>
        <w:tblW w:w="8222" w:type="dxa"/>
        <w:tblInd w:w="1139" w:type="dxa"/>
        <w:tblBorders>
          <w:insideH w:val="none" w:sz="0" w:space="0" w:color="auto"/>
        </w:tblBorders>
        <w:tblLayout w:type="fixed"/>
        <w:tblLook w:val="04A0" w:firstRow="1" w:lastRow="0" w:firstColumn="1" w:lastColumn="0" w:noHBand="0" w:noVBand="1"/>
      </w:tblPr>
      <w:tblGrid>
        <w:gridCol w:w="662"/>
        <w:gridCol w:w="1906"/>
        <w:gridCol w:w="1432"/>
        <w:gridCol w:w="1529"/>
        <w:gridCol w:w="2693"/>
      </w:tblGrid>
      <w:tr w:rsidR="004C63B3" w:rsidRPr="000D303C" w:rsidTr="002B0951">
        <w:tc>
          <w:tcPr>
            <w:tcW w:w="662" w:type="dxa"/>
            <w:tcBorders>
              <w:bottom w:val="nil"/>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0D303C">
              <w:rPr>
                <w:rFonts w:eastAsiaTheme="minorHAnsi"/>
                <w:b/>
                <w:spacing w:val="4"/>
                <w:w w:val="103"/>
                <w:kern w:val="14"/>
                <w:sz w:val="16"/>
                <w:szCs w:val="16"/>
                <w:lang w:val="fr-FR"/>
              </w:rPr>
              <w:t xml:space="preserve">Code </w:t>
            </w:r>
          </w:p>
        </w:tc>
        <w:tc>
          <w:tcPr>
            <w:tcW w:w="1906" w:type="dxa"/>
            <w:tcBorders>
              <w:bottom w:val="nil"/>
            </w:tcBorders>
          </w:tcPr>
          <w:p w:rsidR="004C63B3" w:rsidRPr="000D303C" w:rsidRDefault="004C63B3" w:rsidP="00566E49">
            <w:pPr>
              <w:pStyle w:val="SingleTxtG"/>
              <w:spacing w:after="0" w:line="240" w:lineRule="auto"/>
              <w:ind w:left="0" w:right="34"/>
              <w:jc w:val="center"/>
              <w:rPr>
                <w:sz w:val="18"/>
                <w:lang w:val="fr-FR"/>
              </w:rPr>
            </w:pPr>
            <w:r w:rsidRPr="00D042C7">
              <w:rPr>
                <w:rFonts w:eastAsiaTheme="minorHAnsi"/>
                <w:b/>
                <w:spacing w:val="4"/>
                <w:w w:val="103"/>
                <w:kern w:val="14"/>
                <w:sz w:val="16"/>
                <w:szCs w:val="16"/>
                <w:lang w:val="fr-FR"/>
              </w:rPr>
              <w:t xml:space="preserve">Conseils de prudence concernant l’élimination </w:t>
            </w:r>
          </w:p>
        </w:tc>
        <w:tc>
          <w:tcPr>
            <w:tcW w:w="1432" w:type="dxa"/>
            <w:tcBorders>
              <w:bottom w:val="nil"/>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0D303C">
              <w:rPr>
                <w:rFonts w:eastAsiaTheme="minorHAnsi"/>
                <w:b/>
                <w:spacing w:val="4"/>
                <w:w w:val="103"/>
                <w:kern w:val="14"/>
                <w:sz w:val="16"/>
                <w:szCs w:val="16"/>
                <w:lang w:val="fr-FR"/>
              </w:rPr>
              <w:t>Classe de danger</w:t>
            </w:r>
          </w:p>
        </w:tc>
        <w:tc>
          <w:tcPr>
            <w:tcW w:w="1529" w:type="dxa"/>
            <w:tcBorders>
              <w:bottom w:val="nil"/>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0D303C">
              <w:rPr>
                <w:rFonts w:eastAsiaTheme="minorHAnsi"/>
                <w:b/>
                <w:spacing w:val="4"/>
                <w:w w:val="103"/>
                <w:kern w:val="14"/>
                <w:sz w:val="16"/>
                <w:szCs w:val="16"/>
                <w:lang w:val="fr-FR"/>
              </w:rPr>
              <w:t>Catégorie de danger</w:t>
            </w:r>
          </w:p>
        </w:tc>
        <w:tc>
          <w:tcPr>
            <w:tcW w:w="2693" w:type="dxa"/>
            <w:tcBorders>
              <w:bottom w:val="nil"/>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0D303C">
              <w:rPr>
                <w:rFonts w:eastAsiaTheme="minorHAnsi"/>
                <w:b/>
                <w:spacing w:val="4"/>
                <w:w w:val="103"/>
                <w:kern w:val="14"/>
                <w:sz w:val="16"/>
                <w:szCs w:val="16"/>
                <w:lang w:val="fr-FR"/>
              </w:rPr>
              <w:t>Conditions relatives à l’utilisation</w:t>
            </w:r>
          </w:p>
        </w:tc>
      </w:tr>
      <w:tr w:rsidR="004C63B3" w:rsidRPr="000D303C" w:rsidTr="002B0951">
        <w:tc>
          <w:tcPr>
            <w:tcW w:w="662" w:type="dxa"/>
            <w:tcBorders>
              <w:top w:val="nil"/>
              <w:bottom w:val="single" w:sz="4" w:space="0" w:color="auto"/>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0D303C">
              <w:rPr>
                <w:rFonts w:eastAsiaTheme="minorHAnsi"/>
                <w:b/>
                <w:spacing w:val="4"/>
                <w:w w:val="103"/>
                <w:kern w:val="14"/>
                <w:sz w:val="16"/>
                <w:szCs w:val="16"/>
                <w:lang w:val="fr-FR"/>
              </w:rPr>
              <w:t>(1)</w:t>
            </w:r>
          </w:p>
        </w:tc>
        <w:tc>
          <w:tcPr>
            <w:tcW w:w="1906" w:type="dxa"/>
            <w:tcBorders>
              <w:top w:val="nil"/>
              <w:bottom w:val="single" w:sz="4" w:space="0" w:color="auto"/>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D042C7">
              <w:rPr>
                <w:rFonts w:eastAsiaTheme="minorHAnsi"/>
                <w:b/>
                <w:spacing w:val="4"/>
                <w:w w:val="103"/>
                <w:kern w:val="14"/>
                <w:sz w:val="16"/>
                <w:szCs w:val="16"/>
                <w:lang w:val="fr-FR"/>
              </w:rPr>
              <w:t>(2)</w:t>
            </w:r>
          </w:p>
        </w:tc>
        <w:tc>
          <w:tcPr>
            <w:tcW w:w="1432" w:type="dxa"/>
            <w:tcBorders>
              <w:top w:val="nil"/>
              <w:bottom w:val="single" w:sz="4" w:space="0" w:color="auto"/>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0D303C">
              <w:rPr>
                <w:rFonts w:eastAsiaTheme="minorHAnsi"/>
                <w:b/>
                <w:spacing w:val="4"/>
                <w:w w:val="103"/>
                <w:kern w:val="14"/>
                <w:sz w:val="16"/>
                <w:szCs w:val="16"/>
                <w:lang w:val="fr-FR"/>
              </w:rPr>
              <w:t>(3)</w:t>
            </w:r>
          </w:p>
        </w:tc>
        <w:tc>
          <w:tcPr>
            <w:tcW w:w="1529" w:type="dxa"/>
            <w:tcBorders>
              <w:top w:val="nil"/>
              <w:bottom w:val="single" w:sz="4" w:space="0" w:color="auto"/>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0D303C">
              <w:rPr>
                <w:rFonts w:eastAsiaTheme="minorHAnsi"/>
                <w:b/>
                <w:spacing w:val="4"/>
                <w:w w:val="103"/>
                <w:kern w:val="14"/>
                <w:sz w:val="16"/>
                <w:szCs w:val="16"/>
                <w:lang w:val="fr-FR"/>
              </w:rPr>
              <w:t>(4)</w:t>
            </w:r>
          </w:p>
        </w:tc>
        <w:tc>
          <w:tcPr>
            <w:tcW w:w="2693" w:type="dxa"/>
            <w:tcBorders>
              <w:top w:val="nil"/>
              <w:bottom w:val="single" w:sz="4" w:space="0" w:color="auto"/>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0D303C">
              <w:rPr>
                <w:rFonts w:eastAsiaTheme="minorHAnsi"/>
                <w:b/>
                <w:spacing w:val="4"/>
                <w:w w:val="103"/>
                <w:kern w:val="14"/>
                <w:sz w:val="16"/>
                <w:szCs w:val="16"/>
                <w:lang w:val="fr-FR"/>
              </w:rPr>
              <w:t>(5)</w:t>
            </w:r>
          </w:p>
        </w:tc>
      </w:tr>
      <w:tr w:rsidR="004C63B3" w:rsidRPr="000D303C" w:rsidTr="002B0951">
        <w:tc>
          <w:tcPr>
            <w:tcW w:w="662" w:type="dxa"/>
            <w:tcBorders>
              <w:top w:val="single" w:sz="4" w:space="0" w:color="auto"/>
              <w:bottom w:val="single" w:sz="4" w:space="0" w:color="auto"/>
            </w:tcBorders>
          </w:tcPr>
          <w:p w:rsidR="004C63B3" w:rsidRPr="000D303C" w:rsidRDefault="004C63B3" w:rsidP="00566E49">
            <w:pPr>
              <w:pStyle w:val="SingleTxtG"/>
              <w:spacing w:after="0" w:line="240" w:lineRule="auto"/>
              <w:ind w:left="0" w:right="34"/>
              <w:jc w:val="center"/>
              <w:rPr>
                <w:rFonts w:eastAsiaTheme="minorHAnsi"/>
                <w:spacing w:val="4"/>
                <w:w w:val="103"/>
                <w:kern w:val="14"/>
                <w:sz w:val="16"/>
                <w:szCs w:val="16"/>
                <w:lang w:val="fr-FR"/>
              </w:rPr>
            </w:pPr>
            <w:r w:rsidRPr="000D303C">
              <w:rPr>
                <w:rFonts w:eastAsiaTheme="minorHAnsi"/>
                <w:spacing w:val="4"/>
                <w:w w:val="103"/>
                <w:kern w:val="14"/>
                <w:sz w:val="16"/>
                <w:szCs w:val="16"/>
                <w:lang w:val="fr-FR"/>
              </w:rPr>
              <w:t>P503</w:t>
            </w:r>
          </w:p>
        </w:tc>
        <w:tc>
          <w:tcPr>
            <w:tcW w:w="1906" w:type="dxa"/>
            <w:tcBorders>
              <w:top w:val="single" w:sz="4" w:space="0" w:color="auto"/>
              <w:bottom w:val="single" w:sz="4" w:space="0" w:color="auto"/>
            </w:tcBorders>
          </w:tcPr>
          <w:p w:rsidR="004C63B3" w:rsidRPr="000D303C" w:rsidRDefault="004C63B3" w:rsidP="00566E49">
            <w:pPr>
              <w:pStyle w:val="SingleTxtG"/>
              <w:spacing w:after="0" w:line="240" w:lineRule="auto"/>
              <w:ind w:left="53" w:right="34"/>
              <w:jc w:val="left"/>
              <w:rPr>
                <w:rFonts w:eastAsiaTheme="minorHAnsi"/>
                <w:b/>
                <w:spacing w:val="4"/>
                <w:w w:val="103"/>
                <w:kern w:val="14"/>
                <w:sz w:val="16"/>
                <w:szCs w:val="16"/>
                <w:lang w:val="fr-FR"/>
              </w:rPr>
            </w:pPr>
            <w:r w:rsidRPr="00D042C7">
              <w:rPr>
                <w:rFonts w:eastAsiaTheme="minorHAnsi"/>
                <w:b/>
                <w:spacing w:val="4"/>
                <w:w w:val="103"/>
                <w:kern w:val="14"/>
                <w:sz w:val="16"/>
                <w:szCs w:val="18"/>
                <w:lang w:val="fr-FR"/>
              </w:rPr>
              <w:t>Se reporter au fabricant/ fournisseur/…pour des informations concernant l’élimination/la récupération/le recyclage</w:t>
            </w:r>
          </w:p>
        </w:tc>
        <w:tc>
          <w:tcPr>
            <w:tcW w:w="1432" w:type="dxa"/>
            <w:tcBorders>
              <w:top w:val="single" w:sz="4" w:space="0" w:color="auto"/>
              <w:bottom w:val="single" w:sz="4" w:space="0" w:color="auto"/>
            </w:tcBorders>
          </w:tcPr>
          <w:p w:rsidR="004C63B3" w:rsidRPr="000D303C" w:rsidRDefault="004C63B3" w:rsidP="00566E49">
            <w:pPr>
              <w:pStyle w:val="SingleTxtG"/>
              <w:spacing w:after="0" w:line="240" w:lineRule="auto"/>
              <w:ind w:left="57" w:right="91"/>
              <w:jc w:val="left"/>
              <w:rPr>
                <w:rFonts w:eastAsiaTheme="minorHAnsi"/>
                <w:b/>
                <w:spacing w:val="4"/>
                <w:w w:val="103"/>
                <w:kern w:val="14"/>
                <w:sz w:val="16"/>
                <w:szCs w:val="16"/>
                <w:lang w:val="fr-FR"/>
              </w:rPr>
            </w:pPr>
            <w:r w:rsidRPr="00D042C7">
              <w:rPr>
                <w:rFonts w:eastAsiaTheme="minorHAnsi"/>
                <w:spacing w:val="4"/>
                <w:w w:val="103"/>
                <w:kern w:val="14"/>
                <w:sz w:val="16"/>
                <w:szCs w:val="18"/>
                <w:lang w:val="fr-FR"/>
              </w:rPr>
              <w:t>Matières et objets explosi</w:t>
            </w:r>
            <w:r w:rsidRPr="000D303C">
              <w:rPr>
                <w:rFonts w:eastAsiaTheme="minorHAnsi"/>
                <w:spacing w:val="4"/>
                <w:w w:val="103"/>
                <w:kern w:val="14"/>
                <w:sz w:val="16"/>
                <w:szCs w:val="18"/>
                <w:lang w:val="fr-FR"/>
              </w:rPr>
              <w:t>bles</w:t>
            </w:r>
            <w:r w:rsidRPr="00D042C7">
              <w:rPr>
                <w:rFonts w:eastAsiaTheme="minorHAnsi"/>
                <w:spacing w:val="4"/>
                <w:w w:val="103"/>
                <w:kern w:val="14"/>
                <w:sz w:val="16"/>
                <w:szCs w:val="18"/>
                <w:lang w:val="fr-FR"/>
              </w:rPr>
              <w:t xml:space="preserve"> (chap. 2.1)</w:t>
            </w:r>
          </w:p>
        </w:tc>
        <w:tc>
          <w:tcPr>
            <w:tcW w:w="1529" w:type="dxa"/>
            <w:tcBorders>
              <w:top w:val="single" w:sz="4" w:space="0" w:color="auto"/>
              <w:bottom w:val="single" w:sz="4" w:space="0" w:color="auto"/>
            </w:tcBorders>
          </w:tcPr>
          <w:p w:rsidR="004C63B3" w:rsidRPr="000D303C" w:rsidRDefault="004C63B3" w:rsidP="00566E49">
            <w:pPr>
              <w:pStyle w:val="SingleTxtG"/>
              <w:spacing w:after="0" w:line="240" w:lineRule="auto"/>
              <w:ind w:left="0" w:right="34"/>
              <w:jc w:val="center"/>
              <w:rPr>
                <w:rFonts w:eastAsiaTheme="minorHAnsi"/>
                <w:b/>
                <w:spacing w:val="4"/>
                <w:w w:val="103"/>
                <w:kern w:val="14"/>
                <w:sz w:val="16"/>
                <w:szCs w:val="16"/>
                <w:lang w:val="fr-FR"/>
              </w:rPr>
            </w:pPr>
            <w:r w:rsidRPr="00D042C7">
              <w:rPr>
                <w:rFonts w:eastAsiaTheme="minorHAnsi"/>
                <w:spacing w:val="4"/>
                <w:w w:val="103"/>
                <w:kern w:val="14"/>
                <w:sz w:val="16"/>
                <w:szCs w:val="18"/>
                <w:lang w:val="fr-FR"/>
              </w:rPr>
              <w:t xml:space="preserve">Explosifs instables </w:t>
            </w:r>
            <w:r w:rsidRPr="000D303C">
              <w:rPr>
                <w:rFonts w:eastAsiaTheme="minorHAnsi"/>
                <w:spacing w:val="4"/>
                <w:w w:val="103"/>
                <w:kern w:val="14"/>
                <w:sz w:val="16"/>
                <w:szCs w:val="18"/>
                <w:lang w:val="fr-FR"/>
              </w:rPr>
              <w:t>et D</w:t>
            </w:r>
            <w:r w:rsidRPr="00D042C7">
              <w:rPr>
                <w:rFonts w:eastAsiaTheme="minorHAnsi"/>
                <w:spacing w:val="4"/>
                <w:w w:val="103"/>
                <w:kern w:val="14"/>
                <w:sz w:val="16"/>
                <w:szCs w:val="18"/>
                <w:lang w:val="fr-FR"/>
              </w:rPr>
              <w:t>ivisions 1.1, 1.2, 1.3, 1.4 et 1.5</w:t>
            </w:r>
          </w:p>
        </w:tc>
        <w:tc>
          <w:tcPr>
            <w:tcW w:w="2693" w:type="dxa"/>
            <w:tcBorders>
              <w:top w:val="single" w:sz="4" w:space="0" w:color="auto"/>
              <w:bottom w:val="single" w:sz="4" w:space="0" w:color="auto"/>
            </w:tcBorders>
          </w:tcPr>
          <w:p w:rsidR="004C63B3" w:rsidRPr="000D303C" w:rsidRDefault="004C63B3" w:rsidP="00566E49">
            <w:pPr>
              <w:pStyle w:val="SingleTxtG"/>
              <w:spacing w:after="0" w:line="240" w:lineRule="auto"/>
              <w:ind w:left="57" w:right="91"/>
              <w:jc w:val="left"/>
              <w:rPr>
                <w:rFonts w:eastAsiaTheme="minorHAnsi"/>
                <w:b/>
                <w:spacing w:val="4"/>
                <w:w w:val="103"/>
                <w:kern w:val="14"/>
                <w:sz w:val="16"/>
                <w:szCs w:val="16"/>
                <w:lang w:val="fr-FR"/>
              </w:rPr>
            </w:pPr>
            <w:r w:rsidRPr="00D042C7">
              <w:rPr>
                <w:rFonts w:eastAsiaTheme="minorHAnsi"/>
                <w:spacing w:val="4"/>
                <w:w w:val="103"/>
                <w:kern w:val="14"/>
                <w:sz w:val="16"/>
                <w:szCs w:val="18"/>
                <w:lang w:val="fr-FR"/>
              </w:rPr>
              <w:t>… Il revient au fabricant/fournisseur ou à l’autorité compétente de préciser la source appropriée d’information, conformément à la réglementation locale/régionale/nationale/internationale applicable.</w:t>
            </w:r>
          </w:p>
        </w:tc>
      </w:tr>
    </w:tbl>
    <w:p w:rsidR="004C63B3" w:rsidRPr="000D303C" w:rsidRDefault="004C63B3" w:rsidP="004C63B3">
      <w:pPr>
        <w:rPr>
          <w:lang w:val="fr-FR"/>
        </w:rPr>
      </w:pPr>
    </w:p>
    <w:p w:rsidR="004C63B3" w:rsidRPr="000D303C" w:rsidRDefault="004C63B3" w:rsidP="004C63B3">
      <w:pPr>
        <w:pStyle w:val="SingleTxtG"/>
        <w:rPr>
          <w:u w:val="single"/>
          <w:lang w:val="fr-FR"/>
        </w:rPr>
      </w:pPr>
      <w:r w:rsidRPr="000D303C">
        <w:rPr>
          <w:u w:val="single"/>
          <w:lang w:val="fr-FR"/>
        </w:rPr>
        <w:t>Amendement corollaire</w:t>
      </w:r>
      <w:r w:rsidRPr="000D303C">
        <w:rPr>
          <w:lang w:val="fr-FR"/>
        </w:rPr>
        <w:t> :</w:t>
      </w:r>
    </w:p>
    <w:p w:rsidR="004C63B3" w:rsidRPr="000D303C" w:rsidRDefault="004C63B3" w:rsidP="004C63B3">
      <w:pPr>
        <w:pStyle w:val="SingleTxtG"/>
        <w:rPr>
          <w:lang w:val="fr-FR"/>
        </w:rPr>
      </w:pPr>
      <w:r w:rsidRPr="000D303C">
        <w:rPr>
          <w:lang w:val="fr-FR"/>
        </w:rPr>
        <w:t>Au conseil P501, supprimer la rubrique relative aux matières et objets explosibles.</w:t>
      </w:r>
    </w:p>
    <w:p w:rsidR="009A54AA" w:rsidRDefault="002F69F0" w:rsidP="00C7395A">
      <w:pPr>
        <w:pStyle w:val="H23G"/>
        <w:rPr>
          <w:lang w:val="fr-FR"/>
        </w:rPr>
      </w:pPr>
      <w:r w:rsidRPr="000D303C">
        <w:rPr>
          <w:lang w:val="fr-FR"/>
        </w:rPr>
        <w:lastRenderedPageBreak/>
        <w:tab/>
      </w:r>
      <w:r w:rsidRPr="000D303C">
        <w:rPr>
          <w:lang w:val="fr-FR"/>
        </w:rPr>
        <w:tab/>
        <w:t>Section 3, tableaux des conseils de prudence au paragraphe A3.3.5.1</w:t>
      </w:r>
      <w:r w:rsidR="00A12E1D" w:rsidRPr="000D303C">
        <w:rPr>
          <w:lang w:val="fr-FR"/>
        </w:rPr>
        <w:t xml:space="preserve"> </w:t>
      </w:r>
    </w:p>
    <w:p w:rsidR="00255A1B" w:rsidRPr="000D303C" w:rsidRDefault="009A54AA" w:rsidP="00C7395A">
      <w:pPr>
        <w:pStyle w:val="Bullet1G"/>
        <w:keepNext/>
        <w:keepLines/>
        <w:tabs>
          <w:tab w:val="clear" w:pos="1701"/>
          <w:tab w:val="num" w:pos="1418"/>
        </w:tabs>
        <w:ind w:left="1418" w:hanging="284"/>
        <w:rPr>
          <w:lang w:val="fr-FR"/>
        </w:rPr>
      </w:pPr>
      <w:r>
        <w:rPr>
          <w:lang w:val="fr-FR"/>
        </w:rPr>
        <w:t xml:space="preserve">Pour les tableaux </w:t>
      </w:r>
      <w:r w:rsidR="00A12E1D" w:rsidRPr="000D303C">
        <w:rPr>
          <w:lang w:val="fr-FR"/>
        </w:rPr>
        <w:t>applicables aux classes et catégories suivantes :</w:t>
      </w:r>
    </w:p>
    <w:p w:rsidR="009A54AA" w:rsidRDefault="009A54AA" w:rsidP="00C7395A">
      <w:pPr>
        <w:pStyle w:val="Bullet2G"/>
        <w:numPr>
          <w:ilvl w:val="0"/>
          <w:numId w:val="0"/>
        </w:numPr>
        <w:spacing w:after="100"/>
        <w:ind w:left="1843" w:hanging="142"/>
        <w:rPr>
          <w:lang w:val="fr-FR"/>
        </w:rPr>
      </w:pPr>
      <w:r>
        <w:rPr>
          <w:lang w:val="fr-FR"/>
        </w:rPr>
        <w:t xml:space="preserve">- </w:t>
      </w:r>
      <w:r>
        <w:rPr>
          <w:lang w:val="fr-FR"/>
        </w:rPr>
        <w:tab/>
      </w:r>
      <w:r w:rsidR="00785828">
        <w:rPr>
          <w:lang w:val="fr-FR"/>
        </w:rPr>
        <w:t>« </w:t>
      </w:r>
      <w:r w:rsidR="00B019B6" w:rsidRPr="000D303C">
        <w:rPr>
          <w:lang w:val="fr-FR"/>
        </w:rPr>
        <w:t>Matières et objets explosibles</w:t>
      </w:r>
      <w:r w:rsidR="00785828">
        <w:rPr>
          <w:lang w:val="fr-FR"/>
        </w:rPr>
        <w:t> »</w:t>
      </w:r>
      <w:r w:rsidR="00B019B6" w:rsidRPr="000D303C">
        <w:rPr>
          <w:lang w:val="fr-FR"/>
        </w:rPr>
        <w:t>, catégories : Matières et objets explosives instables et divisions 1.1 à 1.5</w:t>
      </w:r>
    </w:p>
    <w:p w:rsidR="005E607D" w:rsidRPr="000D303C" w:rsidRDefault="009A54AA" w:rsidP="00C7395A">
      <w:pPr>
        <w:pStyle w:val="Bullet2G"/>
        <w:numPr>
          <w:ilvl w:val="0"/>
          <w:numId w:val="0"/>
        </w:numPr>
        <w:spacing w:after="100"/>
        <w:ind w:left="1843" w:hanging="142"/>
        <w:rPr>
          <w:lang w:val="fr-FR"/>
        </w:rPr>
      </w:pPr>
      <w:r>
        <w:rPr>
          <w:lang w:val="fr-FR"/>
        </w:rPr>
        <w:t>-</w:t>
      </w:r>
      <w:r>
        <w:rPr>
          <w:lang w:val="fr-FR"/>
        </w:rPr>
        <w:tab/>
      </w:r>
      <w:r w:rsidR="00785828">
        <w:rPr>
          <w:lang w:val="fr-FR"/>
        </w:rPr>
        <w:t>« </w:t>
      </w:r>
      <w:r w:rsidR="00255A1B" w:rsidRPr="000D303C">
        <w:rPr>
          <w:lang w:val="fr-FR"/>
        </w:rPr>
        <w:t>Gaz inflammables</w:t>
      </w:r>
      <w:r w:rsidR="00785828">
        <w:rPr>
          <w:lang w:val="fr-FR"/>
        </w:rPr>
        <w:t> »</w:t>
      </w:r>
      <w:r w:rsidR="00255A1B" w:rsidRPr="000D303C">
        <w:rPr>
          <w:lang w:val="fr-FR"/>
        </w:rPr>
        <w:t>, catégorie : gaz pyrophorique</w:t>
      </w:r>
    </w:p>
    <w:p w:rsidR="005E607D" w:rsidRPr="000D303C" w:rsidRDefault="009A54AA" w:rsidP="00C7395A">
      <w:pPr>
        <w:pStyle w:val="Bullet2G"/>
        <w:numPr>
          <w:ilvl w:val="0"/>
          <w:numId w:val="0"/>
        </w:numPr>
        <w:spacing w:after="100"/>
        <w:ind w:left="1843" w:hanging="142"/>
        <w:rPr>
          <w:lang w:val="fr-FR"/>
        </w:rPr>
      </w:pPr>
      <w:r>
        <w:rPr>
          <w:lang w:val="fr-FR"/>
        </w:rPr>
        <w:t>-</w:t>
      </w:r>
      <w:r>
        <w:rPr>
          <w:lang w:val="fr-FR"/>
        </w:rPr>
        <w:tab/>
      </w:r>
      <w:r w:rsidR="00785828">
        <w:rPr>
          <w:lang w:val="fr-FR"/>
        </w:rPr>
        <w:t>« </w:t>
      </w:r>
      <w:r w:rsidR="00255A1B" w:rsidRPr="000D303C">
        <w:rPr>
          <w:lang w:val="fr-FR"/>
        </w:rPr>
        <w:t>Liquides inflammables</w:t>
      </w:r>
      <w:r w:rsidR="00785828">
        <w:rPr>
          <w:lang w:val="fr-FR"/>
        </w:rPr>
        <w:t> »</w:t>
      </w:r>
      <w:r w:rsidR="00255A1B" w:rsidRPr="000D303C">
        <w:rPr>
          <w:lang w:val="fr-FR"/>
        </w:rPr>
        <w:t>, catégories 1 à 4</w:t>
      </w:r>
    </w:p>
    <w:p w:rsidR="005E607D" w:rsidRPr="000D303C" w:rsidRDefault="009A54AA" w:rsidP="00C7395A">
      <w:pPr>
        <w:pStyle w:val="Bullet2G"/>
        <w:numPr>
          <w:ilvl w:val="0"/>
          <w:numId w:val="0"/>
        </w:numPr>
        <w:spacing w:after="100"/>
        <w:ind w:left="1843" w:hanging="142"/>
        <w:rPr>
          <w:lang w:val="fr-FR"/>
        </w:rPr>
      </w:pPr>
      <w:r>
        <w:rPr>
          <w:lang w:val="fr-FR"/>
        </w:rPr>
        <w:t>-</w:t>
      </w:r>
      <w:r>
        <w:rPr>
          <w:lang w:val="fr-FR"/>
        </w:rPr>
        <w:tab/>
      </w:r>
      <w:r w:rsidR="00785828">
        <w:rPr>
          <w:lang w:val="fr-FR"/>
        </w:rPr>
        <w:t>« </w:t>
      </w:r>
      <w:r w:rsidR="00255A1B" w:rsidRPr="000D303C">
        <w:rPr>
          <w:lang w:val="fr-FR"/>
        </w:rPr>
        <w:t>Matières solides inflammables</w:t>
      </w:r>
      <w:r w:rsidR="00785828">
        <w:rPr>
          <w:lang w:val="fr-FR"/>
        </w:rPr>
        <w:t> »</w:t>
      </w:r>
      <w:r w:rsidR="00255A1B" w:rsidRPr="000D303C">
        <w:rPr>
          <w:lang w:val="fr-FR"/>
        </w:rPr>
        <w:t>, catégories 1 et 2</w:t>
      </w:r>
    </w:p>
    <w:p w:rsidR="005E607D" w:rsidRPr="000D303C" w:rsidRDefault="009A54AA" w:rsidP="00C7395A">
      <w:pPr>
        <w:pStyle w:val="Bullet2G"/>
        <w:numPr>
          <w:ilvl w:val="0"/>
          <w:numId w:val="0"/>
        </w:numPr>
        <w:spacing w:after="100"/>
        <w:ind w:left="1843" w:hanging="142"/>
        <w:rPr>
          <w:lang w:val="fr-FR"/>
        </w:rPr>
      </w:pPr>
      <w:r>
        <w:rPr>
          <w:lang w:val="fr-FR"/>
        </w:rPr>
        <w:t xml:space="preserve">- </w:t>
      </w:r>
      <w:r>
        <w:rPr>
          <w:lang w:val="fr-FR"/>
        </w:rPr>
        <w:tab/>
      </w:r>
      <w:r w:rsidR="00785828">
        <w:rPr>
          <w:lang w:val="fr-FR"/>
        </w:rPr>
        <w:t>« </w:t>
      </w:r>
      <w:r w:rsidR="00255A1B" w:rsidRPr="000D303C">
        <w:rPr>
          <w:lang w:val="fr-FR"/>
        </w:rPr>
        <w:t>Matières autoréactives</w:t>
      </w:r>
      <w:r w:rsidR="00785828">
        <w:rPr>
          <w:lang w:val="fr-FR"/>
        </w:rPr>
        <w:t> »</w:t>
      </w:r>
      <w:r w:rsidR="00255A1B" w:rsidRPr="000D303C">
        <w:rPr>
          <w:lang w:val="fr-FR"/>
        </w:rPr>
        <w:t>, types A à F</w:t>
      </w:r>
    </w:p>
    <w:p w:rsidR="005E607D" w:rsidRPr="000D303C" w:rsidRDefault="009A54AA" w:rsidP="00C7395A">
      <w:pPr>
        <w:pStyle w:val="Bullet2G"/>
        <w:numPr>
          <w:ilvl w:val="0"/>
          <w:numId w:val="0"/>
        </w:numPr>
        <w:spacing w:after="100"/>
        <w:ind w:left="1843" w:hanging="142"/>
        <w:rPr>
          <w:lang w:val="fr-FR"/>
        </w:rPr>
      </w:pPr>
      <w:r>
        <w:rPr>
          <w:lang w:val="fr-FR"/>
        </w:rPr>
        <w:t>-</w:t>
      </w:r>
      <w:r>
        <w:rPr>
          <w:lang w:val="fr-FR"/>
        </w:rPr>
        <w:tab/>
      </w:r>
      <w:r w:rsidR="00255A1B" w:rsidRPr="000D303C">
        <w:rPr>
          <w:lang w:val="fr-FR"/>
        </w:rPr>
        <w:t>« Liquides pyrophoriques »</w:t>
      </w:r>
      <w:r w:rsidR="0084783F" w:rsidRPr="000D303C">
        <w:rPr>
          <w:lang w:val="fr-FR"/>
        </w:rPr>
        <w:t xml:space="preserve"> et </w:t>
      </w:r>
      <w:r w:rsidR="00255A1B" w:rsidRPr="000D303C">
        <w:rPr>
          <w:lang w:val="fr-FR"/>
        </w:rPr>
        <w:t>« Matières solides pyrophoriques »</w:t>
      </w:r>
      <w:r w:rsidR="0084783F" w:rsidRPr="000D303C">
        <w:rPr>
          <w:lang w:val="fr-FR"/>
        </w:rPr>
        <w:t> :</w:t>
      </w:r>
      <w:r w:rsidR="00255A1B" w:rsidRPr="000D303C">
        <w:rPr>
          <w:lang w:val="fr-FR"/>
        </w:rPr>
        <w:t xml:space="preserve"> catégorie 1</w:t>
      </w:r>
    </w:p>
    <w:p w:rsidR="00255A1B" w:rsidRPr="000D303C" w:rsidRDefault="009A54AA" w:rsidP="00C7395A">
      <w:pPr>
        <w:pStyle w:val="Bullet2G"/>
        <w:numPr>
          <w:ilvl w:val="0"/>
          <w:numId w:val="0"/>
        </w:numPr>
        <w:spacing w:after="100"/>
        <w:ind w:left="1843" w:hanging="142"/>
        <w:rPr>
          <w:lang w:val="fr-FR"/>
        </w:rPr>
      </w:pPr>
      <w:r>
        <w:rPr>
          <w:lang w:val="fr-FR"/>
        </w:rPr>
        <w:t xml:space="preserve">- </w:t>
      </w:r>
      <w:r w:rsidR="00785828">
        <w:rPr>
          <w:lang w:val="fr-FR"/>
        </w:rPr>
        <w:tab/>
      </w:r>
      <w:r w:rsidR="00255A1B" w:rsidRPr="000D303C">
        <w:rPr>
          <w:lang w:val="fr-FR"/>
        </w:rPr>
        <w:t>« Matières auto-échauffantes », catégories 1 et 2</w:t>
      </w:r>
    </w:p>
    <w:p w:rsidR="0084783F" w:rsidRPr="000D303C" w:rsidRDefault="00785828" w:rsidP="00C7395A">
      <w:pPr>
        <w:pStyle w:val="Bullet2G"/>
        <w:numPr>
          <w:ilvl w:val="0"/>
          <w:numId w:val="0"/>
        </w:numPr>
        <w:spacing w:after="100"/>
        <w:ind w:left="1843" w:hanging="142"/>
        <w:rPr>
          <w:lang w:val="fr-FR"/>
        </w:rPr>
      </w:pPr>
      <w:r>
        <w:rPr>
          <w:lang w:val="fr-FR"/>
        </w:rPr>
        <w:t>-</w:t>
      </w:r>
      <w:r>
        <w:rPr>
          <w:lang w:val="fr-FR"/>
        </w:rPr>
        <w:tab/>
      </w:r>
      <w:r w:rsidR="0084783F" w:rsidRPr="000D303C">
        <w:rPr>
          <w:lang w:val="fr-FR"/>
        </w:rPr>
        <w:t>« Matières qui, au contact de l’eau, dégagent des gaz inflammables »</w:t>
      </w:r>
      <w:r w:rsidR="00A12E1D" w:rsidRPr="000D303C">
        <w:rPr>
          <w:lang w:val="fr-FR"/>
        </w:rPr>
        <w:t xml:space="preserve">, </w:t>
      </w:r>
      <w:r w:rsidR="0084783F" w:rsidRPr="000D303C">
        <w:rPr>
          <w:lang w:val="fr-FR"/>
        </w:rPr>
        <w:t>«  Liquides comburants »</w:t>
      </w:r>
      <w:r w:rsidR="00A12E1D" w:rsidRPr="000D303C">
        <w:rPr>
          <w:lang w:val="fr-FR"/>
        </w:rPr>
        <w:t xml:space="preserve"> et </w:t>
      </w:r>
      <w:r w:rsidR="0084783F" w:rsidRPr="000D303C">
        <w:rPr>
          <w:lang w:val="fr-FR"/>
        </w:rPr>
        <w:t>« Matières solides comburantes »</w:t>
      </w:r>
      <w:r w:rsidR="00A12E1D" w:rsidRPr="000D303C">
        <w:rPr>
          <w:lang w:val="fr-FR"/>
        </w:rPr>
        <w:t> :</w:t>
      </w:r>
      <w:r w:rsidR="0084783F" w:rsidRPr="000D303C">
        <w:rPr>
          <w:lang w:val="fr-FR"/>
        </w:rPr>
        <w:t xml:space="preserve"> catégories 1 à 3</w:t>
      </w:r>
    </w:p>
    <w:p w:rsidR="0084783F" w:rsidRPr="000D303C" w:rsidRDefault="00785828" w:rsidP="00C7395A">
      <w:pPr>
        <w:pStyle w:val="Bullet2G"/>
        <w:numPr>
          <w:ilvl w:val="0"/>
          <w:numId w:val="0"/>
        </w:numPr>
        <w:spacing w:after="100"/>
        <w:ind w:left="1843" w:hanging="142"/>
        <w:rPr>
          <w:lang w:val="fr-FR"/>
        </w:rPr>
      </w:pPr>
      <w:r>
        <w:rPr>
          <w:lang w:val="fr-FR"/>
        </w:rPr>
        <w:t>-</w:t>
      </w:r>
      <w:r>
        <w:rPr>
          <w:lang w:val="fr-FR"/>
        </w:rPr>
        <w:tab/>
      </w:r>
      <w:r w:rsidR="0084783F" w:rsidRPr="000D303C">
        <w:rPr>
          <w:lang w:val="fr-FR"/>
        </w:rPr>
        <w:t>« Peroxydes organiques », types A à F</w:t>
      </w:r>
    </w:p>
    <w:p w:rsidR="0084783F" w:rsidRPr="000D303C" w:rsidRDefault="00785828" w:rsidP="00C7395A">
      <w:pPr>
        <w:pStyle w:val="Bullet2G"/>
        <w:numPr>
          <w:ilvl w:val="0"/>
          <w:numId w:val="0"/>
        </w:numPr>
        <w:spacing w:after="100"/>
        <w:ind w:left="1843" w:hanging="142"/>
        <w:rPr>
          <w:lang w:val="fr-FR"/>
        </w:rPr>
      </w:pPr>
      <w:r>
        <w:rPr>
          <w:lang w:val="fr-FR"/>
        </w:rPr>
        <w:t>-</w:t>
      </w:r>
      <w:r>
        <w:rPr>
          <w:lang w:val="fr-FR"/>
        </w:rPr>
        <w:tab/>
      </w:r>
      <w:r w:rsidR="0084783F" w:rsidRPr="000D303C">
        <w:rPr>
          <w:lang w:val="fr-FR"/>
        </w:rPr>
        <w:t>« Matières explosibles désensibilisées », catégories 1 à 4</w:t>
      </w:r>
    </w:p>
    <w:p w:rsidR="0084783F" w:rsidRDefault="00785828" w:rsidP="004C63B3">
      <w:pPr>
        <w:pStyle w:val="Bullet2G"/>
        <w:numPr>
          <w:ilvl w:val="0"/>
          <w:numId w:val="0"/>
        </w:numPr>
        <w:ind w:left="1843" w:hanging="142"/>
        <w:rPr>
          <w:lang w:val="fr-FR"/>
        </w:rPr>
      </w:pPr>
      <w:r>
        <w:rPr>
          <w:lang w:val="fr-FR"/>
        </w:rPr>
        <w:t>-</w:t>
      </w:r>
      <w:r>
        <w:rPr>
          <w:lang w:val="fr-FR"/>
        </w:rPr>
        <w:tab/>
      </w:r>
      <w:r w:rsidR="0084783F" w:rsidRPr="000D303C">
        <w:rPr>
          <w:lang w:val="fr-FR"/>
        </w:rPr>
        <w:t xml:space="preserve">« Mutagénicité pour les cellules germinales », </w:t>
      </w:r>
      <w:r w:rsidR="00A12E1D" w:rsidRPr="000D303C">
        <w:rPr>
          <w:lang w:val="fr-FR"/>
        </w:rPr>
        <w:t>« Cancérogénicité » et « </w:t>
      </w:r>
      <w:r w:rsidR="000D303C">
        <w:rPr>
          <w:lang w:val="fr-FR"/>
        </w:rPr>
        <w:t>Toxicité pour la re</w:t>
      </w:r>
      <w:r w:rsidR="00A12E1D" w:rsidRPr="000D303C">
        <w:rPr>
          <w:lang w:val="fr-FR"/>
        </w:rPr>
        <w:t xml:space="preserve">production » : </w:t>
      </w:r>
      <w:r w:rsidR="0084783F" w:rsidRPr="000D303C">
        <w:rPr>
          <w:lang w:val="fr-FR"/>
        </w:rPr>
        <w:t>catégories 1 et 2</w:t>
      </w:r>
    </w:p>
    <w:p w:rsidR="00B019B6" w:rsidRPr="000D303C" w:rsidRDefault="005E607D" w:rsidP="00785828">
      <w:pPr>
        <w:pStyle w:val="SingleTxtG"/>
        <w:ind w:left="1418"/>
        <w:rPr>
          <w:lang w:val="fr-FR"/>
        </w:rPr>
      </w:pPr>
      <w:r w:rsidRPr="000D303C">
        <w:rPr>
          <w:lang w:val="fr-FR"/>
        </w:rPr>
        <w:t xml:space="preserve">Sous la colonne intitulée « Prévention », modifier </w:t>
      </w:r>
      <w:r w:rsidR="00B019B6" w:rsidRPr="000D303C">
        <w:rPr>
          <w:lang w:val="fr-FR"/>
        </w:rPr>
        <w:t>le conseil P280 pour lire comme suit :</w:t>
      </w:r>
    </w:p>
    <w:p w:rsidR="00B019B6" w:rsidRPr="000D303C" w:rsidRDefault="00A12E1D" w:rsidP="00785828">
      <w:pPr>
        <w:pStyle w:val="SingleTxtG"/>
        <w:ind w:left="1418"/>
        <w:rPr>
          <w:lang w:val="fr-FR"/>
        </w:rPr>
      </w:pPr>
      <w:r w:rsidRPr="000D303C">
        <w:rPr>
          <w:b/>
          <w:lang w:val="fr-FR"/>
        </w:rPr>
        <w:t>« </w:t>
      </w:r>
      <w:r w:rsidR="00B019B6" w:rsidRPr="000D303C">
        <w:rPr>
          <w:b/>
          <w:lang w:val="fr-FR"/>
        </w:rPr>
        <w:t>Porter des gants de protection/des vêtements de protection/un équipement de protection des yeux/du visage/auditive/…</w:t>
      </w:r>
      <w:r w:rsidR="00B019B6" w:rsidRPr="000D303C">
        <w:rPr>
          <w:lang w:val="fr-FR"/>
        </w:rPr>
        <w:t> </w:t>
      </w:r>
    </w:p>
    <w:p w:rsidR="005E607D" w:rsidRPr="000D303C" w:rsidRDefault="005E607D" w:rsidP="00785828">
      <w:pPr>
        <w:pStyle w:val="SingleTxtG"/>
        <w:ind w:left="1418"/>
        <w:rPr>
          <w:lang w:val="fr-FR"/>
        </w:rPr>
      </w:pPr>
      <w:r w:rsidRPr="000D303C">
        <w:rPr>
          <w:lang w:val="fr-FR"/>
        </w:rPr>
        <w:t>Il revient au fabricant/fournisseur ou à l’autorité compétente de préciser l’équipement de protection individuelle approprié.</w:t>
      </w:r>
      <w:r w:rsidR="00A12E1D" w:rsidRPr="000D303C">
        <w:rPr>
          <w:lang w:val="fr-FR"/>
        </w:rPr>
        <w:t> »</w:t>
      </w:r>
    </w:p>
    <w:p w:rsidR="00785828" w:rsidRDefault="00A12E1D" w:rsidP="00785828">
      <w:pPr>
        <w:pStyle w:val="SingleTxtG"/>
        <w:ind w:left="1418"/>
        <w:rPr>
          <w:i/>
          <w:lang w:val="fr-FR"/>
        </w:rPr>
      </w:pPr>
      <w:r w:rsidRPr="000D303C">
        <w:rPr>
          <w:i/>
          <w:lang w:val="fr-FR"/>
        </w:rPr>
        <w:t>(Référence : Amendement corol</w:t>
      </w:r>
      <w:r w:rsidR="00D042C7" w:rsidRPr="000D303C">
        <w:rPr>
          <w:i/>
          <w:lang w:val="fr-FR"/>
        </w:rPr>
        <w:t>l</w:t>
      </w:r>
      <w:r w:rsidRPr="000D303C">
        <w:rPr>
          <w:i/>
          <w:lang w:val="fr-FR"/>
        </w:rPr>
        <w:t>aire à l’amendement du texte du conseil de prudence P280)</w:t>
      </w:r>
    </w:p>
    <w:p w:rsidR="00A12E1D" w:rsidRDefault="00A12E1D" w:rsidP="00785828">
      <w:pPr>
        <w:pStyle w:val="Bullet1G"/>
        <w:tabs>
          <w:tab w:val="clear" w:pos="1701"/>
          <w:tab w:val="num" w:pos="1418"/>
        </w:tabs>
        <w:ind w:left="1418" w:hanging="284"/>
        <w:rPr>
          <w:lang w:val="fr-FR"/>
        </w:rPr>
      </w:pPr>
      <w:r w:rsidRPr="00785828">
        <w:rPr>
          <w:lang w:val="fr-FR"/>
        </w:rPr>
        <w:t xml:space="preserve"> </w:t>
      </w:r>
      <w:r w:rsidR="00785828">
        <w:rPr>
          <w:lang w:val="fr-FR"/>
        </w:rPr>
        <w:t>Dans les tableaux applicables aux matières et objets explosibles (matières et objets explosibles instables et divisions 1.1, 1.2, 1.3, 1.4 et 1.5), remplacer le conseil P501 par le suivant :</w:t>
      </w:r>
    </w:p>
    <w:p w:rsidR="007A7E62" w:rsidRPr="004C63B3" w:rsidRDefault="007A7E62" w:rsidP="004C63B3">
      <w:pPr>
        <w:pStyle w:val="Bullet1G"/>
        <w:numPr>
          <w:ilvl w:val="0"/>
          <w:numId w:val="0"/>
        </w:numPr>
        <w:ind w:left="1418"/>
        <w:rPr>
          <w:rFonts w:eastAsiaTheme="minorHAnsi"/>
          <w:b/>
        </w:rPr>
      </w:pPr>
      <w:r>
        <w:rPr>
          <w:lang w:val="fr-FR"/>
        </w:rPr>
        <w:t>« P503</w:t>
      </w:r>
      <w:r>
        <w:rPr>
          <w:lang w:val="fr-FR"/>
        </w:rPr>
        <w:br/>
      </w:r>
      <w:r w:rsidRPr="004C63B3">
        <w:rPr>
          <w:rFonts w:eastAsiaTheme="minorHAnsi"/>
          <w:b/>
        </w:rPr>
        <w:t>Se reporter au fabricant/ fournisseur/…pour des informations concernant l’élimination/la récupération/le recyclage</w:t>
      </w:r>
    </w:p>
    <w:p w:rsidR="007A7E62" w:rsidRDefault="007A7E62" w:rsidP="007A7E62">
      <w:pPr>
        <w:ind w:left="1418" w:right="1134"/>
        <w:jc w:val="both"/>
        <w:rPr>
          <w:rFonts w:eastAsiaTheme="minorHAnsi"/>
          <w:w w:val="103"/>
          <w:lang w:val="fr-FR"/>
        </w:rPr>
      </w:pPr>
      <w:r w:rsidRPr="004C63B3">
        <w:rPr>
          <w:rFonts w:eastAsiaTheme="minorHAnsi"/>
          <w:w w:val="103"/>
          <w:lang w:val="fr-FR"/>
        </w:rPr>
        <w:t>… Il revient au fabricant/fournisseur ou à l’autorité compétente de préciser la source appropriée d’information, conformément à la réglementation locale/régionale/nationale/internationale applicable. »</w:t>
      </w:r>
    </w:p>
    <w:p w:rsidR="00C7395A" w:rsidRPr="00C7395A" w:rsidRDefault="00C7395A" w:rsidP="00C7395A">
      <w:pPr>
        <w:pStyle w:val="SingleTxtG"/>
        <w:spacing w:before="120"/>
        <w:rPr>
          <w:i/>
        </w:rPr>
      </w:pPr>
      <w:r w:rsidRPr="00C7395A">
        <w:rPr>
          <w:i/>
        </w:rPr>
        <w:t>(Document de référence: ST/SG/AC.10/C.4/60, annexe I)</w:t>
      </w:r>
    </w:p>
    <w:p w:rsidR="003E306D" w:rsidRPr="000D303C" w:rsidRDefault="003E306D" w:rsidP="004C63B3">
      <w:pPr>
        <w:pStyle w:val="H1G"/>
        <w:rPr>
          <w:lang w:val="fr-FR"/>
        </w:rPr>
      </w:pPr>
      <w:r w:rsidRPr="000D303C">
        <w:rPr>
          <w:lang w:val="fr-FR"/>
        </w:rPr>
        <w:tab/>
      </w:r>
      <w:r w:rsidRPr="000D303C">
        <w:rPr>
          <w:lang w:val="fr-FR"/>
        </w:rPr>
        <w:tab/>
        <w:t>Annexe 7</w:t>
      </w:r>
    </w:p>
    <w:p w:rsidR="003E306D" w:rsidRPr="000D303C" w:rsidRDefault="003E306D" w:rsidP="003E306D">
      <w:pPr>
        <w:pStyle w:val="SingleTxtG"/>
        <w:rPr>
          <w:lang w:val="fr-FR"/>
        </w:rPr>
      </w:pPr>
      <w:r w:rsidRPr="000D303C">
        <w:rPr>
          <w:lang w:val="fr-FR"/>
        </w:rPr>
        <w:t>À l’exemple 7, remplacer le conseil « Porter des gants de protection/des vêtements de protection/un équipement de protection des yeux/du visage [comme indiqué…] » par « </w:t>
      </w:r>
      <w:r w:rsidRPr="000D303C">
        <w:rPr>
          <w:b/>
          <w:lang w:val="fr-FR"/>
        </w:rPr>
        <w:t>Porter des gants de protection/des vêtements de protection/un équipement de protection des yeux/du visage/auditive/… </w:t>
      </w:r>
      <w:r w:rsidRPr="000D303C">
        <w:rPr>
          <w:lang w:val="fr-FR"/>
        </w:rPr>
        <w:t>»</w:t>
      </w:r>
    </w:p>
    <w:p w:rsidR="00E0250F" w:rsidRDefault="007B748E" w:rsidP="000D303C">
      <w:pPr>
        <w:pStyle w:val="SingleTxtG"/>
        <w:rPr>
          <w:i/>
          <w:lang w:val="fr-FR"/>
        </w:rPr>
      </w:pPr>
      <w:r w:rsidRPr="000D303C">
        <w:rPr>
          <w:i/>
          <w:lang w:val="fr-FR"/>
        </w:rPr>
        <w:t>(Référence : Amendement corol</w:t>
      </w:r>
      <w:r w:rsidR="00D042C7" w:rsidRPr="000D303C">
        <w:rPr>
          <w:i/>
          <w:lang w:val="fr-FR"/>
        </w:rPr>
        <w:t>l</w:t>
      </w:r>
      <w:r w:rsidRPr="000D303C">
        <w:rPr>
          <w:i/>
          <w:lang w:val="fr-FR"/>
        </w:rPr>
        <w:t>aire à l’amendement du texte du conseil de prudence P280)</w:t>
      </w:r>
    </w:p>
    <w:p w:rsidR="004C63B3" w:rsidRPr="004C63B3" w:rsidRDefault="004C63B3" w:rsidP="004C63B3">
      <w:pPr>
        <w:pStyle w:val="SingleTxtG"/>
        <w:spacing w:before="240" w:after="0"/>
        <w:jc w:val="center"/>
        <w:rPr>
          <w:u w:val="single"/>
          <w:lang w:val="fr-FR"/>
        </w:rPr>
      </w:pPr>
      <w:r>
        <w:rPr>
          <w:i/>
          <w:u w:val="single"/>
          <w:lang w:val="fr-FR"/>
        </w:rPr>
        <w:tab/>
      </w:r>
      <w:r>
        <w:rPr>
          <w:i/>
          <w:u w:val="single"/>
          <w:lang w:val="fr-FR"/>
        </w:rPr>
        <w:tab/>
      </w:r>
      <w:r>
        <w:rPr>
          <w:i/>
          <w:u w:val="single"/>
          <w:lang w:val="fr-FR"/>
        </w:rPr>
        <w:tab/>
      </w:r>
    </w:p>
    <w:sectPr w:rsidR="004C63B3" w:rsidRPr="004C63B3" w:rsidSect="00244DAA">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AA" w:rsidRDefault="00244DAA"/>
  </w:endnote>
  <w:endnote w:type="continuationSeparator" w:id="0">
    <w:p w:rsidR="00244DAA" w:rsidRDefault="00244DAA"/>
  </w:endnote>
  <w:endnote w:type="continuationNotice" w:id="1">
    <w:p w:rsidR="00244DAA" w:rsidRDefault="0024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AA" w:rsidRPr="00244DAA" w:rsidRDefault="00244DAA" w:rsidP="00244DAA">
    <w:pPr>
      <w:pStyle w:val="Footer"/>
      <w:tabs>
        <w:tab w:val="right" w:pos="9638"/>
      </w:tabs>
      <w:rPr>
        <w:sz w:val="18"/>
      </w:rPr>
    </w:pPr>
    <w:r w:rsidRPr="00244DAA">
      <w:rPr>
        <w:b/>
        <w:sz w:val="18"/>
      </w:rPr>
      <w:fldChar w:fldCharType="begin"/>
    </w:r>
    <w:r w:rsidRPr="00244DAA">
      <w:rPr>
        <w:b/>
        <w:sz w:val="18"/>
      </w:rPr>
      <w:instrText xml:space="preserve"> PAGE  \* MERGEFORMAT </w:instrText>
    </w:r>
    <w:r w:rsidRPr="00244DAA">
      <w:rPr>
        <w:b/>
        <w:sz w:val="18"/>
      </w:rPr>
      <w:fldChar w:fldCharType="separate"/>
    </w:r>
    <w:r w:rsidR="00786F26">
      <w:rPr>
        <w:b/>
        <w:noProof/>
        <w:sz w:val="18"/>
      </w:rPr>
      <w:t>6</w:t>
    </w:r>
    <w:r w:rsidRPr="00244DA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AA" w:rsidRPr="00244DAA" w:rsidRDefault="00244DAA" w:rsidP="00244DAA">
    <w:pPr>
      <w:pStyle w:val="Footer"/>
      <w:tabs>
        <w:tab w:val="right" w:pos="9638"/>
      </w:tabs>
      <w:rPr>
        <w:b/>
        <w:sz w:val="18"/>
      </w:rPr>
    </w:pPr>
    <w:r>
      <w:tab/>
    </w:r>
    <w:r w:rsidRPr="00244DAA">
      <w:rPr>
        <w:b/>
        <w:sz w:val="18"/>
      </w:rPr>
      <w:fldChar w:fldCharType="begin"/>
    </w:r>
    <w:r w:rsidRPr="00244DAA">
      <w:rPr>
        <w:b/>
        <w:sz w:val="18"/>
      </w:rPr>
      <w:instrText xml:space="preserve"> PAGE  \* MERGEFORMAT </w:instrText>
    </w:r>
    <w:r w:rsidRPr="00244DAA">
      <w:rPr>
        <w:b/>
        <w:sz w:val="18"/>
      </w:rPr>
      <w:fldChar w:fldCharType="separate"/>
    </w:r>
    <w:r w:rsidR="00786F26">
      <w:rPr>
        <w:b/>
        <w:noProof/>
        <w:sz w:val="18"/>
      </w:rPr>
      <w:t>7</w:t>
    </w:r>
    <w:r w:rsidRPr="00244DA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AA" w:rsidRPr="00D27D5E" w:rsidRDefault="00244DAA" w:rsidP="00D27D5E">
      <w:pPr>
        <w:tabs>
          <w:tab w:val="right" w:pos="2155"/>
        </w:tabs>
        <w:spacing w:after="80"/>
        <w:ind w:left="680"/>
        <w:rPr>
          <w:u w:val="single"/>
        </w:rPr>
      </w:pPr>
      <w:r>
        <w:rPr>
          <w:u w:val="single"/>
        </w:rPr>
        <w:tab/>
      </w:r>
    </w:p>
  </w:footnote>
  <w:footnote w:type="continuationSeparator" w:id="0">
    <w:p w:rsidR="00244DAA" w:rsidRPr="00D17535" w:rsidRDefault="00244DAA" w:rsidP="00D17535">
      <w:pPr>
        <w:tabs>
          <w:tab w:val="right" w:pos="2155"/>
        </w:tabs>
        <w:spacing w:after="80"/>
        <w:ind w:left="680"/>
        <w:rPr>
          <w:u w:val="single"/>
        </w:rPr>
      </w:pPr>
      <w:r w:rsidRPr="00D17535">
        <w:rPr>
          <w:u w:val="single"/>
        </w:rPr>
        <w:tab/>
      </w:r>
    </w:p>
  </w:footnote>
  <w:footnote w:type="continuationNotice" w:id="1">
    <w:p w:rsidR="00244DAA" w:rsidRDefault="00244DAA"/>
  </w:footnote>
  <w:footnote w:id="2">
    <w:p w:rsidR="00294AA4" w:rsidRDefault="00294AA4">
      <w:pPr>
        <w:pStyle w:val="FootnoteText"/>
      </w:pPr>
      <w:r>
        <w:tab/>
      </w:r>
      <w:r>
        <w:rPr>
          <w:rStyle w:val="FootnoteReference"/>
        </w:rPr>
        <w:footnoteRef/>
      </w:r>
      <w:r>
        <w:t xml:space="preserve"> </w:t>
      </w:r>
      <w:r>
        <w:tab/>
      </w:r>
      <w:r w:rsidRPr="002B4B38">
        <w:rPr>
          <w:lang w:val="fr-FR"/>
        </w:rPr>
        <w:t xml:space="preserve">Conformément au programme de travail du Sous-Comité pour la période 2015-2016, adopté par le Comité à sa septième session (voir ST/SG/AC.10/C.3/92, </w:t>
      </w:r>
      <w:r>
        <w:rPr>
          <w:lang w:val="fr-FR"/>
        </w:rPr>
        <w:t>par. </w:t>
      </w:r>
      <w:r w:rsidRPr="002B4B38">
        <w:rPr>
          <w:lang w:val="fr-FR"/>
        </w:rPr>
        <w:t>95, ST/SG/AC.10/C.4/60, annexe III, et</w:t>
      </w:r>
      <w:r>
        <w:rPr>
          <w:lang w:val="fr-FR"/>
        </w:rPr>
        <w:t> </w:t>
      </w:r>
      <w:r w:rsidRPr="002B4B38">
        <w:rPr>
          <w:lang w:val="fr-FR"/>
        </w:rPr>
        <w:t xml:space="preserve">ST/SG/AC.10/42, </w:t>
      </w:r>
      <w:r>
        <w:rPr>
          <w:lang w:val="fr-FR"/>
        </w:rPr>
        <w:t>par. </w:t>
      </w:r>
      <w:r w:rsidRPr="002B4B38">
        <w:rPr>
          <w:lang w:val="fr-FR"/>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AA" w:rsidRPr="00244DAA" w:rsidRDefault="00244DAA">
    <w:pPr>
      <w:pStyle w:val="Header"/>
    </w:pPr>
    <w:r>
      <w:t>ST/SG/AC.10/C.4/2016/11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AA" w:rsidRPr="00244DAA" w:rsidRDefault="00244DAA" w:rsidP="00244DAA">
    <w:pPr>
      <w:pStyle w:val="Header"/>
      <w:jc w:val="right"/>
    </w:pPr>
    <w:r>
      <w:t>ST/SG/AC.10/C.4/2016/11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75647C4"/>
    <w:multiLevelType w:val="hybridMultilevel"/>
    <w:tmpl w:val="D6400B6E"/>
    <w:lvl w:ilvl="0" w:tplc="A364BBEC">
      <w:start w:val="1"/>
      <w:numFmt w:val="bullet"/>
      <w:lvlText w:val=""/>
      <w:lvlJc w:val="left"/>
      <w:pPr>
        <w:tabs>
          <w:tab w:val="num" w:pos="2268"/>
        </w:tabs>
        <w:ind w:left="2268" w:hanging="170"/>
      </w:pPr>
      <w:rPr>
        <w:rFonts w:ascii="Symbol" w:hAnsi="Symbol"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 w:numId="6">
    <w:abstractNumId w:val="2"/>
  </w:num>
  <w:num w:numId="7">
    <w:abstractNumId w:val="2"/>
  </w:num>
  <w:num w:numId="8">
    <w:abstractNumId w:val="3"/>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AA"/>
    <w:rsid w:val="0000313F"/>
    <w:rsid w:val="00016AC5"/>
    <w:rsid w:val="00073282"/>
    <w:rsid w:val="000B3711"/>
    <w:rsid w:val="000D303C"/>
    <w:rsid w:val="000F41F2"/>
    <w:rsid w:val="00123A8A"/>
    <w:rsid w:val="00154CB9"/>
    <w:rsid w:val="00160540"/>
    <w:rsid w:val="00167371"/>
    <w:rsid w:val="00192EEB"/>
    <w:rsid w:val="001A20FB"/>
    <w:rsid w:val="001A3958"/>
    <w:rsid w:val="001D44B7"/>
    <w:rsid w:val="001D7F8A"/>
    <w:rsid w:val="001E3FEB"/>
    <w:rsid w:val="001E4A02"/>
    <w:rsid w:val="002156CB"/>
    <w:rsid w:val="00225A8C"/>
    <w:rsid w:val="00244DAA"/>
    <w:rsid w:val="00255A1B"/>
    <w:rsid w:val="002659F1"/>
    <w:rsid w:val="00287E79"/>
    <w:rsid w:val="002928F9"/>
    <w:rsid w:val="00294AA4"/>
    <w:rsid w:val="002A5D07"/>
    <w:rsid w:val="002B0951"/>
    <w:rsid w:val="002F2562"/>
    <w:rsid w:val="002F69F0"/>
    <w:rsid w:val="003016B7"/>
    <w:rsid w:val="0034591A"/>
    <w:rsid w:val="003515AA"/>
    <w:rsid w:val="003643BE"/>
    <w:rsid w:val="00374106"/>
    <w:rsid w:val="0038293E"/>
    <w:rsid w:val="00397670"/>
    <w:rsid w:val="003976D5"/>
    <w:rsid w:val="003C2717"/>
    <w:rsid w:val="003C57CB"/>
    <w:rsid w:val="003D3BED"/>
    <w:rsid w:val="003D6C68"/>
    <w:rsid w:val="003E306D"/>
    <w:rsid w:val="003F5B56"/>
    <w:rsid w:val="004159D0"/>
    <w:rsid w:val="00420B63"/>
    <w:rsid w:val="00421F7A"/>
    <w:rsid w:val="00441802"/>
    <w:rsid w:val="0046126F"/>
    <w:rsid w:val="00482AF2"/>
    <w:rsid w:val="004A0F69"/>
    <w:rsid w:val="004C63B3"/>
    <w:rsid w:val="004D26F2"/>
    <w:rsid w:val="004E1676"/>
    <w:rsid w:val="004F3C1A"/>
    <w:rsid w:val="00524945"/>
    <w:rsid w:val="00532494"/>
    <w:rsid w:val="00543D5E"/>
    <w:rsid w:val="005609CD"/>
    <w:rsid w:val="005653EE"/>
    <w:rsid w:val="00571F41"/>
    <w:rsid w:val="0058132F"/>
    <w:rsid w:val="0058308C"/>
    <w:rsid w:val="005D30FD"/>
    <w:rsid w:val="005E5D1F"/>
    <w:rsid w:val="005E607D"/>
    <w:rsid w:val="00611D43"/>
    <w:rsid w:val="00612D48"/>
    <w:rsid w:val="00616B45"/>
    <w:rsid w:val="00630D9B"/>
    <w:rsid w:val="00631953"/>
    <w:rsid w:val="006439EC"/>
    <w:rsid w:val="006606B5"/>
    <w:rsid w:val="006679FB"/>
    <w:rsid w:val="006727AF"/>
    <w:rsid w:val="006924C3"/>
    <w:rsid w:val="006B4590"/>
    <w:rsid w:val="006C340C"/>
    <w:rsid w:val="006E172A"/>
    <w:rsid w:val="006E31F6"/>
    <w:rsid w:val="0070347C"/>
    <w:rsid w:val="00703DCC"/>
    <w:rsid w:val="007176C1"/>
    <w:rsid w:val="00785828"/>
    <w:rsid w:val="00786F26"/>
    <w:rsid w:val="007A7E62"/>
    <w:rsid w:val="007B748E"/>
    <w:rsid w:val="007C2037"/>
    <w:rsid w:val="007F55CB"/>
    <w:rsid w:val="00814909"/>
    <w:rsid w:val="00844750"/>
    <w:rsid w:val="0084783F"/>
    <w:rsid w:val="0085162D"/>
    <w:rsid w:val="00851BA3"/>
    <w:rsid w:val="0086254F"/>
    <w:rsid w:val="00866D64"/>
    <w:rsid w:val="0087514A"/>
    <w:rsid w:val="008A2E9A"/>
    <w:rsid w:val="008B44C4"/>
    <w:rsid w:val="008E7FAE"/>
    <w:rsid w:val="00900401"/>
    <w:rsid w:val="00911BF7"/>
    <w:rsid w:val="00920FBF"/>
    <w:rsid w:val="00931BEB"/>
    <w:rsid w:val="0094723C"/>
    <w:rsid w:val="0095568D"/>
    <w:rsid w:val="0096430D"/>
    <w:rsid w:val="00977EC8"/>
    <w:rsid w:val="009A17E7"/>
    <w:rsid w:val="009A54AA"/>
    <w:rsid w:val="009C74D5"/>
    <w:rsid w:val="009D3A8C"/>
    <w:rsid w:val="009E7956"/>
    <w:rsid w:val="009E79B0"/>
    <w:rsid w:val="00A0339A"/>
    <w:rsid w:val="00A12E1D"/>
    <w:rsid w:val="00A1534D"/>
    <w:rsid w:val="00A2492E"/>
    <w:rsid w:val="00A27836"/>
    <w:rsid w:val="00A40F0E"/>
    <w:rsid w:val="00A41268"/>
    <w:rsid w:val="00A87A96"/>
    <w:rsid w:val="00AA4B53"/>
    <w:rsid w:val="00AB74C6"/>
    <w:rsid w:val="00AC67A1"/>
    <w:rsid w:val="00AC6D49"/>
    <w:rsid w:val="00AC7977"/>
    <w:rsid w:val="00AE352C"/>
    <w:rsid w:val="00B019B6"/>
    <w:rsid w:val="00B05707"/>
    <w:rsid w:val="00B10104"/>
    <w:rsid w:val="00B15353"/>
    <w:rsid w:val="00B32E2D"/>
    <w:rsid w:val="00B6167A"/>
    <w:rsid w:val="00B61990"/>
    <w:rsid w:val="00BF0556"/>
    <w:rsid w:val="00BF1492"/>
    <w:rsid w:val="00C056B2"/>
    <w:rsid w:val="00C261F8"/>
    <w:rsid w:val="00C33100"/>
    <w:rsid w:val="00C664C8"/>
    <w:rsid w:val="00C7395A"/>
    <w:rsid w:val="00C97344"/>
    <w:rsid w:val="00CA0680"/>
    <w:rsid w:val="00CD1A71"/>
    <w:rsid w:val="00CD1FBB"/>
    <w:rsid w:val="00D016B5"/>
    <w:rsid w:val="00D034F1"/>
    <w:rsid w:val="00D042C7"/>
    <w:rsid w:val="00D17535"/>
    <w:rsid w:val="00D27D5E"/>
    <w:rsid w:val="00D61D90"/>
    <w:rsid w:val="00D64782"/>
    <w:rsid w:val="00DA0C59"/>
    <w:rsid w:val="00DC3510"/>
    <w:rsid w:val="00DC5849"/>
    <w:rsid w:val="00DE6D90"/>
    <w:rsid w:val="00DF002F"/>
    <w:rsid w:val="00E0244D"/>
    <w:rsid w:val="00E0250F"/>
    <w:rsid w:val="00E06E99"/>
    <w:rsid w:val="00E22BF6"/>
    <w:rsid w:val="00E31D19"/>
    <w:rsid w:val="00E7775A"/>
    <w:rsid w:val="00E81E94"/>
    <w:rsid w:val="00E82607"/>
    <w:rsid w:val="00E960A9"/>
    <w:rsid w:val="00EA755E"/>
    <w:rsid w:val="00EC5AFA"/>
    <w:rsid w:val="00F34A9F"/>
    <w:rsid w:val="00FA5A79"/>
    <w:rsid w:val="00FB0BFE"/>
    <w:rsid w:val="00FB4C51"/>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244D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4DAA"/>
    <w:rPr>
      <w:rFonts w:ascii="Tahoma" w:hAnsi="Tahoma" w:cs="Tahoma"/>
      <w:sz w:val="16"/>
      <w:szCs w:val="16"/>
      <w:lang w:val="fr-CH" w:eastAsia="en-US"/>
    </w:rPr>
  </w:style>
  <w:style w:type="character" w:customStyle="1" w:styleId="SingleTxtGChar">
    <w:name w:val="_ Single Txt_G Char"/>
    <w:link w:val="SingleTxtG"/>
    <w:qFormat/>
    <w:rsid w:val="006E31F6"/>
    <w:rPr>
      <w:lang w:val="fr-CH" w:eastAsia="en-US"/>
    </w:rPr>
  </w:style>
  <w:style w:type="character" w:customStyle="1" w:styleId="Heading1Char">
    <w:name w:val="Heading 1 Char"/>
    <w:aliases w:val="Table_G Char"/>
    <w:basedOn w:val="DefaultParagraphFont"/>
    <w:link w:val="Heading1"/>
    <w:rsid w:val="006E31F6"/>
    <w:rPr>
      <w:lang w:val="fr-CH" w:eastAsia="en-US"/>
    </w:rPr>
  </w:style>
  <w:style w:type="paragraph" w:styleId="HTMLAddress">
    <w:name w:val="HTML Address"/>
    <w:basedOn w:val="Normal"/>
    <w:link w:val="HTMLAddressChar"/>
    <w:rsid w:val="006E31F6"/>
    <w:rPr>
      <w:i/>
      <w:iCs/>
    </w:rPr>
  </w:style>
  <w:style w:type="character" w:customStyle="1" w:styleId="HTMLAddressChar">
    <w:name w:val="HTML Address Char"/>
    <w:basedOn w:val="DefaultParagraphFont"/>
    <w:link w:val="HTMLAddress"/>
    <w:rsid w:val="006E31F6"/>
    <w:rPr>
      <w:i/>
      <w:iCs/>
      <w:lang w:val="fr-CH" w:eastAsia="en-US"/>
    </w:rPr>
  </w:style>
  <w:style w:type="paragraph" w:customStyle="1" w:styleId="Style1">
    <w:name w:val="Style1"/>
    <w:basedOn w:val="Normal"/>
    <w:rsid w:val="006E31F6"/>
    <w:pPr>
      <w:suppressAutoHyphens w:val="0"/>
      <w:kinsoku w:val="0"/>
      <w:overflowPunct w:val="0"/>
      <w:autoSpaceDE w:val="0"/>
      <w:autoSpaceDN w:val="0"/>
      <w:adjustRightInd w:val="0"/>
      <w:snapToGrid w:val="0"/>
      <w:spacing w:line="240" w:lineRule="auto"/>
    </w:pPr>
    <w:rPr>
      <w:rFonts w:eastAsiaTheme="minorHAnsi"/>
      <w:sz w:val="22"/>
      <w:szCs w:val="24"/>
    </w:rPr>
  </w:style>
  <w:style w:type="character" w:styleId="CommentReference">
    <w:name w:val="annotation reference"/>
    <w:rsid w:val="00A87A96"/>
    <w:rPr>
      <w:sz w:val="6"/>
    </w:rPr>
  </w:style>
  <w:style w:type="paragraph" w:styleId="CommentText">
    <w:name w:val="annotation text"/>
    <w:basedOn w:val="Normal"/>
    <w:link w:val="CommentTextChar"/>
    <w:rsid w:val="00A87A96"/>
  </w:style>
  <w:style w:type="character" w:customStyle="1" w:styleId="CommentTextChar">
    <w:name w:val="Comment Text Char"/>
    <w:basedOn w:val="DefaultParagraphFont"/>
    <w:link w:val="CommentText"/>
    <w:rsid w:val="00A87A96"/>
    <w:rPr>
      <w:lang w:val="fr-CH" w:eastAsia="en-US"/>
    </w:rPr>
  </w:style>
  <w:style w:type="paragraph" w:customStyle="1" w:styleId="ParNoG">
    <w:name w:val="_ParNo_G"/>
    <w:basedOn w:val="Normal"/>
    <w:qFormat/>
    <w:rsid w:val="00E0250F"/>
    <w:pPr>
      <w:numPr>
        <w:numId w:val="3"/>
      </w:numPr>
      <w:tabs>
        <w:tab w:val="clear" w:pos="1701"/>
      </w:tabs>
      <w:kinsoku w:val="0"/>
      <w:overflowPunct w:val="0"/>
      <w:autoSpaceDE w:val="0"/>
      <w:autoSpaceDN w:val="0"/>
      <w:adjustRightInd w:val="0"/>
      <w:snapToGrid w:val="0"/>
      <w:spacing w:after="120"/>
      <w:ind w:right="1134"/>
      <w:jc w:val="both"/>
    </w:pPr>
  </w:style>
  <w:style w:type="table" w:customStyle="1" w:styleId="TableGrid10">
    <w:name w:val="Table Grid1"/>
    <w:basedOn w:val="TableNormal"/>
    <w:next w:val="TableGrid"/>
    <w:uiPriority w:val="59"/>
    <w:rsid w:val="00D042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244D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4DAA"/>
    <w:rPr>
      <w:rFonts w:ascii="Tahoma" w:hAnsi="Tahoma" w:cs="Tahoma"/>
      <w:sz w:val="16"/>
      <w:szCs w:val="16"/>
      <w:lang w:val="fr-CH" w:eastAsia="en-US"/>
    </w:rPr>
  </w:style>
  <w:style w:type="character" w:customStyle="1" w:styleId="SingleTxtGChar">
    <w:name w:val="_ Single Txt_G Char"/>
    <w:link w:val="SingleTxtG"/>
    <w:qFormat/>
    <w:rsid w:val="006E31F6"/>
    <w:rPr>
      <w:lang w:val="fr-CH" w:eastAsia="en-US"/>
    </w:rPr>
  </w:style>
  <w:style w:type="character" w:customStyle="1" w:styleId="Heading1Char">
    <w:name w:val="Heading 1 Char"/>
    <w:aliases w:val="Table_G Char"/>
    <w:basedOn w:val="DefaultParagraphFont"/>
    <w:link w:val="Heading1"/>
    <w:rsid w:val="006E31F6"/>
    <w:rPr>
      <w:lang w:val="fr-CH" w:eastAsia="en-US"/>
    </w:rPr>
  </w:style>
  <w:style w:type="paragraph" w:styleId="HTMLAddress">
    <w:name w:val="HTML Address"/>
    <w:basedOn w:val="Normal"/>
    <w:link w:val="HTMLAddressChar"/>
    <w:rsid w:val="006E31F6"/>
    <w:rPr>
      <w:i/>
      <w:iCs/>
    </w:rPr>
  </w:style>
  <w:style w:type="character" w:customStyle="1" w:styleId="HTMLAddressChar">
    <w:name w:val="HTML Address Char"/>
    <w:basedOn w:val="DefaultParagraphFont"/>
    <w:link w:val="HTMLAddress"/>
    <w:rsid w:val="006E31F6"/>
    <w:rPr>
      <w:i/>
      <w:iCs/>
      <w:lang w:val="fr-CH" w:eastAsia="en-US"/>
    </w:rPr>
  </w:style>
  <w:style w:type="paragraph" w:customStyle="1" w:styleId="Style1">
    <w:name w:val="Style1"/>
    <w:basedOn w:val="Normal"/>
    <w:rsid w:val="006E31F6"/>
    <w:pPr>
      <w:suppressAutoHyphens w:val="0"/>
      <w:kinsoku w:val="0"/>
      <w:overflowPunct w:val="0"/>
      <w:autoSpaceDE w:val="0"/>
      <w:autoSpaceDN w:val="0"/>
      <w:adjustRightInd w:val="0"/>
      <w:snapToGrid w:val="0"/>
      <w:spacing w:line="240" w:lineRule="auto"/>
    </w:pPr>
    <w:rPr>
      <w:rFonts w:eastAsiaTheme="minorHAnsi"/>
      <w:sz w:val="22"/>
      <w:szCs w:val="24"/>
    </w:rPr>
  </w:style>
  <w:style w:type="character" w:styleId="CommentReference">
    <w:name w:val="annotation reference"/>
    <w:rsid w:val="00A87A96"/>
    <w:rPr>
      <w:sz w:val="6"/>
    </w:rPr>
  </w:style>
  <w:style w:type="paragraph" w:styleId="CommentText">
    <w:name w:val="annotation text"/>
    <w:basedOn w:val="Normal"/>
    <w:link w:val="CommentTextChar"/>
    <w:rsid w:val="00A87A96"/>
  </w:style>
  <w:style w:type="character" w:customStyle="1" w:styleId="CommentTextChar">
    <w:name w:val="Comment Text Char"/>
    <w:basedOn w:val="DefaultParagraphFont"/>
    <w:link w:val="CommentText"/>
    <w:rsid w:val="00A87A96"/>
    <w:rPr>
      <w:lang w:val="fr-CH" w:eastAsia="en-US"/>
    </w:rPr>
  </w:style>
  <w:style w:type="paragraph" w:customStyle="1" w:styleId="ParNoG">
    <w:name w:val="_ParNo_G"/>
    <w:basedOn w:val="Normal"/>
    <w:qFormat/>
    <w:rsid w:val="00E0250F"/>
    <w:pPr>
      <w:numPr>
        <w:numId w:val="3"/>
      </w:numPr>
      <w:tabs>
        <w:tab w:val="clear" w:pos="1701"/>
      </w:tabs>
      <w:kinsoku w:val="0"/>
      <w:overflowPunct w:val="0"/>
      <w:autoSpaceDE w:val="0"/>
      <w:autoSpaceDN w:val="0"/>
      <w:adjustRightInd w:val="0"/>
      <w:snapToGrid w:val="0"/>
      <w:spacing w:after="120"/>
      <w:ind w:right="1134"/>
      <w:jc w:val="both"/>
    </w:pPr>
  </w:style>
  <w:style w:type="table" w:customStyle="1" w:styleId="TableGrid10">
    <w:name w:val="Table Grid1"/>
    <w:basedOn w:val="TableNormal"/>
    <w:next w:val="TableGrid"/>
    <w:uiPriority w:val="59"/>
    <w:rsid w:val="00D042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3026-2BE8-48B8-A3A6-A3DB4C1A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AC10_C4_F.dotm</Template>
  <TotalTime>289</TotalTime>
  <Pages>7</Pages>
  <Words>2207</Words>
  <Characters>12340</Characters>
  <Application>Microsoft Office Word</Application>
  <DocSecurity>0</DocSecurity>
  <Lines>324</Lines>
  <Paragraphs>227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Rosa Garcia-Couto</dc:creator>
  <cp:lastModifiedBy>Laurence Berthet</cp:lastModifiedBy>
  <cp:revision>16</cp:revision>
  <cp:lastPrinted>2016-09-19T09:54:00Z</cp:lastPrinted>
  <dcterms:created xsi:type="dcterms:W3CDTF">2016-07-14T13:29:00Z</dcterms:created>
  <dcterms:modified xsi:type="dcterms:W3CDTF">2016-09-19T09:55:00Z</dcterms:modified>
</cp:coreProperties>
</file>