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776392">
            <w:bookmarkStart w:id="0" w:name="_GoBack"/>
            <w:bookmarkEnd w:id="0"/>
          </w:p>
        </w:tc>
        <w:tc>
          <w:tcPr>
            <w:tcW w:w="2268" w:type="dxa"/>
            <w:tcBorders>
              <w:bottom w:val="single" w:sz="4" w:space="0" w:color="auto"/>
            </w:tcBorders>
            <w:vAlign w:val="bottom"/>
          </w:tcPr>
          <w:p w:rsidR="00132EA9" w:rsidRPr="00DB58B5" w:rsidRDefault="00132EA9" w:rsidP="009C312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776392" w:rsidP="00776392">
            <w:pPr>
              <w:jc w:val="right"/>
            </w:pPr>
            <w:r w:rsidRPr="00776392">
              <w:rPr>
                <w:sz w:val="40"/>
              </w:rPr>
              <w:t>ST</w:t>
            </w:r>
            <w:r>
              <w:t>/SG/AC.10/C.4/2016/20</w:t>
            </w:r>
          </w:p>
        </w:tc>
      </w:tr>
      <w:tr w:rsidR="00132EA9" w:rsidRPr="00DB58B5" w:rsidTr="009C3129">
        <w:trPr>
          <w:trHeight w:hRule="exact" w:val="2835"/>
        </w:trPr>
        <w:tc>
          <w:tcPr>
            <w:tcW w:w="1276" w:type="dxa"/>
            <w:tcBorders>
              <w:top w:val="single" w:sz="4" w:space="0" w:color="auto"/>
              <w:bottom w:val="single" w:sz="12" w:space="0" w:color="auto"/>
            </w:tcBorders>
          </w:tcPr>
          <w:p w:rsidR="00132EA9" w:rsidRPr="00DB58B5" w:rsidRDefault="00132EA9" w:rsidP="009C3129">
            <w:pPr>
              <w:spacing w:before="120"/>
              <w:jc w:val="center"/>
            </w:pPr>
            <w:r>
              <w:rPr>
                <w:noProof/>
                <w:lang w:val="en-GB" w:eastAsia="en-GB"/>
              </w:rPr>
              <w:drawing>
                <wp:inline distT="0" distB="0" distL="0" distR="0" wp14:anchorId="2E76D5A0" wp14:editId="1FEE2CF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9C3129">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776392" w:rsidP="009C3129">
            <w:pPr>
              <w:spacing w:before="240"/>
            </w:pPr>
            <w:r>
              <w:t>Distr. générale</w:t>
            </w:r>
          </w:p>
          <w:p w:rsidR="00776392" w:rsidRDefault="00776392" w:rsidP="00776392">
            <w:pPr>
              <w:spacing w:line="240" w:lineRule="exact"/>
            </w:pPr>
            <w:r>
              <w:t>26 septembre 2016</w:t>
            </w:r>
          </w:p>
          <w:p w:rsidR="00776392" w:rsidRDefault="00776392" w:rsidP="00776392">
            <w:pPr>
              <w:spacing w:line="240" w:lineRule="exact"/>
            </w:pPr>
            <w:r>
              <w:t>Français</w:t>
            </w:r>
          </w:p>
          <w:p w:rsidR="00776392" w:rsidRPr="00DB58B5" w:rsidRDefault="00776392" w:rsidP="00776392">
            <w:pPr>
              <w:spacing w:line="240" w:lineRule="exact"/>
            </w:pPr>
            <w:r>
              <w:t>Original : anglais</w:t>
            </w:r>
          </w:p>
        </w:tc>
      </w:tr>
    </w:tbl>
    <w:p w:rsidR="00776392" w:rsidRPr="00CA0680" w:rsidRDefault="00776392"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t xml:space="preserve"> </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t xml:space="preserve"> </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776392" w:rsidRPr="00CA0680" w:rsidRDefault="00776392" w:rsidP="000305D3">
      <w:pPr>
        <w:spacing w:before="120"/>
        <w:rPr>
          <w:b/>
        </w:rPr>
      </w:pPr>
      <w:r w:rsidRPr="00CA0680">
        <w:rPr>
          <w:b/>
        </w:rPr>
        <w:t>Sous</w:t>
      </w:r>
      <w:r>
        <w:rPr>
          <w:b/>
        </w:rPr>
        <w:t>-</w:t>
      </w:r>
      <w:r w:rsidRPr="00CA0680">
        <w:rPr>
          <w:b/>
        </w:rPr>
        <w:t xml:space="preserve">Comité d’experts </w:t>
      </w:r>
      <w:r>
        <w:rPr>
          <w:b/>
        </w:rPr>
        <w:t xml:space="preserve">du Système général harmonisé </w:t>
      </w:r>
      <w:r>
        <w:rPr>
          <w:b/>
        </w:rPr>
        <w:br/>
        <w:t>de classification et d’étiquetage des produits chimiques</w:t>
      </w:r>
    </w:p>
    <w:p w:rsidR="00776392" w:rsidRDefault="00776392" w:rsidP="000305D3">
      <w:pPr>
        <w:spacing w:before="120"/>
        <w:rPr>
          <w:b/>
        </w:rPr>
      </w:pPr>
      <w:r>
        <w:rPr>
          <w:b/>
        </w:rPr>
        <w:t>Trente-deuxième</w:t>
      </w:r>
      <w:r w:rsidRPr="00CA0680">
        <w:rPr>
          <w:b/>
        </w:rPr>
        <w:t xml:space="preserve"> session</w:t>
      </w:r>
    </w:p>
    <w:p w:rsidR="00776392" w:rsidRDefault="00776392" w:rsidP="000305D3">
      <w:r>
        <w:t>Genève, 7-9 décembre 2016</w:t>
      </w:r>
    </w:p>
    <w:p w:rsidR="00776392" w:rsidRDefault="00776392" w:rsidP="000305D3">
      <w:r>
        <w:t>Point 3 b) de l’ordre du jour provisoire</w:t>
      </w:r>
    </w:p>
    <w:p w:rsidR="00857E5A" w:rsidRPr="00776392" w:rsidRDefault="003421EE" w:rsidP="00776392">
      <w:pPr>
        <w:rPr>
          <w:b/>
          <w:lang w:val="fr-FR"/>
        </w:rPr>
      </w:pPr>
      <w:r w:rsidRPr="00776392">
        <w:rPr>
          <w:b/>
          <w:lang w:val="fr-FR"/>
        </w:rPr>
        <w:t>Questions relatives</w:t>
      </w:r>
      <w:r w:rsidR="00776392" w:rsidRPr="00776392">
        <w:rPr>
          <w:b/>
          <w:lang w:val="fr-FR"/>
        </w:rPr>
        <w:t xml:space="preserve"> à la communication des dangers </w:t>
      </w:r>
      <w:r w:rsidRPr="00776392">
        <w:rPr>
          <w:b/>
          <w:lang w:val="fr-FR"/>
        </w:rPr>
        <w:t xml:space="preserve">: </w:t>
      </w:r>
      <w:r w:rsidR="0036389C">
        <w:rPr>
          <w:b/>
          <w:lang w:val="fr-FR"/>
        </w:rPr>
        <w:br/>
      </w:r>
      <w:r w:rsidRPr="00776392">
        <w:rPr>
          <w:b/>
          <w:lang w:val="fr-FR"/>
        </w:rPr>
        <w:t xml:space="preserve">amélioration des annexes 1 à 3 et poursuite de </w:t>
      </w:r>
      <w:r w:rsidR="0036389C">
        <w:rPr>
          <w:b/>
          <w:lang w:val="fr-FR"/>
        </w:rPr>
        <w:br/>
      </w:r>
      <w:r w:rsidRPr="00776392">
        <w:rPr>
          <w:b/>
          <w:lang w:val="fr-FR"/>
        </w:rPr>
        <w:t>la rationali</w:t>
      </w:r>
      <w:r w:rsidR="00776392" w:rsidRPr="00776392">
        <w:rPr>
          <w:b/>
          <w:lang w:val="fr-FR"/>
        </w:rPr>
        <w:t>sation des conseils de prudence</w:t>
      </w:r>
    </w:p>
    <w:p w:rsidR="00857E5A" w:rsidRPr="00776392" w:rsidRDefault="003421EE" w:rsidP="00776392">
      <w:pPr>
        <w:pStyle w:val="HChG"/>
        <w:rPr>
          <w:lang w:val="fr-FR"/>
        </w:rPr>
      </w:pPr>
      <w:r w:rsidRPr="00776392">
        <w:rPr>
          <w:lang w:val="fr-FR"/>
        </w:rPr>
        <w:tab/>
      </w:r>
      <w:r w:rsidRPr="00776392">
        <w:rPr>
          <w:lang w:val="fr-FR"/>
        </w:rPr>
        <w:tab/>
      </w:r>
      <w:r w:rsidRPr="00776392">
        <w:rPr>
          <w:spacing w:val="2"/>
          <w:lang w:val="fr-FR"/>
        </w:rPr>
        <w:t>Conseils de prudence concernant la nécessité</w:t>
      </w:r>
      <w:r w:rsidRPr="00776392">
        <w:rPr>
          <w:lang w:val="fr-FR"/>
        </w:rPr>
        <w:t xml:space="preserve"> </w:t>
      </w:r>
      <w:r w:rsidR="00776392">
        <w:rPr>
          <w:lang w:val="fr-FR"/>
        </w:rPr>
        <w:br/>
      </w:r>
      <w:r w:rsidRPr="00776392">
        <w:rPr>
          <w:spacing w:val="-2"/>
          <w:lang w:val="fr-FR"/>
        </w:rPr>
        <w:t>de demander un avis médical/consulter un médecin</w:t>
      </w:r>
      <w:r w:rsidR="00776392" w:rsidRPr="00776392">
        <w:rPr>
          <w:spacing w:val="-2"/>
          <w:lang w:val="fr-FR"/>
        </w:rPr>
        <w:t> </w:t>
      </w:r>
      <w:r w:rsidRPr="00776392">
        <w:rPr>
          <w:spacing w:val="-2"/>
          <w:lang w:val="fr-FR"/>
        </w:rPr>
        <w:t>:</w:t>
      </w:r>
      <w:r w:rsidRPr="00776392">
        <w:rPr>
          <w:lang w:val="fr-FR"/>
        </w:rPr>
        <w:t xml:space="preserve"> harmonisation des versions linguistiques</w:t>
      </w:r>
    </w:p>
    <w:p w:rsidR="00857E5A" w:rsidRPr="00776392" w:rsidRDefault="003421EE" w:rsidP="00776392">
      <w:pPr>
        <w:pStyle w:val="H1G"/>
        <w:rPr>
          <w:lang w:val="fr-FR"/>
        </w:rPr>
      </w:pPr>
      <w:r w:rsidRPr="00776392">
        <w:rPr>
          <w:lang w:val="fr-FR"/>
        </w:rPr>
        <w:tab/>
      </w:r>
      <w:r w:rsidRPr="00776392">
        <w:rPr>
          <w:lang w:val="fr-FR"/>
        </w:rPr>
        <w:tab/>
        <w:t>Communication de l’Union européenne</w:t>
      </w:r>
      <w:r w:rsidR="00776392" w:rsidRPr="00776392">
        <w:rPr>
          <w:rStyle w:val="FootnoteReference"/>
          <w:b w:val="0"/>
        </w:rPr>
        <w:footnoteReference w:id="2"/>
      </w:r>
    </w:p>
    <w:p w:rsidR="00857E5A" w:rsidRPr="00776392" w:rsidRDefault="003421EE" w:rsidP="00776392">
      <w:pPr>
        <w:pStyle w:val="HChG"/>
        <w:rPr>
          <w:lang w:val="fr-FR"/>
        </w:rPr>
      </w:pPr>
      <w:r w:rsidRPr="00776392">
        <w:rPr>
          <w:lang w:val="fr-FR"/>
        </w:rPr>
        <w:tab/>
      </w:r>
      <w:r w:rsidRPr="00776392">
        <w:rPr>
          <w:lang w:val="fr-FR"/>
        </w:rPr>
        <w:tab/>
        <w:t>Contexte</w:t>
      </w:r>
    </w:p>
    <w:p w:rsidR="00857E5A" w:rsidRPr="00776392" w:rsidRDefault="003421EE" w:rsidP="003421EE">
      <w:pPr>
        <w:pStyle w:val="ParNoG"/>
        <w:rPr>
          <w:lang w:val="fr-FR"/>
        </w:rPr>
      </w:pPr>
      <w:r w:rsidRPr="00776392">
        <w:rPr>
          <w:lang w:val="fr-FR"/>
        </w:rPr>
        <w:t>À la trente et unième session du Sous-Comité, des divergences entre les différentes versions linguistiques des conseils de prudence P313, P314 et P315 et les conditions relatives à l’utilisation correspondantes ont été constatées et examinées</w:t>
      </w:r>
      <w:r w:rsidRPr="00776392">
        <w:rPr>
          <w:rStyle w:val="FootnoteReference"/>
        </w:rPr>
        <w:footnoteReference w:id="3"/>
      </w:r>
      <w:r w:rsidRPr="00776392">
        <w:rPr>
          <w:lang w:val="fr-FR"/>
        </w:rPr>
        <w:t>.</w:t>
      </w:r>
    </w:p>
    <w:p w:rsidR="00857E5A" w:rsidRPr="004333F6" w:rsidRDefault="003421EE" w:rsidP="003421EE">
      <w:pPr>
        <w:pStyle w:val="ParNoG"/>
        <w:rPr>
          <w:spacing w:val="-1"/>
          <w:lang w:val="fr-FR"/>
        </w:rPr>
      </w:pPr>
      <w:r w:rsidRPr="004333F6">
        <w:rPr>
          <w:lang w:val="fr-FR"/>
        </w:rPr>
        <w:t xml:space="preserve">Ces divergences sont apparues pour la première fois dans la cinquième édition révisée du SGH, avec l’ajout d’une nouvelle condition relative à l’utilisation, par laquelle il revient au fabricant/fournisseur ou à l’autorité compétente de sélectionner soit </w:t>
      </w:r>
      <w:r w:rsidR="00776392" w:rsidRPr="004333F6">
        <w:rPr>
          <w:lang w:val="fr-FR"/>
        </w:rPr>
        <w:t>« </w:t>
      </w:r>
      <w:r w:rsidRPr="004333F6">
        <w:rPr>
          <w:lang w:val="fr-FR"/>
        </w:rPr>
        <w:t>demander un avis médical</w:t>
      </w:r>
      <w:r w:rsidR="00776392" w:rsidRPr="004333F6">
        <w:rPr>
          <w:lang w:val="fr-FR"/>
        </w:rPr>
        <w:t> »</w:t>
      </w:r>
      <w:r w:rsidRPr="004333F6">
        <w:rPr>
          <w:lang w:val="fr-FR"/>
        </w:rPr>
        <w:t xml:space="preserve"> soit </w:t>
      </w:r>
      <w:r w:rsidR="00776392" w:rsidRPr="004333F6">
        <w:rPr>
          <w:lang w:val="fr-FR"/>
        </w:rPr>
        <w:t>« </w:t>
      </w:r>
      <w:r w:rsidRPr="004333F6">
        <w:rPr>
          <w:lang w:val="fr-FR"/>
        </w:rPr>
        <w:t>consulter un médecin</w:t>
      </w:r>
      <w:r w:rsidR="00776392" w:rsidRPr="004333F6">
        <w:rPr>
          <w:lang w:val="fr-FR"/>
        </w:rPr>
        <w:t> »</w:t>
      </w:r>
      <w:r w:rsidRPr="004333F6">
        <w:rPr>
          <w:lang w:val="fr-FR"/>
        </w:rPr>
        <w:t xml:space="preserve">. Dans la mesure où la distinction entre </w:t>
      </w:r>
      <w:r w:rsidR="00776392" w:rsidRPr="004333F6">
        <w:rPr>
          <w:lang w:val="fr-FR"/>
        </w:rPr>
        <w:t>« </w:t>
      </w:r>
      <w:r w:rsidRPr="004333F6">
        <w:rPr>
          <w:lang w:val="fr-FR"/>
        </w:rPr>
        <w:t>demander un avis médical</w:t>
      </w:r>
      <w:r w:rsidR="00776392" w:rsidRPr="004333F6">
        <w:rPr>
          <w:lang w:val="fr-FR"/>
        </w:rPr>
        <w:t> »</w:t>
      </w:r>
      <w:r w:rsidRPr="004333F6">
        <w:rPr>
          <w:lang w:val="fr-FR"/>
        </w:rPr>
        <w:t xml:space="preserve"> et </w:t>
      </w:r>
      <w:r w:rsidR="00776392" w:rsidRPr="004333F6">
        <w:rPr>
          <w:lang w:val="fr-FR"/>
        </w:rPr>
        <w:t>« </w:t>
      </w:r>
      <w:r w:rsidRPr="004333F6">
        <w:rPr>
          <w:lang w:val="fr-FR"/>
        </w:rPr>
        <w:t>consulter un médecin</w:t>
      </w:r>
      <w:r w:rsidR="00776392" w:rsidRPr="004333F6">
        <w:rPr>
          <w:lang w:val="fr-FR"/>
        </w:rPr>
        <w:t> »</w:t>
      </w:r>
      <w:r w:rsidRPr="004333F6">
        <w:rPr>
          <w:lang w:val="fr-FR"/>
        </w:rPr>
        <w:t xml:space="preserve"> n’est pas claire dans toutes les versions</w:t>
      </w:r>
      <w:r w:rsidRPr="004333F6">
        <w:rPr>
          <w:spacing w:val="-1"/>
          <w:lang w:val="fr-FR"/>
        </w:rPr>
        <w:t xml:space="preserve"> linguistiques, en particulier en russe et en espagnol, les conditions relatives à l’utilisation sont dénué</w:t>
      </w:r>
      <w:r w:rsidR="001D2F25">
        <w:rPr>
          <w:spacing w:val="-1"/>
          <w:lang w:val="fr-FR"/>
        </w:rPr>
        <w:t>e</w:t>
      </w:r>
      <w:r w:rsidRPr="004333F6">
        <w:rPr>
          <w:spacing w:val="-1"/>
          <w:lang w:val="fr-FR"/>
        </w:rPr>
        <w:t xml:space="preserve">s de sens dans ces versions, sauf à modifier les conseils de prudence en conséquence (comme cela a été fait dans la version française) (voir l’aperçu des </w:t>
      </w:r>
      <w:r w:rsidRPr="004333F6">
        <w:rPr>
          <w:spacing w:val="-1"/>
          <w:lang w:val="fr-FR"/>
        </w:rPr>
        <w:lastRenderedPageBreak/>
        <w:t>problèmes dans l’annexe). Cependant, le sens et la finalité de la distinction ne sont pas clairs dans la version anglaise, ce qui complique la recherche de la traduction correspondante.</w:t>
      </w:r>
    </w:p>
    <w:p w:rsidR="00857E5A" w:rsidRPr="00776392" w:rsidRDefault="003421EE" w:rsidP="003421EE">
      <w:pPr>
        <w:pStyle w:val="ParNoG"/>
        <w:rPr>
          <w:lang w:val="fr-FR"/>
        </w:rPr>
      </w:pPr>
      <w:r w:rsidRPr="00776392">
        <w:rPr>
          <w:lang w:val="fr-FR"/>
        </w:rPr>
        <w:t xml:space="preserve"> À la trente et unième session, plusieurs experts ont proposé qu’un examen plus général de la cohérence entre les conseils de prudence dans le domaine médical ait lieu au sein du groupe de travail informel par correspondance chargé de l’amélioration des annexes</w:t>
      </w:r>
      <w:r w:rsidR="00776392">
        <w:rPr>
          <w:lang w:val="fr-FR"/>
        </w:rPr>
        <w:t> </w:t>
      </w:r>
      <w:r w:rsidRPr="00776392">
        <w:rPr>
          <w:lang w:val="fr-FR"/>
        </w:rPr>
        <w:t>1 à 3, lors du prochain exercice biennal.</w:t>
      </w:r>
    </w:p>
    <w:p w:rsidR="00857E5A" w:rsidRPr="00776392" w:rsidRDefault="003421EE" w:rsidP="003421EE">
      <w:pPr>
        <w:pStyle w:val="ParNoG"/>
        <w:rPr>
          <w:lang w:val="fr-FR"/>
        </w:rPr>
      </w:pPr>
      <w:r w:rsidRPr="00776392">
        <w:rPr>
          <w:lang w:val="fr-FR"/>
        </w:rPr>
        <w:t xml:space="preserve">Néanmoins, puisqu’il est nécessaire de trouver rapidement une solution permettant d’harmoniser les versions linguistiques, le Sous-Comité a été prié de fournir des explications sur l’objectif auquel répond l’établissement d’une distinction entre </w:t>
      </w:r>
      <w:r w:rsidR="00776392">
        <w:rPr>
          <w:lang w:val="fr-FR"/>
        </w:rPr>
        <w:t>« </w:t>
      </w:r>
      <w:r w:rsidRPr="00776392">
        <w:rPr>
          <w:lang w:val="fr-FR"/>
        </w:rPr>
        <w:t>demander un avis médical</w:t>
      </w:r>
      <w:r w:rsidR="00776392">
        <w:rPr>
          <w:lang w:val="fr-FR"/>
        </w:rPr>
        <w:t> »</w:t>
      </w:r>
      <w:r w:rsidRPr="00776392">
        <w:rPr>
          <w:lang w:val="fr-FR"/>
        </w:rPr>
        <w:t xml:space="preserve"> et </w:t>
      </w:r>
      <w:r w:rsidR="00776392">
        <w:rPr>
          <w:lang w:val="fr-FR"/>
        </w:rPr>
        <w:t>« </w:t>
      </w:r>
      <w:r w:rsidRPr="00776392">
        <w:rPr>
          <w:lang w:val="fr-FR"/>
        </w:rPr>
        <w:t>consulter un médecin</w:t>
      </w:r>
      <w:r w:rsidR="00776392">
        <w:rPr>
          <w:lang w:val="fr-FR"/>
        </w:rPr>
        <w:t> »</w:t>
      </w:r>
      <w:r w:rsidRPr="00776392">
        <w:rPr>
          <w:lang w:val="fr-FR"/>
        </w:rPr>
        <w:t xml:space="preserve"> et d’indiquer si celle-ci présente un avantage pour les consommateurs et les travailleurs. Les experts du Sous-Comité ont été priés de faire part de leurs observations au représentant de l’Union européenne et au secrétariat. Ceux-ci n’ayant reçu aucune observation écrite, on peut en conclure que la valeur ajoutée que constitue l’établissement d’une distinction entre </w:t>
      </w:r>
      <w:r w:rsidR="00776392">
        <w:rPr>
          <w:lang w:val="fr-FR"/>
        </w:rPr>
        <w:t>« </w:t>
      </w:r>
      <w:r w:rsidRPr="00776392">
        <w:rPr>
          <w:lang w:val="fr-FR"/>
        </w:rPr>
        <w:t>demander un avis médical</w:t>
      </w:r>
      <w:r w:rsidR="00776392">
        <w:rPr>
          <w:lang w:val="fr-FR"/>
        </w:rPr>
        <w:t> »</w:t>
      </w:r>
      <w:r w:rsidRPr="00776392">
        <w:rPr>
          <w:lang w:val="fr-FR"/>
        </w:rPr>
        <w:t xml:space="preserve"> et </w:t>
      </w:r>
      <w:r w:rsidR="00776392">
        <w:rPr>
          <w:lang w:val="fr-FR"/>
        </w:rPr>
        <w:t>« </w:t>
      </w:r>
      <w:r w:rsidRPr="00776392">
        <w:rPr>
          <w:lang w:val="fr-FR"/>
        </w:rPr>
        <w:t>consulter un médecin</w:t>
      </w:r>
      <w:r w:rsidR="00776392">
        <w:rPr>
          <w:lang w:val="fr-FR"/>
        </w:rPr>
        <w:t> »</w:t>
      </w:r>
      <w:r w:rsidRPr="00776392">
        <w:rPr>
          <w:lang w:val="fr-FR"/>
        </w:rPr>
        <w:t xml:space="preserve"> n’est pas avérée</w:t>
      </w:r>
      <w:r w:rsidR="00776392">
        <w:rPr>
          <w:lang w:val="fr-FR"/>
        </w:rPr>
        <w:t>.</w:t>
      </w:r>
    </w:p>
    <w:p w:rsidR="00857E5A" w:rsidRPr="00776392" w:rsidRDefault="003421EE" w:rsidP="00776392">
      <w:pPr>
        <w:pStyle w:val="HChG"/>
        <w:rPr>
          <w:lang w:val="fr-FR"/>
        </w:rPr>
      </w:pPr>
      <w:r w:rsidRPr="00776392">
        <w:rPr>
          <w:lang w:val="fr-FR"/>
        </w:rPr>
        <w:tab/>
      </w:r>
      <w:r w:rsidRPr="00776392">
        <w:rPr>
          <w:lang w:val="fr-FR"/>
        </w:rPr>
        <w:tab/>
        <w:t>Mesures demandées</w:t>
      </w:r>
    </w:p>
    <w:p w:rsidR="00857E5A" w:rsidRPr="00776392" w:rsidRDefault="003421EE" w:rsidP="003421EE">
      <w:pPr>
        <w:pStyle w:val="ParNoG"/>
        <w:rPr>
          <w:lang w:val="fr-FR"/>
        </w:rPr>
      </w:pPr>
      <w:r w:rsidRPr="00776392">
        <w:rPr>
          <w:lang w:val="fr-FR"/>
        </w:rPr>
        <w:t>Compte tenu des débats qui se sont tenus à sa trente et unième session, le Sous-Comité est invité à approuver les modifications proposées dans les rubriques des conseils de prudence P313, P314 et P315 afin d’harmoniser les versions linguistiques en corrigeant les incohérences</w:t>
      </w:r>
      <w:r w:rsidR="00776392">
        <w:rPr>
          <w:lang w:val="fr-FR"/>
        </w:rPr>
        <w:t xml:space="preserve"> susmentionnées.</w:t>
      </w:r>
    </w:p>
    <w:p w:rsidR="00857E5A" w:rsidRPr="00776392" w:rsidRDefault="003421EE" w:rsidP="00776392">
      <w:pPr>
        <w:pStyle w:val="HChG"/>
        <w:rPr>
          <w:lang w:val="fr-FR"/>
        </w:rPr>
      </w:pPr>
      <w:r w:rsidRPr="00776392">
        <w:rPr>
          <w:lang w:val="fr-FR"/>
        </w:rPr>
        <w:tab/>
      </w:r>
      <w:r w:rsidRPr="00776392">
        <w:rPr>
          <w:lang w:val="fr-FR"/>
        </w:rPr>
        <w:tab/>
        <w:t>Proposition</w:t>
      </w:r>
    </w:p>
    <w:p w:rsidR="00857E5A" w:rsidRPr="00776392" w:rsidRDefault="003421EE" w:rsidP="003421EE">
      <w:pPr>
        <w:pStyle w:val="ParNoG"/>
        <w:rPr>
          <w:lang w:val="fr-FR"/>
        </w:rPr>
      </w:pPr>
      <w:r w:rsidRPr="00776392">
        <w:rPr>
          <w:lang w:val="fr-FR"/>
        </w:rPr>
        <w:t xml:space="preserve">Supprimer les termes </w:t>
      </w:r>
      <w:r w:rsidR="00776392">
        <w:rPr>
          <w:lang w:val="fr-FR"/>
        </w:rPr>
        <w:t>« </w:t>
      </w:r>
      <w:r w:rsidRPr="00776392">
        <w:rPr>
          <w:lang w:val="fr-FR"/>
        </w:rPr>
        <w:t>ou demander un avis médical</w:t>
      </w:r>
      <w:r w:rsidR="00776392">
        <w:rPr>
          <w:lang w:val="fr-FR"/>
        </w:rPr>
        <w:t> »</w:t>
      </w:r>
      <w:r w:rsidRPr="00776392">
        <w:rPr>
          <w:lang w:val="fr-FR"/>
        </w:rPr>
        <w:t xml:space="preserve">, afin d’harmoniser le texte des conseils de prudence P313, P314 et P315 dans toutes les versions linguistiques, ce qui évite d’établir une distinction peu claire entre </w:t>
      </w:r>
      <w:r w:rsidR="00776392">
        <w:rPr>
          <w:lang w:val="fr-FR"/>
        </w:rPr>
        <w:t>« </w:t>
      </w:r>
      <w:r w:rsidRPr="00776392">
        <w:rPr>
          <w:lang w:val="fr-FR"/>
        </w:rPr>
        <w:t>demander un avis médical</w:t>
      </w:r>
      <w:r w:rsidR="00776392">
        <w:rPr>
          <w:lang w:val="fr-FR"/>
        </w:rPr>
        <w:t> »</w:t>
      </w:r>
      <w:r w:rsidRPr="00776392">
        <w:rPr>
          <w:lang w:val="fr-FR"/>
        </w:rPr>
        <w:t xml:space="preserve"> et </w:t>
      </w:r>
      <w:r w:rsidR="00776392">
        <w:rPr>
          <w:lang w:val="fr-FR"/>
        </w:rPr>
        <w:t>« </w:t>
      </w:r>
      <w:r w:rsidRPr="00776392">
        <w:rPr>
          <w:lang w:val="fr-FR"/>
        </w:rPr>
        <w:t>consulter un médecin</w:t>
      </w:r>
      <w:r w:rsidR="00776392">
        <w:rPr>
          <w:lang w:val="fr-FR"/>
        </w:rPr>
        <w:t> »</w:t>
      </w:r>
      <w:r w:rsidRPr="00776392">
        <w:rPr>
          <w:lang w:val="fr-FR"/>
        </w:rPr>
        <w:t xml:space="preserve"> et d’élaborer une condition relative à l’utilisation. La condition relative à l’utilisation est donc supprimée dans toutes les versions linguistiques</w:t>
      </w:r>
      <w:r w:rsidR="00776392">
        <w:rPr>
          <w:lang w:val="fr-FR"/>
        </w:rPr>
        <w:t>.</w:t>
      </w:r>
    </w:p>
    <w:p w:rsidR="00776392" w:rsidRDefault="003421EE" w:rsidP="003421EE">
      <w:pPr>
        <w:pStyle w:val="ParNoG"/>
        <w:rPr>
          <w:lang w:val="fr-FR"/>
        </w:rPr>
      </w:pPr>
      <w:r w:rsidRPr="00776392">
        <w:rPr>
          <w:lang w:val="fr-FR"/>
        </w:rPr>
        <w:t>Par conséquent, les conseils de prudence seront formulés comme on peut le lire dans le tableau ci-après.</w:t>
      </w:r>
    </w:p>
    <w:tbl>
      <w:tblPr>
        <w:tblStyle w:val="TableGrid"/>
        <w:tblW w:w="7370" w:type="dxa"/>
        <w:tblInd w:w="1134" w:type="dxa"/>
        <w:tblLayout w:type="fixed"/>
        <w:tblLook w:val="04A0" w:firstRow="1" w:lastRow="0" w:firstColumn="1" w:lastColumn="0" w:noHBand="0" w:noVBand="1"/>
      </w:tblPr>
      <w:tblGrid>
        <w:gridCol w:w="549"/>
        <w:gridCol w:w="2088"/>
        <w:gridCol w:w="2463"/>
        <w:gridCol w:w="2270"/>
      </w:tblGrid>
      <w:tr w:rsidR="00160560" w:rsidRPr="00160560" w:rsidTr="003125D2">
        <w:trPr>
          <w:tblHeader/>
        </w:trPr>
        <w:tc>
          <w:tcPr>
            <w:tcW w:w="549" w:type="dxa"/>
            <w:shd w:val="clear" w:color="auto" w:fill="auto"/>
            <w:vAlign w:val="bottom"/>
          </w:tcPr>
          <w:p w:rsidR="00160560" w:rsidRPr="00160560" w:rsidRDefault="00160560" w:rsidP="00160560">
            <w:pPr>
              <w:spacing w:before="80" w:after="80" w:line="200" w:lineRule="exact"/>
              <w:ind w:left="28" w:right="113"/>
              <w:rPr>
                <w:i/>
                <w:sz w:val="16"/>
                <w:lang w:val="fr-FR"/>
              </w:rPr>
            </w:pPr>
          </w:p>
        </w:tc>
        <w:tc>
          <w:tcPr>
            <w:tcW w:w="2088" w:type="dxa"/>
            <w:shd w:val="clear" w:color="auto" w:fill="auto"/>
            <w:vAlign w:val="bottom"/>
          </w:tcPr>
          <w:p w:rsidR="00160560" w:rsidRPr="00160560" w:rsidRDefault="00160560" w:rsidP="00160560">
            <w:pPr>
              <w:spacing w:before="80" w:after="80" w:line="200" w:lineRule="exact"/>
              <w:ind w:left="28" w:right="113"/>
              <w:rPr>
                <w:i/>
                <w:sz w:val="16"/>
                <w:lang w:val="fr-FR"/>
              </w:rPr>
            </w:pPr>
            <w:r w:rsidRPr="00160560">
              <w:rPr>
                <w:i/>
                <w:sz w:val="16"/>
                <w:lang w:val="fr-FR"/>
              </w:rPr>
              <w:t>P313</w:t>
            </w:r>
          </w:p>
        </w:tc>
        <w:tc>
          <w:tcPr>
            <w:tcW w:w="2463" w:type="dxa"/>
            <w:shd w:val="clear" w:color="auto" w:fill="auto"/>
            <w:vAlign w:val="bottom"/>
          </w:tcPr>
          <w:p w:rsidR="00160560" w:rsidRPr="00160560" w:rsidRDefault="00160560" w:rsidP="00160560">
            <w:pPr>
              <w:spacing w:before="80" w:after="80" w:line="200" w:lineRule="exact"/>
              <w:ind w:left="28" w:right="113"/>
              <w:rPr>
                <w:i/>
                <w:sz w:val="16"/>
                <w:lang w:val="fr-FR"/>
              </w:rPr>
            </w:pPr>
            <w:r w:rsidRPr="00160560">
              <w:rPr>
                <w:i/>
                <w:sz w:val="16"/>
                <w:lang w:val="fr-FR"/>
              </w:rPr>
              <w:t>P314</w:t>
            </w:r>
          </w:p>
        </w:tc>
        <w:tc>
          <w:tcPr>
            <w:tcW w:w="2270" w:type="dxa"/>
            <w:shd w:val="clear" w:color="auto" w:fill="auto"/>
            <w:vAlign w:val="bottom"/>
          </w:tcPr>
          <w:p w:rsidR="00160560" w:rsidRPr="00160560" w:rsidRDefault="00160560" w:rsidP="00160560">
            <w:pPr>
              <w:spacing w:before="80" w:after="80" w:line="200" w:lineRule="exact"/>
              <w:ind w:left="28" w:right="113"/>
              <w:rPr>
                <w:i/>
                <w:sz w:val="16"/>
                <w:lang w:val="fr-FR"/>
              </w:rPr>
            </w:pPr>
            <w:r w:rsidRPr="00160560">
              <w:rPr>
                <w:i/>
                <w:sz w:val="16"/>
                <w:lang w:val="fr-FR"/>
              </w:rPr>
              <w:t>P315</w:t>
            </w:r>
          </w:p>
        </w:tc>
      </w:tr>
      <w:tr w:rsidR="00160560" w:rsidRPr="00160560" w:rsidTr="003125D2">
        <w:tc>
          <w:tcPr>
            <w:tcW w:w="549" w:type="dxa"/>
            <w:shd w:val="clear" w:color="auto" w:fill="auto"/>
          </w:tcPr>
          <w:p w:rsidR="00160560" w:rsidRPr="00160560" w:rsidRDefault="00160560" w:rsidP="00160560">
            <w:pPr>
              <w:spacing w:before="40" w:after="120"/>
              <w:ind w:left="28" w:right="113"/>
              <w:rPr>
                <w:lang w:val="fr-FR"/>
              </w:rPr>
            </w:pPr>
            <w:r w:rsidRPr="00160560">
              <w:rPr>
                <w:lang w:val="fr-FR"/>
              </w:rPr>
              <w:t>EN</w:t>
            </w:r>
          </w:p>
        </w:tc>
        <w:tc>
          <w:tcPr>
            <w:tcW w:w="2088" w:type="dxa"/>
            <w:shd w:val="clear" w:color="auto" w:fill="auto"/>
          </w:tcPr>
          <w:p w:rsidR="00160560" w:rsidRPr="00160560" w:rsidRDefault="00160560" w:rsidP="00160560">
            <w:pPr>
              <w:spacing w:before="40" w:after="120"/>
              <w:ind w:left="28" w:right="113"/>
              <w:rPr>
                <w:lang w:val="fr-FR"/>
              </w:rPr>
            </w:pPr>
            <w:r w:rsidRPr="00160560">
              <w:rPr>
                <w:lang w:val="fr-FR"/>
              </w:rPr>
              <w:t>Get medical advice</w:t>
            </w:r>
          </w:p>
        </w:tc>
        <w:tc>
          <w:tcPr>
            <w:tcW w:w="2463" w:type="dxa"/>
            <w:shd w:val="clear" w:color="auto" w:fill="auto"/>
          </w:tcPr>
          <w:p w:rsidR="00160560" w:rsidRPr="00160560" w:rsidRDefault="00160560" w:rsidP="00160560">
            <w:pPr>
              <w:spacing w:before="40" w:after="120"/>
              <w:ind w:left="28" w:right="113"/>
              <w:rPr>
                <w:lang w:val="fr-FR"/>
              </w:rPr>
            </w:pPr>
            <w:r w:rsidRPr="00160560">
              <w:rPr>
                <w:lang w:val="fr-FR"/>
              </w:rPr>
              <w:t>Get medical advice if you feel unwell</w:t>
            </w:r>
          </w:p>
        </w:tc>
        <w:tc>
          <w:tcPr>
            <w:tcW w:w="2270" w:type="dxa"/>
            <w:shd w:val="clear" w:color="auto" w:fill="auto"/>
          </w:tcPr>
          <w:p w:rsidR="00160560" w:rsidRPr="00160560" w:rsidRDefault="00160560" w:rsidP="00160560">
            <w:pPr>
              <w:spacing w:before="40" w:after="120"/>
              <w:ind w:left="28" w:right="113"/>
              <w:rPr>
                <w:lang w:val="fr-FR"/>
              </w:rPr>
            </w:pPr>
            <w:r w:rsidRPr="00160560">
              <w:rPr>
                <w:lang w:val="fr-FR"/>
              </w:rPr>
              <w:t>Get immediate medical advice</w:t>
            </w:r>
          </w:p>
        </w:tc>
      </w:tr>
      <w:tr w:rsidR="00160560" w:rsidRPr="00160560" w:rsidTr="003125D2">
        <w:tc>
          <w:tcPr>
            <w:tcW w:w="549" w:type="dxa"/>
            <w:shd w:val="clear" w:color="auto" w:fill="auto"/>
          </w:tcPr>
          <w:p w:rsidR="00160560" w:rsidRPr="00160560" w:rsidRDefault="00160560" w:rsidP="00160560">
            <w:pPr>
              <w:spacing w:before="40" w:after="120"/>
              <w:ind w:left="28" w:right="113"/>
              <w:rPr>
                <w:lang w:val="fr-FR"/>
              </w:rPr>
            </w:pPr>
            <w:r w:rsidRPr="00160560">
              <w:rPr>
                <w:lang w:val="fr-FR"/>
              </w:rPr>
              <w:t>FR</w:t>
            </w:r>
          </w:p>
        </w:tc>
        <w:tc>
          <w:tcPr>
            <w:tcW w:w="2088" w:type="dxa"/>
            <w:shd w:val="clear" w:color="auto" w:fill="auto"/>
          </w:tcPr>
          <w:p w:rsidR="00160560" w:rsidRPr="00160560" w:rsidRDefault="00160560" w:rsidP="00160560">
            <w:pPr>
              <w:spacing w:before="40" w:after="120"/>
              <w:ind w:left="28" w:right="113"/>
              <w:rPr>
                <w:lang w:val="fr-FR"/>
              </w:rPr>
            </w:pPr>
            <w:r w:rsidRPr="00160560">
              <w:rPr>
                <w:lang w:val="fr-FR"/>
              </w:rPr>
              <w:t>Consulter un médecin</w:t>
            </w:r>
          </w:p>
        </w:tc>
        <w:tc>
          <w:tcPr>
            <w:tcW w:w="2463" w:type="dxa"/>
            <w:shd w:val="clear" w:color="auto" w:fill="auto"/>
          </w:tcPr>
          <w:p w:rsidR="00160560" w:rsidRPr="00160560" w:rsidRDefault="00160560" w:rsidP="00160560">
            <w:pPr>
              <w:spacing w:before="40" w:after="120"/>
              <w:ind w:left="28" w:right="113"/>
              <w:rPr>
                <w:lang w:val="fr-FR"/>
              </w:rPr>
            </w:pPr>
            <w:r w:rsidRPr="00160560">
              <w:rPr>
                <w:lang w:val="fr-FR"/>
              </w:rPr>
              <w:t>Consulter un médecin en cas de malaise</w:t>
            </w:r>
          </w:p>
        </w:tc>
        <w:tc>
          <w:tcPr>
            <w:tcW w:w="2270" w:type="dxa"/>
            <w:shd w:val="clear" w:color="auto" w:fill="auto"/>
          </w:tcPr>
          <w:p w:rsidR="00160560" w:rsidRPr="00160560" w:rsidRDefault="00160560" w:rsidP="00160560">
            <w:pPr>
              <w:spacing w:before="40" w:after="120"/>
              <w:ind w:left="28" w:right="113"/>
              <w:rPr>
                <w:lang w:val="fr-FR"/>
              </w:rPr>
            </w:pPr>
            <w:r w:rsidRPr="00160560">
              <w:rPr>
                <w:lang w:val="fr-FR"/>
              </w:rPr>
              <w:t>Consulter immédiatement un médecin</w:t>
            </w:r>
          </w:p>
        </w:tc>
      </w:tr>
      <w:tr w:rsidR="00160560" w:rsidRPr="00160560" w:rsidTr="003125D2">
        <w:tc>
          <w:tcPr>
            <w:tcW w:w="549" w:type="dxa"/>
            <w:shd w:val="clear" w:color="auto" w:fill="auto"/>
          </w:tcPr>
          <w:p w:rsidR="00160560" w:rsidRPr="00160560" w:rsidRDefault="00160560" w:rsidP="00160560">
            <w:pPr>
              <w:spacing w:before="40" w:after="120"/>
              <w:ind w:left="28" w:right="113"/>
              <w:rPr>
                <w:lang w:val="fr-FR"/>
              </w:rPr>
            </w:pPr>
            <w:r w:rsidRPr="00160560">
              <w:rPr>
                <w:lang w:val="fr-FR"/>
              </w:rPr>
              <w:t>ES</w:t>
            </w:r>
          </w:p>
        </w:tc>
        <w:tc>
          <w:tcPr>
            <w:tcW w:w="2088" w:type="dxa"/>
            <w:shd w:val="clear" w:color="auto" w:fill="auto"/>
          </w:tcPr>
          <w:p w:rsidR="00160560" w:rsidRPr="00160560" w:rsidRDefault="00160560" w:rsidP="00160560">
            <w:pPr>
              <w:spacing w:before="40" w:after="120"/>
              <w:ind w:left="28" w:right="113"/>
              <w:rPr>
                <w:lang w:val="fr-FR"/>
              </w:rPr>
            </w:pPr>
            <w:r w:rsidRPr="00160560">
              <w:rPr>
                <w:lang w:val="fr-FR"/>
              </w:rPr>
              <w:t>Consultar a un médico</w:t>
            </w:r>
          </w:p>
        </w:tc>
        <w:tc>
          <w:tcPr>
            <w:tcW w:w="2463" w:type="dxa"/>
            <w:shd w:val="clear" w:color="auto" w:fill="auto"/>
          </w:tcPr>
          <w:p w:rsidR="00160560" w:rsidRPr="00160560" w:rsidRDefault="00160560" w:rsidP="00160560">
            <w:pPr>
              <w:spacing w:before="40" w:after="120"/>
              <w:ind w:left="28" w:right="113"/>
              <w:rPr>
                <w:i/>
                <w:lang w:val="fr-FR"/>
              </w:rPr>
            </w:pPr>
            <w:r w:rsidRPr="00160560">
              <w:rPr>
                <w:lang w:val="fr-FR"/>
              </w:rPr>
              <w:t>Consultar a un médico si la persona se encuentra mal</w:t>
            </w:r>
          </w:p>
        </w:tc>
        <w:tc>
          <w:tcPr>
            <w:tcW w:w="2270" w:type="dxa"/>
            <w:shd w:val="clear" w:color="auto" w:fill="auto"/>
          </w:tcPr>
          <w:p w:rsidR="00160560" w:rsidRPr="00160560" w:rsidRDefault="00160560" w:rsidP="00160560">
            <w:pPr>
              <w:spacing w:before="40" w:after="120"/>
              <w:ind w:left="28" w:right="113"/>
              <w:rPr>
                <w:lang w:val="fr-FR"/>
              </w:rPr>
            </w:pPr>
            <w:r w:rsidRPr="00160560">
              <w:rPr>
                <w:lang w:val="fr-FR"/>
              </w:rPr>
              <w:t>Buscar asistencia médica immediata</w:t>
            </w:r>
          </w:p>
        </w:tc>
      </w:tr>
      <w:tr w:rsidR="00160560" w:rsidRPr="00160560" w:rsidTr="003125D2">
        <w:tc>
          <w:tcPr>
            <w:tcW w:w="549" w:type="dxa"/>
            <w:shd w:val="clear" w:color="auto" w:fill="auto"/>
          </w:tcPr>
          <w:p w:rsidR="00160560" w:rsidRPr="00160560" w:rsidRDefault="00160560" w:rsidP="00160560">
            <w:pPr>
              <w:spacing w:before="40" w:after="120"/>
              <w:ind w:left="28" w:right="113"/>
              <w:rPr>
                <w:lang w:val="fr-FR"/>
              </w:rPr>
            </w:pPr>
            <w:r w:rsidRPr="00160560">
              <w:rPr>
                <w:lang w:val="fr-FR"/>
              </w:rPr>
              <w:t>RU</w:t>
            </w:r>
          </w:p>
        </w:tc>
        <w:tc>
          <w:tcPr>
            <w:tcW w:w="2088" w:type="dxa"/>
            <w:shd w:val="clear" w:color="auto" w:fill="auto"/>
          </w:tcPr>
          <w:p w:rsidR="00160560" w:rsidRPr="00160560" w:rsidRDefault="00160560" w:rsidP="00160560">
            <w:pPr>
              <w:spacing w:before="40" w:after="120"/>
              <w:ind w:left="28" w:right="113"/>
              <w:rPr>
                <w:lang w:val="fr-FR"/>
              </w:rPr>
            </w:pPr>
            <w:r w:rsidRPr="00160560">
              <w:rPr>
                <w:lang w:val="fr-FR"/>
              </w:rPr>
              <w:t>Обратиться к врачу</w:t>
            </w:r>
          </w:p>
        </w:tc>
        <w:tc>
          <w:tcPr>
            <w:tcW w:w="2463" w:type="dxa"/>
            <w:shd w:val="clear" w:color="auto" w:fill="auto"/>
          </w:tcPr>
          <w:p w:rsidR="00160560" w:rsidRPr="00160560" w:rsidRDefault="00160560" w:rsidP="00160560">
            <w:pPr>
              <w:spacing w:before="40" w:after="120"/>
              <w:ind w:left="28" w:right="113"/>
              <w:rPr>
                <w:lang w:val="fr-FR"/>
              </w:rPr>
            </w:pPr>
            <w:r w:rsidRPr="00160560">
              <w:rPr>
                <w:lang w:val="fr-FR"/>
              </w:rPr>
              <w:t>В случае плохого самочувствия обратиться к врачу</w:t>
            </w:r>
          </w:p>
        </w:tc>
        <w:tc>
          <w:tcPr>
            <w:tcW w:w="2270" w:type="dxa"/>
            <w:shd w:val="clear" w:color="auto" w:fill="auto"/>
          </w:tcPr>
          <w:p w:rsidR="00160560" w:rsidRPr="00160560" w:rsidRDefault="00160560" w:rsidP="00160560">
            <w:pPr>
              <w:spacing w:before="40" w:after="120"/>
              <w:ind w:left="28" w:right="113"/>
              <w:rPr>
                <w:lang w:val="fr-FR"/>
              </w:rPr>
            </w:pPr>
            <w:r w:rsidRPr="00160560">
              <w:rPr>
                <w:lang w:val="fr-FR"/>
              </w:rPr>
              <w:t>Немедленно обратиться к врачу.</w:t>
            </w:r>
          </w:p>
        </w:tc>
      </w:tr>
      <w:tr w:rsidR="00160560" w:rsidRPr="00160560" w:rsidTr="003125D2">
        <w:tc>
          <w:tcPr>
            <w:tcW w:w="549" w:type="dxa"/>
            <w:shd w:val="clear" w:color="auto" w:fill="auto"/>
          </w:tcPr>
          <w:p w:rsidR="00160560" w:rsidRPr="00160560" w:rsidRDefault="00160560" w:rsidP="00160560">
            <w:pPr>
              <w:spacing w:before="40" w:after="120"/>
              <w:ind w:left="28" w:right="113"/>
              <w:rPr>
                <w:lang w:val="fr-FR"/>
              </w:rPr>
            </w:pPr>
            <w:r w:rsidRPr="00160560">
              <w:rPr>
                <w:lang w:val="fr-FR"/>
              </w:rPr>
              <w:t>CH</w:t>
            </w:r>
          </w:p>
        </w:tc>
        <w:tc>
          <w:tcPr>
            <w:tcW w:w="2088" w:type="dxa"/>
            <w:shd w:val="clear" w:color="auto" w:fill="auto"/>
          </w:tcPr>
          <w:p w:rsidR="00160560" w:rsidRPr="00160560" w:rsidRDefault="00160560" w:rsidP="00160560">
            <w:pPr>
              <w:spacing w:before="40" w:after="120"/>
              <w:ind w:left="28" w:right="113"/>
              <w:rPr>
                <w:lang w:val="fr-FR"/>
              </w:rPr>
            </w:pPr>
            <w:r w:rsidRPr="00160560">
              <w:rPr>
                <w:rFonts w:eastAsia="T312"/>
                <w:lang w:val="fr-FR" w:eastAsia="en-GB"/>
              </w:rPr>
              <w:t>就诊</w:t>
            </w:r>
          </w:p>
        </w:tc>
        <w:tc>
          <w:tcPr>
            <w:tcW w:w="2463" w:type="dxa"/>
            <w:shd w:val="clear" w:color="auto" w:fill="auto"/>
          </w:tcPr>
          <w:p w:rsidR="00160560" w:rsidRPr="00160560" w:rsidRDefault="00160560" w:rsidP="00160560">
            <w:pPr>
              <w:spacing w:before="40" w:after="120"/>
              <w:ind w:left="28" w:right="113"/>
              <w:rPr>
                <w:lang w:val="fr-FR"/>
              </w:rPr>
            </w:pPr>
            <w:r w:rsidRPr="00160560">
              <w:rPr>
                <w:rFonts w:eastAsia="T312"/>
                <w:lang w:val="fr-FR" w:eastAsia="en-GB"/>
              </w:rPr>
              <w:t>如感觉不适，须就诊</w:t>
            </w:r>
          </w:p>
        </w:tc>
        <w:tc>
          <w:tcPr>
            <w:tcW w:w="2270" w:type="dxa"/>
            <w:shd w:val="clear" w:color="auto" w:fill="auto"/>
          </w:tcPr>
          <w:p w:rsidR="00160560" w:rsidRPr="00160560" w:rsidRDefault="00160560" w:rsidP="00160560">
            <w:pPr>
              <w:spacing w:before="40" w:after="120"/>
              <w:ind w:left="28" w:right="113"/>
              <w:rPr>
                <w:lang w:val="fr-FR"/>
              </w:rPr>
            </w:pPr>
            <w:r w:rsidRPr="00160560">
              <w:rPr>
                <w:rFonts w:eastAsia="T312"/>
                <w:lang w:val="fr-FR" w:eastAsia="en-GB"/>
              </w:rPr>
              <w:t>立即就诊</w:t>
            </w:r>
          </w:p>
        </w:tc>
      </w:tr>
    </w:tbl>
    <w:p w:rsidR="00776392" w:rsidRDefault="00776392" w:rsidP="00776392">
      <w:pPr>
        <w:pStyle w:val="SingleTxtG"/>
        <w:rPr>
          <w:lang w:val="fr-FR"/>
        </w:rPr>
      </w:pPr>
    </w:p>
    <w:tbl>
      <w:tblPr>
        <w:tblStyle w:val="TableGrid"/>
        <w:tblW w:w="7370" w:type="dxa"/>
        <w:tblInd w:w="1134" w:type="dxa"/>
        <w:tblLayout w:type="fixed"/>
        <w:tblLook w:val="04A0" w:firstRow="1" w:lastRow="0" w:firstColumn="1" w:lastColumn="0" w:noHBand="0" w:noVBand="1"/>
      </w:tblPr>
      <w:tblGrid>
        <w:gridCol w:w="2452"/>
        <w:gridCol w:w="2452"/>
        <w:gridCol w:w="1507"/>
        <w:gridCol w:w="959"/>
      </w:tblGrid>
      <w:tr w:rsidR="00160560" w:rsidRPr="00160560" w:rsidTr="00160560">
        <w:trPr>
          <w:tblHeader/>
        </w:trPr>
        <w:tc>
          <w:tcPr>
            <w:tcW w:w="2452" w:type="dxa"/>
            <w:shd w:val="clear" w:color="auto" w:fill="auto"/>
            <w:vAlign w:val="bottom"/>
          </w:tcPr>
          <w:p w:rsidR="00160560" w:rsidRPr="00160560" w:rsidRDefault="00160560" w:rsidP="00007471">
            <w:pPr>
              <w:spacing w:before="80" w:after="80" w:line="200" w:lineRule="exact"/>
              <w:ind w:left="28" w:right="113"/>
              <w:jc w:val="right"/>
              <w:rPr>
                <w:i/>
                <w:sz w:val="16"/>
                <w:lang w:val="fr-FR"/>
              </w:rPr>
            </w:pPr>
            <w:r w:rsidRPr="00160560">
              <w:rPr>
                <w:i/>
                <w:sz w:val="16"/>
                <w:lang w:val="fr-FR"/>
              </w:rPr>
              <w:lastRenderedPageBreak/>
              <w:t>P315</w:t>
            </w:r>
          </w:p>
        </w:tc>
        <w:tc>
          <w:tcPr>
            <w:tcW w:w="2452" w:type="dxa"/>
            <w:shd w:val="clear" w:color="auto" w:fill="auto"/>
            <w:vAlign w:val="bottom"/>
          </w:tcPr>
          <w:p w:rsidR="00160560" w:rsidRPr="00160560" w:rsidRDefault="00160560" w:rsidP="00007471">
            <w:pPr>
              <w:spacing w:before="80" w:after="80" w:line="200" w:lineRule="exact"/>
              <w:ind w:left="28" w:right="113"/>
              <w:jc w:val="right"/>
              <w:rPr>
                <w:i/>
                <w:sz w:val="16"/>
                <w:lang w:val="fr-FR"/>
              </w:rPr>
            </w:pPr>
            <w:r w:rsidRPr="00160560">
              <w:rPr>
                <w:i/>
                <w:sz w:val="16"/>
                <w:lang w:val="fr-FR"/>
              </w:rPr>
              <w:t>P314</w:t>
            </w:r>
          </w:p>
        </w:tc>
        <w:tc>
          <w:tcPr>
            <w:tcW w:w="1507" w:type="dxa"/>
            <w:shd w:val="clear" w:color="auto" w:fill="auto"/>
            <w:vAlign w:val="bottom"/>
          </w:tcPr>
          <w:p w:rsidR="00160560" w:rsidRPr="00160560" w:rsidRDefault="00160560" w:rsidP="00007471">
            <w:pPr>
              <w:spacing w:before="80" w:after="80" w:line="200" w:lineRule="exact"/>
              <w:ind w:left="28" w:right="113"/>
              <w:jc w:val="right"/>
              <w:rPr>
                <w:i/>
                <w:sz w:val="16"/>
                <w:lang w:val="fr-FR"/>
              </w:rPr>
            </w:pPr>
            <w:r w:rsidRPr="00160560">
              <w:rPr>
                <w:i/>
                <w:sz w:val="16"/>
                <w:lang w:val="fr-FR"/>
              </w:rPr>
              <w:t>P313</w:t>
            </w:r>
          </w:p>
        </w:tc>
        <w:tc>
          <w:tcPr>
            <w:tcW w:w="959" w:type="dxa"/>
            <w:shd w:val="clear" w:color="auto" w:fill="auto"/>
            <w:vAlign w:val="bottom"/>
          </w:tcPr>
          <w:p w:rsidR="00160560" w:rsidRPr="00160560" w:rsidRDefault="00160560" w:rsidP="00160560">
            <w:pPr>
              <w:spacing w:before="80" w:after="80" w:line="200" w:lineRule="exact"/>
              <w:ind w:left="28" w:right="113"/>
              <w:rPr>
                <w:i/>
                <w:sz w:val="16"/>
                <w:lang w:val="fr-FR"/>
              </w:rPr>
            </w:pPr>
          </w:p>
        </w:tc>
      </w:tr>
      <w:tr w:rsidR="00160560" w:rsidRPr="00160560" w:rsidTr="00160560">
        <w:tc>
          <w:tcPr>
            <w:tcW w:w="2452" w:type="dxa"/>
            <w:shd w:val="clear" w:color="auto" w:fill="auto"/>
          </w:tcPr>
          <w:p w:rsidR="00160560" w:rsidRPr="00160560" w:rsidRDefault="00160560" w:rsidP="00007471">
            <w:pPr>
              <w:spacing w:before="40" w:after="120"/>
              <w:ind w:left="28" w:right="113"/>
              <w:jc w:val="right"/>
              <w:rPr>
                <w:lang w:val="fr-FR"/>
              </w:rPr>
            </w:pPr>
            <w:r w:rsidRPr="00160560">
              <w:rPr>
                <w:bCs/>
                <w:rtl/>
                <w:lang w:val="fr-FR" w:bidi="ar-EG"/>
              </w:rPr>
              <w:t>تطلب فوراً استشارة طبية</w:t>
            </w:r>
          </w:p>
        </w:tc>
        <w:tc>
          <w:tcPr>
            <w:tcW w:w="2452" w:type="dxa"/>
            <w:shd w:val="clear" w:color="auto" w:fill="auto"/>
          </w:tcPr>
          <w:p w:rsidR="00160560" w:rsidRPr="00160560" w:rsidRDefault="00160560" w:rsidP="00007471">
            <w:pPr>
              <w:spacing w:before="40" w:after="120"/>
              <w:ind w:left="28" w:right="113"/>
              <w:jc w:val="right"/>
              <w:rPr>
                <w:lang w:val="fr-FR"/>
              </w:rPr>
            </w:pPr>
            <w:r w:rsidRPr="00160560">
              <w:rPr>
                <w:bCs/>
                <w:rtl/>
                <w:lang w:val="fr-FR" w:bidi="ar-EG"/>
              </w:rPr>
              <w:t>تطلب استشارة طبية في حالة الشعور بتوعك</w:t>
            </w:r>
          </w:p>
        </w:tc>
        <w:tc>
          <w:tcPr>
            <w:tcW w:w="1507" w:type="dxa"/>
            <w:shd w:val="clear" w:color="auto" w:fill="auto"/>
          </w:tcPr>
          <w:p w:rsidR="00160560" w:rsidRPr="00160560" w:rsidRDefault="00160560" w:rsidP="00007471">
            <w:pPr>
              <w:spacing w:before="40" w:after="120"/>
              <w:ind w:left="28" w:right="113"/>
              <w:jc w:val="right"/>
              <w:rPr>
                <w:lang w:val="fr-FR"/>
              </w:rPr>
            </w:pPr>
            <w:r w:rsidRPr="00160560">
              <w:rPr>
                <w:bCs/>
                <w:rtl/>
                <w:lang w:val="fr-FR" w:bidi="ar-EG"/>
              </w:rPr>
              <w:t>تطلب استشارة طبية</w:t>
            </w:r>
          </w:p>
        </w:tc>
        <w:tc>
          <w:tcPr>
            <w:tcW w:w="959" w:type="dxa"/>
            <w:shd w:val="clear" w:color="auto" w:fill="auto"/>
          </w:tcPr>
          <w:p w:rsidR="00160560" w:rsidRPr="00160560" w:rsidRDefault="00160560" w:rsidP="00007471">
            <w:pPr>
              <w:spacing w:before="40" w:after="120"/>
              <w:ind w:left="28" w:right="113"/>
              <w:jc w:val="right"/>
              <w:rPr>
                <w:lang w:val="fr-FR"/>
              </w:rPr>
            </w:pPr>
            <w:r w:rsidRPr="00160560">
              <w:rPr>
                <w:lang w:val="fr-FR"/>
              </w:rPr>
              <w:t>AR</w:t>
            </w:r>
          </w:p>
        </w:tc>
      </w:tr>
    </w:tbl>
    <w:p w:rsidR="00857E5A" w:rsidRPr="006056A9" w:rsidRDefault="003421EE" w:rsidP="006056A9">
      <w:pPr>
        <w:pStyle w:val="SingleTxtG"/>
        <w:spacing w:before="120"/>
        <w:rPr>
          <w:i/>
          <w:lang w:val="fr-FR"/>
        </w:rPr>
      </w:pPr>
      <w:r w:rsidRPr="006056A9">
        <w:rPr>
          <w:b/>
          <w:i/>
          <w:u w:val="single"/>
          <w:lang w:val="fr-FR"/>
        </w:rPr>
        <w:t>Note du secrétariat</w:t>
      </w:r>
      <w:r w:rsidR="006056A9" w:rsidRPr="006056A9">
        <w:rPr>
          <w:b/>
          <w:i/>
          <w:lang w:val="fr-FR"/>
        </w:rPr>
        <w:t> </w:t>
      </w:r>
      <w:r w:rsidRPr="006056A9">
        <w:rPr>
          <w:lang w:val="fr-FR"/>
        </w:rPr>
        <w:t xml:space="preserve">: </w:t>
      </w:r>
      <w:r w:rsidRPr="006056A9">
        <w:rPr>
          <w:i/>
          <w:lang w:val="fr-FR"/>
        </w:rPr>
        <w:t>Bien qu’il n’en soit pas question dans la proposition initiale, les versions chinoise et arabe ont été reproduites dans ce document avec l’accord du représentant de l’Union européenne. Les experts arabophones et sinophones sont priés d’indiquer si le texte proposé est correct</w:t>
      </w:r>
      <w:r w:rsidR="006056A9">
        <w:rPr>
          <w:i/>
          <w:lang w:val="fr-FR"/>
        </w:rPr>
        <w:t>.</w:t>
      </w:r>
    </w:p>
    <w:p w:rsidR="00160560" w:rsidRDefault="003421EE" w:rsidP="003421EE">
      <w:pPr>
        <w:pStyle w:val="ParNoG"/>
        <w:rPr>
          <w:lang w:val="fr-FR"/>
        </w:rPr>
      </w:pPr>
      <w:r w:rsidRPr="006056A9">
        <w:rPr>
          <w:lang w:val="fr-FR"/>
        </w:rPr>
        <w:t>Tout ceci n’exclut pas un débat plus général sur les conseils de prudence dans le domaine médical au sein du groupe de travail informel par correspondance chargé de l’amélioration des annexes 1 à 3 lors du prochain exercice biennal, notamment s’agissant du lien entre les conseils de prudence P310 à P312 et P313 à P315.</w:t>
      </w:r>
    </w:p>
    <w:p w:rsidR="00857E5A" w:rsidRPr="006056A9" w:rsidRDefault="006056A9" w:rsidP="006056A9">
      <w:pPr>
        <w:pStyle w:val="HChG"/>
        <w:rPr>
          <w:lang w:val="fr-FR"/>
        </w:rPr>
      </w:pPr>
      <w:r>
        <w:rPr>
          <w:lang w:val="fr-FR"/>
        </w:rPr>
        <w:br w:type="page"/>
      </w:r>
      <w:r w:rsidR="003421EE" w:rsidRPr="006056A9">
        <w:rPr>
          <w:lang w:val="fr-FR"/>
        </w:rPr>
        <w:lastRenderedPageBreak/>
        <w:t>Annexe</w:t>
      </w:r>
    </w:p>
    <w:p w:rsidR="00776392" w:rsidRDefault="006056A9" w:rsidP="005A407C">
      <w:pPr>
        <w:pStyle w:val="H23G"/>
        <w:ind w:right="0"/>
        <w:rPr>
          <w:lang w:val="fr-FR"/>
        </w:rPr>
      </w:pPr>
      <w:r>
        <w:rPr>
          <w:lang w:val="fr-FR"/>
        </w:rPr>
        <w:tab/>
      </w:r>
      <w:r>
        <w:rPr>
          <w:lang w:val="fr-FR"/>
        </w:rPr>
        <w:tab/>
      </w:r>
      <w:r w:rsidR="003421EE" w:rsidRPr="006056A9">
        <w:rPr>
          <w:lang w:val="fr-FR"/>
        </w:rPr>
        <w:t>Aperçu des problèmes posés par les différentes versions linguistiques dans la cinquième édition révisée du SGH</w:t>
      </w:r>
    </w:p>
    <w:tbl>
      <w:tblPr>
        <w:tblStyle w:val="TableGrid"/>
        <w:tblW w:w="8504" w:type="dxa"/>
        <w:tblInd w:w="1134" w:type="dxa"/>
        <w:tblLayout w:type="fixed"/>
        <w:tblLook w:val="04A0" w:firstRow="1" w:lastRow="0" w:firstColumn="1" w:lastColumn="0" w:noHBand="0" w:noVBand="1"/>
      </w:tblPr>
      <w:tblGrid>
        <w:gridCol w:w="651"/>
        <w:gridCol w:w="1762"/>
        <w:gridCol w:w="1764"/>
        <w:gridCol w:w="2463"/>
        <w:gridCol w:w="1864"/>
      </w:tblGrid>
      <w:tr w:rsidR="006056A9" w:rsidRPr="006056A9" w:rsidTr="00F35781">
        <w:trPr>
          <w:tblHeader/>
        </w:trPr>
        <w:tc>
          <w:tcPr>
            <w:tcW w:w="651" w:type="dxa"/>
            <w:shd w:val="clear" w:color="auto" w:fill="auto"/>
            <w:vAlign w:val="bottom"/>
          </w:tcPr>
          <w:p w:rsidR="006056A9" w:rsidRPr="006056A9" w:rsidRDefault="006056A9" w:rsidP="006056A9">
            <w:pPr>
              <w:spacing w:before="80" w:after="80" w:line="200" w:lineRule="exact"/>
              <w:ind w:left="28" w:right="113"/>
              <w:rPr>
                <w:i/>
                <w:sz w:val="16"/>
                <w:lang w:val="fr-FR"/>
              </w:rPr>
            </w:pPr>
          </w:p>
        </w:tc>
        <w:tc>
          <w:tcPr>
            <w:tcW w:w="1762" w:type="dxa"/>
            <w:shd w:val="clear" w:color="auto" w:fill="auto"/>
            <w:vAlign w:val="bottom"/>
          </w:tcPr>
          <w:p w:rsidR="006056A9" w:rsidRPr="006056A9" w:rsidRDefault="006056A9" w:rsidP="00F35781">
            <w:pPr>
              <w:spacing w:before="80" w:after="80" w:line="200" w:lineRule="exact"/>
              <w:ind w:left="28" w:right="113"/>
              <w:rPr>
                <w:i/>
                <w:sz w:val="16"/>
                <w:lang w:val="fr-FR"/>
              </w:rPr>
            </w:pPr>
            <w:r w:rsidRPr="006056A9">
              <w:rPr>
                <w:i/>
                <w:sz w:val="16"/>
                <w:lang w:val="fr-FR"/>
              </w:rPr>
              <w:t>P313 dans la</w:t>
            </w:r>
            <w:r w:rsidR="00F35781">
              <w:rPr>
                <w:i/>
                <w:sz w:val="16"/>
                <w:lang w:val="fr-FR"/>
              </w:rPr>
              <w:t xml:space="preserve"> </w:t>
            </w:r>
            <w:r w:rsidRPr="006056A9">
              <w:rPr>
                <w:i/>
                <w:sz w:val="16"/>
                <w:lang w:val="fr-FR"/>
              </w:rPr>
              <w:t>quatrième édition révisée</w:t>
            </w:r>
          </w:p>
        </w:tc>
        <w:tc>
          <w:tcPr>
            <w:tcW w:w="1764" w:type="dxa"/>
            <w:shd w:val="clear" w:color="auto" w:fill="auto"/>
            <w:vAlign w:val="bottom"/>
          </w:tcPr>
          <w:p w:rsidR="006056A9" w:rsidRPr="006056A9" w:rsidRDefault="006056A9" w:rsidP="00F35781">
            <w:pPr>
              <w:spacing w:before="80" w:after="80" w:line="200" w:lineRule="exact"/>
              <w:ind w:left="28" w:right="113"/>
              <w:rPr>
                <w:i/>
                <w:sz w:val="16"/>
                <w:lang w:val="fr-FR"/>
              </w:rPr>
            </w:pPr>
            <w:r w:rsidRPr="006056A9">
              <w:rPr>
                <w:i/>
                <w:sz w:val="16"/>
                <w:lang w:val="fr-FR"/>
              </w:rPr>
              <w:t>P313 dans la</w:t>
            </w:r>
            <w:r w:rsidR="00F35781">
              <w:rPr>
                <w:i/>
                <w:sz w:val="16"/>
                <w:lang w:val="fr-FR"/>
              </w:rPr>
              <w:t xml:space="preserve"> </w:t>
            </w:r>
            <w:r w:rsidRPr="006056A9">
              <w:rPr>
                <w:i/>
                <w:sz w:val="16"/>
                <w:lang w:val="fr-FR"/>
              </w:rPr>
              <w:t>cinquième édition</w:t>
            </w:r>
            <w:r w:rsidR="00F35781">
              <w:rPr>
                <w:i/>
                <w:sz w:val="16"/>
                <w:lang w:val="fr-FR"/>
              </w:rPr>
              <w:t xml:space="preserve"> </w:t>
            </w:r>
            <w:r w:rsidRPr="006056A9">
              <w:rPr>
                <w:i/>
                <w:sz w:val="16"/>
                <w:lang w:val="fr-FR"/>
              </w:rPr>
              <w:t>révisée</w:t>
            </w:r>
          </w:p>
        </w:tc>
        <w:tc>
          <w:tcPr>
            <w:tcW w:w="2463" w:type="dxa"/>
            <w:shd w:val="clear" w:color="auto" w:fill="auto"/>
            <w:vAlign w:val="bottom"/>
          </w:tcPr>
          <w:p w:rsidR="006056A9" w:rsidRPr="006056A9" w:rsidRDefault="006056A9" w:rsidP="006056A9">
            <w:pPr>
              <w:spacing w:before="80" w:after="80" w:line="200" w:lineRule="exact"/>
              <w:ind w:left="28" w:right="113"/>
              <w:rPr>
                <w:i/>
                <w:sz w:val="16"/>
                <w:lang w:val="fr-FR"/>
              </w:rPr>
            </w:pPr>
            <w:r w:rsidRPr="006056A9">
              <w:rPr>
                <w:i/>
                <w:sz w:val="16"/>
                <w:lang w:val="fr-FR"/>
              </w:rPr>
              <w:t>Condition relative à l’utilisation dans la cinquième édition révisée</w:t>
            </w:r>
          </w:p>
        </w:tc>
        <w:tc>
          <w:tcPr>
            <w:tcW w:w="1864" w:type="dxa"/>
            <w:shd w:val="clear" w:color="auto" w:fill="auto"/>
            <w:vAlign w:val="bottom"/>
          </w:tcPr>
          <w:p w:rsidR="006056A9" w:rsidRPr="006056A9" w:rsidRDefault="006056A9" w:rsidP="006056A9">
            <w:pPr>
              <w:spacing w:before="80" w:after="80" w:line="200" w:lineRule="exact"/>
              <w:ind w:left="28" w:right="113"/>
              <w:rPr>
                <w:i/>
                <w:sz w:val="16"/>
                <w:lang w:val="fr-FR"/>
              </w:rPr>
            </w:pPr>
            <w:r w:rsidRPr="006056A9">
              <w:rPr>
                <w:i/>
                <w:sz w:val="16"/>
                <w:lang w:val="fr-FR"/>
              </w:rPr>
              <w:t>Problèmes posés dans la cinquième édition révisée</w:t>
            </w:r>
          </w:p>
        </w:tc>
      </w:tr>
      <w:tr w:rsidR="006056A9" w:rsidRPr="006056A9" w:rsidTr="00F35781">
        <w:tc>
          <w:tcPr>
            <w:tcW w:w="651" w:type="dxa"/>
            <w:shd w:val="clear" w:color="auto" w:fill="auto"/>
          </w:tcPr>
          <w:p w:rsidR="006056A9" w:rsidRPr="006056A9" w:rsidRDefault="006056A9" w:rsidP="006056A9">
            <w:pPr>
              <w:spacing w:before="40" w:after="120"/>
              <w:ind w:left="28" w:right="113"/>
              <w:rPr>
                <w:lang w:val="fr-FR"/>
              </w:rPr>
            </w:pPr>
            <w:r w:rsidRPr="006056A9">
              <w:rPr>
                <w:lang w:val="fr-FR"/>
              </w:rPr>
              <w:t>EN</w:t>
            </w:r>
          </w:p>
        </w:tc>
        <w:tc>
          <w:tcPr>
            <w:tcW w:w="1762" w:type="dxa"/>
            <w:shd w:val="clear" w:color="auto" w:fill="auto"/>
          </w:tcPr>
          <w:p w:rsidR="006056A9" w:rsidRPr="006056A9" w:rsidRDefault="006056A9" w:rsidP="006056A9">
            <w:pPr>
              <w:spacing w:before="40" w:after="120"/>
              <w:ind w:left="28" w:right="113"/>
              <w:rPr>
                <w:lang w:val="fr-FR"/>
              </w:rPr>
            </w:pPr>
            <w:r w:rsidRPr="006056A9">
              <w:rPr>
                <w:lang w:val="fr-FR"/>
              </w:rPr>
              <w:t>Get medical advice/attention</w:t>
            </w:r>
          </w:p>
        </w:tc>
        <w:tc>
          <w:tcPr>
            <w:tcW w:w="1764" w:type="dxa"/>
            <w:shd w:val="clear" w:color="auto" w:fill="auto"/>
          </w:tcPr>
          <w:p w:rsidR="006056A9" w:rsidRPr="006056A9" w:rsidRDefault="006056A9" w:rsidP="006056A9">
            <w:pPr>
              <w:spacing w:before="40" w:after="120"/>
              <w:ind w:left="28" w:right="113"/>
              <w:rPr>
                <w:lang w:val="fr-FR"/>
              </w:rPr>
            </w:pPr>
            <w:r w:rsidRPr="006056A9">
              <w:rPr>
                <w:i/>
                <w:lang w:val="fr-FR"/>
              </w:rPr>
              <w:t>Pas de changement</w:t>
            </w:r>
          </w:p>
        </w:tc>
        <w:tc>
          <w:tcPr>
            <w:tcW w:w="2463" w:type="dxa"/>
            <w:shd w:val="clear" w:color="auto" w:fill="auto"/>
          </w:tcPr>
          <w:p w:rsidR="006056A9" w:rsidRPr="006056A9" w:rsidRDefault="006056A9" w:rsidP="00F35781">
            <w:pPr>
              <w:spacing w:before="40" w:after="120"/>
              <w:ind w:left="28" w:right="113"/>
              <w:rPr>
                <w:lang w:val="fr-FR"/>
              </w:rPr>
            </w:pPr>
            <w:r w:rsidRPr="006056A9">
              <w:rPr>
                <w:lang w:val="fr-FR"/>
              </w:rPr>
              <w:t>Manufacturer/supplier or the</w:t>
            </w:r>
            <w:r w:rsidR="00F35781">
              <w:rPr>
                <w:lang w:val="fr-FR"/>
              </w:rPr>
              <w:t> </w:t>
            </w:r>
            <w:r w:rsidRPr="006056A9">
              <w:rPr>
                <w:lang w:val="fr-FR"/>
              </w:rPr>
              <w:t>competent authority to select medical advice or attention as appropriate</w:t>
            </w:r>
          </w:p>
        </w:tc>
        <w:tc>
          <w:tcPr>
            <w:tcW w:w="1864" w:type="dxa"/>
            <w:shd w:val="clear" w:color="auto" w:fill="auto"/>
          </w:tcPr>
          <w:p w:rsidR="006056A9" w:rsidRPr="005A407C" w:rsidRDefault="006056A9" w:rsidP="004333F6">
            <w:pPr>
              <w:spacing w:before="40" w:after="120"/>
              <w:ind w:left="28" w:right="113"/>
              <w:rPr>
                <w:b/>
                <w:lang w:val="fr-FR"/>
              </w:rPr>
            </w:pPr>
            <w:r w:rsidRPr="005A407C">
              <w:rPr>
                <w:b/>
                <w:lang w:val="fr-FR"/>
              </w:rPr>
              <w:t>Pas de clarté pour les</w:t>
            </w:r>
            <w:r w:rsidR="004333F6" w:rsidRPr="005A407C">
              <w:rPr>
                <w:b/>
                <w:lang w:val="fr-FR"/>
              </w:rPr>
              <w:t> </w:t>
            </w:r>
            <w:r w:rsidRPr="005A407C">
              <w:rPr>
                <w:b/>
                <w:lang w:val="fr-FR"/>
              </w:rPr>
              <w:t>responsables</w:t>
            </w:r>
            <w:r w:rsidR="00F35781" w:rsidRPr="005A407C">
              <w:rPr>
                <w:b/>
                <w:lang w:val="fr-FR"/>
              </w:rPr>
              <w:t> </w:t>
            </w:r>
            <w:r w:rsidRPr="005A407C">
              <w:rPr>
                <w:b/>
                <w:lang w:val="fr-FR"/>
              </w:rPr>
              <w:t>; la</w:t>
            </w:r>
            <w:r w:rsidR="004333F6" w:rsidRPr="005A407C">
              <w:rPr>
                <w:b/>
                <w:lang w:val="fr-FR"/>
              </w:rPr>
              <w:t> </w:t>
            </w:r>
            <w:r w:rsidRPr="005A407C">
              <w:rPr>
                <w:b/>
                <w:lang w:val="fr-FR"/>
              </w:rPr>
              <w:t xml:space="preserve">distinction entre </w:t>
            </w:r>
            <w:r w:rsidR="00F35781" w:rsidRPr="005A407C">
              <w:rPr>
                <w:b/>
                <w:lang w:val="fr-FR"/>
              </w:rPr>
              <w:t>« </w:t>
            </w:r>
            <w:r w:rsidRPr="005A407C">
              <w:rPr>
                <w:b/>
                <w:lang w:val="fr-FR"/>
              </w:rPr>
              <w:t>medical advice</w:t>
            </w:r>
            <w:r w:rsidR="00F35781" w:rsidRPr="005A407C">
              <w:rPr>
                <w:b/>
                <w:lang w:val="fr-FR"/>
              </w:rPr>
              <w:t> »</w:t>
            </w:r>
            <w:r w:rsidRPr="005A407C">
              <w:rPr>
                <w:b/>
                <w:lang w:val="fr-FR"/>
              </w:rPr>
              <w:t xml:space="preserve"> et </w:t>
            </w:r>
            <w:r w:rsidR="00F35781" w:rsidRPr="005A407C">
              <w:rPr>
                <w:b/>
                <w:lang w:val="fr-FR"/>
              </w:rPr>
              <w:t>« </w:t>
            </w:r>
            <w:r w:rsidRPr="005A407C">
              <w:rPr>
                <w:b/>
                <w:lang w:val="fr-FR"/>
              </w:rPr>
              <w:t>medical attention</w:t>
            </w:r>
            <w:r w:rsidR="00F35781" w:rsidRPr="005A407C">
              <w:rPr>
                <w:b/>
                <w:lang w:val="fr-FR"/>
              </w:rPr>
              <w:t> »</w:t>
            </w:r>
            <w:r w:rsidRPr="005A407C">
              <w:rPr>
                <w:b/>
                <w:lang w:val="fr-FR"/>
              </w:rPr>
              <w:t xml:space="preserve"> n’est pas claire</w:t>
            </w:r>
          </w:p>
        </w:tc>
      </w:tr>
      <w:tr w:rsidR="006056A9" w:rsidRPr="006056A9" w:rsidTr="00F35781">
        <w:tc>
          <w:tcPr>
            <w:tcW w:w="651" w:type="dxa"/>
            <w:shd w:val="clear" w:color="auto" w:fill="auto"/>
          </w:tcPr>
          <w:p w:rsidR="006056A9" w:rsidRPr="006056A9" w:rsidRDefault="006056A9" w:rsidP="006056A9">
            <w:pPr>
              <w:spacing w:before="40" w:after="120"/>
              <w:ind w:left="28" w:right="113"/>
              <w:rPr>
                <w:lang w:val="fr-FR"/>
              </w:rPr>
            </w:pPr>
            <w:r w:rsidRPr="006056A9">
              <w:rPr>
                <w:lang w:val="fr-FR"/>
              </w:rPr>
              <w:t>FR</w:t>
            </w:r>
          </w:p>
        </w:tc>
        <w:tc>
          <w:tcPr>
            <w:tcW w:w="1762" w:type="dxa"/>
            <w:shd w:val="clear" w:color="auto" w:fill="auto"/>
          </w:tcPr>
          <w:p w:rsidR="006056A9" w:rsidRPr="006056A9" w:rsidRDefault="006056A9" w:rsidP="006056A9">
            <w:pPr>
              <w:spacing w:before="40" w:after="120"/>
              <w:ind w:left="28" w:right="113"/>
              <w:rPr>
                <w:lang w:val="fr-FR"/>
              </w:rPr>
            </w:pPr>
            <w:r w:rsidRPr="006056A9">
              <w:rPr>
                <w:lang w:val="fr-FR"/>
              </w:rPr>
              <w:t>Consulter un médecin</w:t>
            </w:r>
          </w:p>
        </w:tc>
        <w:tc>
          <w:tcPr>
            <w:tcW w:w="1764" w:type="dxa"/>
            <w:shd w:val="clear" w:color="auto" w:fill="auto"/>
          </w:tcPr>
          <w:p w:rsidR="006056A9" w:rsidRPr="006056A9" w:rsidRDefault="006056A9" w:rsidP="00F35781">
            <w:pPr>
              <w:spacing w:before="40" w:after="120"/>
              <w:ind w:left="28" w:right="113"/>
              <w:rPr>
                <w:lang w:val="fr-FR"/>
              </w:rPr>
            </w:pPr>
            <w:r w:rsidRPr="006056A9">
              <w:rPr>
                <w:lang w:val="fr-FR"/>
              </w:rPr>
              <w:t>Demander un avis medical/Consulter un</w:t>
            </w:r>
            <w:r w:rsidR="00F35781">
              <w:rPr>
                <w:lang w:val="fr-FR"/>
              </w:rPr>
              <w:t xml:space="preserve"> </w:t>
            </w:r>
            <w:r w:rsidRPr="006056A9">
              <w:rPr>
                <w:lang w:val="fr-FR"/>
              </w:rPr>
              <w:t>médecin</w:t>
            </w:r>
          </w:p>
        </w:tc>
        <w:tc>
          <w:tcPr>
            <w:tcW w:w="2463" w:type="dxa"/>
            <w:shd w:val="clear" w:color="auto" w:fill="auto"/>
          </w:tcPr>
          <w:p w:rsidR="006056A9" w:rsidRPr="006056A9" w:rsidRDefault="006056A9" w:rsidP="00F35781">
            <w:pPr>
              <w:spacing w:before="40" w:after="120"/>
              <w:ind w:left="28" w:right="113"/>
              <w:rPr>
                <w:lang w:val="fr-FR"/>
              </w:rPr>
            </w:pPr>
            <w:r w:rsidRPr="006056A9">
              <w:rPr>
                <w:lang w:val="fr-FR"/>
              </w:rPr>
              <w:t>Il revient au fabricant/</w:t>
            </w:r>
            <w:r w:rsidR="00F35781">
              <w:rPr>
                <w:lang w:val="fr-FR"/>
              </w:rPr>
              <w:br/>
            </w:r>
            <w:r w:rsidRPr="006056A9">
              <w:rPr>
                <w:lang w:val="fr-FR"/>
              </w:rPr>
              <w:t>fournisseur ou à l</w:t>
            </w:r>
            <w:r w:rsidR="00F35781">
              <w:rPr>
                <w:lang w:val="fr-FR"/>
              </w:rPr>
              <w:t>’</w:t>
            </w:r>
            <w:r w:rsidRPr="006056A9">
              <w:rPr>
                <w:lang w:val="fr-FR"/>
              </w:rPr>
              <w:t>autorité compétente de sélectionner la mention (demander ou consulter) appropriée</w:t>
            </w:r>
          </w:p>
        </w:tc>
        <w:tc>
          <w:tcPr>
            <w:tcW w:w="1864" w:type="dxa"/>
            <w:shd w:val="clear" w:color="auto" w:fill="auto"/>
          </w:tcPr>
          <w:p w:rsidR="006056A9" w:rsidRPr="005A407C" w:rsidRDefault="00F35781" w:rsidP="00F35781">
            <w:pPr>
              <w:spacing w:before="40" w:after="120"/>
              <w:ind w:left="28" w:right="113"/>
              <w:rPr>
                <w:b/>
                <w:lang w:val="fr-FR"/>
              </w:rPr>
            </w:pPr>
            <w:r w:rsidRPr="005A407C">
              <w:rPr>
                <w:b/>
                <w:lang w:val="fr-FR"/>
              </w:rPr>
              <w:t>−</w:t>
            </w:r>
          </w:p>
        </w:tc>
      </w:tr>
      <w:tr w:rsidR="006056A9" w:rsidRPr="006056A9" w:rsidTr="00F35781">
        <w:tc>
          <w:tcPr>
            <w:tcW w:w="651" w:type="dxa"/>
            <w:shd w:val="clear" w:color="auto" w:fill="auto"/>
          </w:tcPr>
          <w:p w:rsidR="006056A9" w:rsidRPr="006056A9" w:rsidRDefault="006056A9" w:rsidP="006056A9">
            <w:pPr>
              <w:spacing w:before="40" w:after="120"/>
              <w:ind w:left="28" w:right="113"/>
              <w:rPr>
                <w:lang w:val="fr-FR"/>
              </w:rPr>
            </w:pPr>
            <w:r w:rsidRPr="006056A9">
              <w:rPr>
                <w:lang w:val="fr-FR"/>
              </w:rPr>
              <w:t>ES</w:t>
            </w:r>
          </w:p>
        </w:tc>
        <w:tc>
          <w:tcPr>
            <w:tcW w:w="1762" w:type="dxa"/>
            <w:shd w:val="clear" w:color="auto" w:fill="auto"/>
          </w:tcPr>
          <w:p w:rsidR="006056A9" w:rsidRPr="006056A9" w:rsidRDefault="006056A9" w:rsidP="006056A9">
            <w:pPr>
              <w:spacing w:before="40" w:after="120"/>
              <w:ind w:left="28" w:right="113"/>
              <w:rPr>
                <w:lang w:val="fr-FR"/>
              </w:rPr>
            </w:pPr>
            <w:r w:rsidRPr="006056A9">
              <w:rPr>
                <w:lang w:val="fr-FR"/>
              </w:rPr>
              <w:t>Consultar a un médico</w:t>
            </w:r>
          </w:p>
        </w:tc>
        <w:tc>
          <w:tcPr>
            <w:tcW w:w="1764" w:type="dxa"/>
            <w:shd w:val="clear" w:color="auto" w:fill="auto"/>
          </w:tcPr>
          <w:p w:rsidR="006056A9" w:rsidRPr="006056A9" w:rsidRDefault="006056A9" w:rsidP="006056A9">
            <w:pPr>
              <w:spacing w:before="40" w:after="120"/>
              <w:ind w:left="28" w:right="113"/>
              <w:rPr>
                <w:i/>
                <w:lang w:val="fr-FR"/>
              </w:rPr>
            </w:pPr>
            <w:r w:rsidRPr="006056A9">
              <w:rPr>
                <w:i/>
                <w:lang w:val="fr-FR"/>
              </w:rPr>
              <w:t>Pas de changement</w:t>
            </w:r>
          </w:p>
        </w:tc>
        <w:tc>
          <w:tcPr>
            <w:tcW w:w="2463" w:type="dxa"/>
            <w:shd w:val="clear" w:color="auto" w:fill="auto"/>
          </w:tcPr>
          <w:p w:rsidR="006056A9" w:rsidRPr="006056A9" w:rsidRDefault="006056A9" w:rsidP="00F35781">
            <w:pPr>
              <w:spacing w:before="40" w:after="120"/>
              <w:ind w:left="28" w:right="113"/>
              <w:rPr>
                <w:lang w:val="fr-FR"/>
              </w:rPr>
            </w:pPr>
            <w:r w:rsidRPr="006056A9">
              <w:rPr>
                <w:lang w:val="fr-FR"/>
              </w:rPr>
              <w:t xml:space="preserve">El fabricante/proveedor </w:t>
            </w:r>
            <w:r w:rsidR="00F35781">
              <w:rPr>
                <w:lang w:val="fr-FR"/>
              </w:rPr>
              <w:br/>
            </w:r>
            <w:r w:rsidRPr="006056A9">
              <w:rPr>
                <w:lang w:val="fr-FR"/>
              </w:rPr>
              <w:t>o la autoridad competente seleccionarán, según</w:t>
            </w:r>
            <w:r w:rsidR="00F35781">
              <w:rPr>
                <w:lang w:val="fr-FR"/>
              </w:rPr>
              <w:t xml:space="preserve"> </w:t>
            </w:r>
            <w:r w:rsidRPr="006056A9">
              <w:rPr>
                <w:lang w:val="fr-FR"/>
              </w:rPr>
              <w:t>proceda, el asesoramiento o</w:t>
            </w:r>
            <w:r w:rsidR="00F35781">
              <w:rPr>
                <w:lang w:val="fr-FR"/>
              </w:rPr>
              <w:t> </w:t>
            </w:r>
            <w:r w:rsidRPr="006056A9">
              <w:rPr>
                <w:lang w:val="fr-FR"/>
              </w:rPr>
              <w:t>la atención médica que hayan de prestarse.</w:t>
            </w:r>
          </w:p>
        </w:tc>
        <w:tc>
          <w:tcPr>
            <w:tcW w:w="1864" w:type="dxa"/>
            <w:shd w:val="clear" w:color="auto" w:fill="auto"/>
          </w:tcPr>
          <w:p w:rsidR="006056A9" w:rsidRPr="005A407C" w:rsidRDefault="006056A9" w:rsidP="00F35781">
            <w:pPr>
              <w:spacing w:before="40" w:after="120"/>
              <w:ind w:left="28" w:right="113"/>
              <w:rPr>
                <w:b/>
                <w:lang w:val="fr-FR"/>
              </w:rPr>
            </w:pPr>
            <w:r w:rsidRPr="005A407C">
              <w:rPr>
                <w:b/>
                <w:lang w:val="fr-FR"/>
              </w:rPr>
              <w:t>Incohérence</w:t>
            </w:r>
            <w:r w:rsidR="00F35781" w:rsidRPr="005A407C">
              <w:rPr>
                <w:b/>
                <w:lang w:val="fr-FR"/>
              </w:rPr>
              <w:t> </w:t>
            </w:r>
            <w:r w:rsidRPr="005A407C">
              <w:rPr>
                <w:b/>
                <w:lang w:val="fr-FR"/>
              </w:rPr>
              <w:t>: la condition relative à</w:t>
            </w:r>
            <w:r w:rsidR="00F35781" w:rsidRPr="005A407C">
              <w:rPr>
                <w:b/>
                <w:lang w:val="fr-FR"/>
              </w:rPr>
              <w:t> </w:t>
            </w:r>
            <w:r w:rsidRPr="005A407C">
              <w:rPr>
                <w:b/>
                <w:lang w:val="fr-FR"/>
              </w:rPr>
              <w:t>l’utilisation ne correspond pas au conseil de prudence</w:t>
            </w:r>
          </w:p>
        </w:tc>
      </w:tr>
      <w:tr w:rsidR="006056A9" w:rsidRPr="006056A9" w:rsidTr="00F35781">
        <w:tc>
          <w:tcPr>
            <w:tcW w:w="651" w:type="dxa"/>
            <w:shd w:val="clear" w:color="auto" w:fill="auto"/>
          </w:tcPr>
          <w:p w:rsidR="006056A9" w:rsidRPr="006056A9" w:rsidRDefault="006056A9" w:rsidP="006056A9">
            <w:pPr>
              <w:spacing w:before="40" w:after="120"/>
              <w:ind w:left="28" w:right="113"/>
              <w:rPr>
                <w:lang w:val="fr-FR"/>
              </w:rPr>
            </w:pPr>
            <w:r w:rsidRPr="006056A9">
              <w:rPr>
                <w:lang w:val="fr-FR"/>
              </w:rPr>
              <w:t>RU</w:t>
            </w:r>
          </w:p>
        </w:tc>
        <w:tc>
          <w:tcPr>
            <w:tcW w:w="1762" w:type="dxa"/>
            <w:shd w:val="clear" w:color="auto" w:fill="auto"/>
          </w:tcPr>
          <w:p w:rsidR="006056A9" w:rsidRPr="006056A9" w:rsidRDefault="006056A9" w:rsidP="006056A9">
            <w:pPr>
              <w:spacing w:before="40" w:after="120"/>
              <w:ind w:left="28" w:right="113"/>
              <w:rPr>
                <w:lang w:val="fr-FR"/>
              </w:rPr>
            </w:pPr>
            <w:r w:rsidRPr="006056A9">
              <w:rPr>
                <w:lang w:val="fr-FR"/>
              </w:rPr>
              <w:t>Обратиться к врачу</w:t>
            </w:r>
          </w:p>
        </w:tc>
        <w:tc>
          <w:tcPr>
            <w:tcW w:w="1764" w:type="dxa"/>
            <w:shd w:val="clear" w:color="auto" w:fill="auto"/>
          </w:tcPr>
          <w:p w:rsidR="006056A9" w:rsidRPr="006056A9" w:rsidRDefault="006056A9" w:rsidP="006056A9">
            <w:pPr>
              <w:spacing w:before="40" w:after="120"/>
              <w:ind w:left="28" w:right="113"/>
              <w:rPr>
                <w:i/>
                <w:lang w:val="fr-FR"/>
              </w:rPr>
            </w:pPr>
            <w:r w:rsidRPr="006056A9">
              <w:rPr>
                <w:i/>
                <w:lang w:val="fr-FR"/>
              </w:rPr>
              <w:t>Pas de changement</w:t>
            </w:r>
          </w:p>
        </w:tc>
        <w:tc>
          <w:tcPr>
            <w:tcW w:w="2463" w:type="dxa"/>
            <w:shd w:val="clear" w:color="auto" w:fill="auto"/>
          </w:tcPr>
          <w:p w:rsidR="006056A9" w:rsidRPr="006056A9" w:rsidRDefault="006056A9" w:rsidP="00F35781">
            <w:pPr>
              <w:spacing w:before="40" w:after="120"/>
              <w:ind w:left="28" w:right="113"/>
              <w:rPr>
                <w:lang w:val="fr-FR"/>
              </w:rPr>
            </w:pPr>
            <w:r w:rsidRPr="006056A9">
              <w:rPr>
                <w:lang w:val="fr-FR"/>
              </w:rPr>
              <w:t>Изготовителю/поставщику или компетентному органу в соответствующих случаях надлежит определить необходимость обращения за консультацией или помощью к врачу.</w:t>
            </w:r>
          </w:p>
        </w:tc>
        <w:tc>
          <w:tcPr>
            <w:tcW w:w="1864" w:type="dxa"/>
            <w:shd w:val="clear" w:color="auto" w:fill="auto"/>
          </w:tcPr>
          <w:p w:rsidR="006056A9" w:rsidRPr="005A407C" w:rsidRDefault="006056A9" w:rsidP="00F35781">
            <w:pPr>
              <w:spacing w:before="40" w:after="120"/>
              <w:ind w:left="28" w:right="113"/>
              <w:rPr>
                <w:b/>
                <w:lang w:val="fr-FR"/>
              </w:rPr>
            </w:pPr>
            <w:r w:rsidRPr="005A407C">
              <w:rPr>
                <w:b/>
                <w:lang w:val="fr-FR"/>
              </w:rPr>
              <w:t>Incohérence</w:t>
            </w:r>
            <w:r w:rsidR="00F35781" w:rsidRPr="005A407C">
              <w:rPr>
                <w:b/>
                <w:lang w:val="fr-FR"/>
              </w:rPr>
              <w:t> </w:t>
            </w:r>
            <w:r w:rsidRPr="005A407C">
              <w:rPr>
                <w:b/>
                <w:lang w:val="fr-FR"/>
              </w:rPr>
              <w:t>: la condition relative à</w:t>
            </w:r>
            <w:r w:rsidR="00F35781" w:rsidRPr="005A407C">
              <w:rPr>
                <w:b/>
                <w:lang w:val="fr-FR"/>
              </w:rPr>
              <w:t> </w:t>
            </w:r>
            <w:r w:rsidRPr="005A407C">
              <w:rPr>
                <w:b/>
                <w:lang w:val="fr-FR"/>
              </w:rPr>
              <w:t>l’utilisation ne correspond pas au conseil de prudence</w:t>
            </w:r>
          </w:p>
        </w:tc>
      </w:tr>
    </w:tbl>
    <w:p w:rsidR="00776392" w:rsidRPr="006056A9" w:rsidRDefault="006056A9" w:rsidP="006056A9">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776392" w:rsidRPr="006056A9" w:rsidSect="00776392">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A48" w:rsidRDefault="00851A48" w:rsidP="00F95C08">
      <w:pPr>
        <w:spacing w:line="240" w:lineRule="auto"/>
      </w:pPr>
    </w:p>
  </w:endnote>
  <w:endnote w:type="continuationSeparator" w:id="0">
    <w:p w:rsidR="00851A48" w:rsidRPr="00AC3823" w:rsidRDefault="00851A48" w:rsidP="00AC3823">
      <w:pPr>
        <w:pStyle w:val="Footer"/>
      </w:pPr>
    </w:p>
  </w:endnote>
  <w:endnote w:type="continuationNotice" w:id="1">
    <w:p w:rsidR="00851A48" w:rsidRDefault="00851A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312">
    <w:altName w:val="Arial Unicode MS"/>
    <w:panose1 w:val="00000000000000000000"/>
    <w:charset w:val="86"/>
    <w:family w:val="swiss"/>
    <w:notTrueType/>
    <w:pitch w:val="default"/>
    <w:sig w:usb0="00000001" w:usb1="080E0000" w:usb2="00000010" w:usb3="00000000" w:csb0="00040000"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392" w:rsidRPr="00776392" w:rsidRDefault="00776392" w:rsidP="00776392">
    <w:pPr>
      <w:pStyle w:val="Footer"/>
      <w:tabs>
        <w:tab w:val="right" w:pos="9638"/>
      </w:tabs>
    </w:pPr>
    <w:r w:rsidRPr="00776392">
      <w:rPr>
        <w:b/>
        <w:sz w:val="18"/>
      </w:rPr>
      <w:fldChar w:fldCharType="begin"/>
    </w:r>
    <w:r w:rsidRPr="00776392">
      <w:rPr>
        <w:b/>
        <w:sz w:val="18"/>
      </w:rPr>
      <w:instrText xml:space="preserve"> PAGE  \* MERGEFORMAT </w:instrText>
    </w:r>
    <w:r w:rsidRPr="00776392">
      <w:rPr>
        <w:b/>
        <w:sz w:val="18"/>
      </w:rPr>
      <w:fldChar w:fldCharType="separate"/>
    </w:r>
    <w:r w:rsidR="00D04244">
      <w:rPr>
        <w:b/>
        <w:noProof/>
        <w:sz w:val="18"/>
      </w:rPr>
      <w:t>4</w:t>
    </w:r>
    <w:r w:rsidRPr="00776392">
      <w:rPr>
        <w:b/>
        <w:sz w:val="18"/>
      </w:rPr>
      <w:fldChar w:fldCharType="end"/>
    </w:r>
    <w:r>
      <w:rPr>
        <w:b/>
        <w:sz w:val="18"/>
      </w:rPr>
      <w:tab/>
    </w:r>
    <w:r>
      <w:t>GE.16-16542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392" w:rsidRPr="00776392" w:rsidRDefault="00776392" w:rsidP="00776392">
    <w:pPr>
      <w:pStyle w:val="Footer"/>
      <w:tabs>
        <w:tab w:val="right" w:pos="9638"/>
      </w:tabs>
      <w:rPr>
        <w:b/>
        <w:sz w:val="18"/>
      </w:rPr>
    </w:pPr>
    <w:r>
      <w:t>GE.16-16542</w:t>
    </w:r>
    <w:r>
      <w:tab/>
    </w:r>
    <w:r w:rsidRPr="00776392">
      <w:rPr>
        <w:b/>
        <w:sz w:val="18"/>
      </w:rPr>
      <w:fldChar w:fldCharType="begin"/>
    </w:r>
    <w:r w:rsidRPr="00776392">
      <w:rPr>
        <w:b/>
        <w:sz w:val="18"/>
      </w:rPr>
      <w:instrText xml:space="preserve"> PAGE  \* MERGEFORMAT </w:instrText>
    </w:r>
    <w:r w:rsidRPr="00776392">
      <w:rPr>
        <w:b/>
        <w:sz w:val="18"/>
      </w:rPr>
      <w:fldChar w:fldCharType="separate"/>
    </w:r>
    <w:r w:rsidR="00D04244">
      <w:rPr>
        <w:b/>
        <w:noProof/>
        <w:sz w:val="18"/>
      </w:rPr>
      <w:t>3</w:t>
    </w:r>
    <w:r w:rsidRPr="0077639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776392" w:rsidRDefault="00776392" w:rsidP="00776392">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40C84861" wp14:editId="5E8D9065">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16-16542  (F)    181016    181016</w:t>
    </w:r>
    <w:r>
      <w:rPr>
        <w:sz w:val="20"/>
      </w:rPr>
      <w:br/>
    </w:r>
    <w:r w:rsidRPr="00776392">
      <w:rPr>
        <w:rFonts w:ascii="C39T30Lfz" w:hAnsi="C39T30Lfz"/>
        <w:sz w:val="56"/>
      </w:rPr>
      <w:t></w:t>
    </w:r>
    <w:r w:rsidRPr="00776392">
      <w:rPr>
        <w:rFonts w:ascii="C39T30Lfz" w:hAnsi="C39T30Lfz"/>
        <w:sz w:val="56"/>
      </w:rPr>
      <w:t></w:t>
    </w:r>
    <w:r w:rsidRPr="00776392">
      <w:rPr>
        <w:rFonts w:ascii="C39T30Lfz" w:hAnsi="C39T30Lfz"/>
        <w:sz w:val="56"/>
      </w:rPr>
      <w:t></w:t>
    </w:r>
    <w:r w:rsidRPr="00776392">
      <w:rPr>
        <w:rFonts w:ascii="C39T30Lfz" w:hAnsi="C39T30Lfz"/>
        <w:sz w:val="56"/>
      </w:rPr>
      <w:t></w:t>
    </w:r>
    <w:r w:rsidRPr="00776392">
      <w:rPr>
        <w:rFonts w:ascii="C39T30Lfz" w:hAnsi="C39T30Lfz"/>
        <w:sz w:val="56"/>
      </w:rPr>
      <w:t></w:t>
    </w:r>
    <w:r w:rsidRPr="00776392">
      <w:rPr>
        <w:rFonts w:ascii="C39T30Lfz" w:hAnsi="C39T30Lfz"/>
        <w:sz w:val="56"/>
      </w:rPr>
      <w:t></w:t>
    </w:r>
    <w:r w:rsidRPr="00776392">
      <w:rPr>
        <w:rFonts w:ascii="C39T30Lfz" w:hAnsi="C39T30Lfz"/>
        <w:sz w:val="56"/>
      </w:rPr>
      <w:t></w:t>
    </w:r>
    <w:r w:rsidRPr="00776392">
      <w:rPr>
        <w:rFonts w:ascii="C39T30Lfz" w:hAnsi="C39T30Lfz"/>
        <w:sz w:val="56"/>
      </w:rPr>
      <w:t></w:t>
    </w:r>
    <w:r w:rsidRPr="00776392">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4/2016/2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4/2016/2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A48" w:rsidRPr="00AC3823" w:rsidRDefault="00851A48" w:rsidP="00AC3823">
      <w:pPr>
        <w:pStyle w:val="Footer"/>
        <w:tabs>
          <w:tab w:val="right" w:pos="2155"/>
        </w:tabs>
        <w:spacing w:after="80" w:line="240" w:lineRule="atLeast"/>
        <w:ind w:left="680"/>
        <w:rPr>
          <w:u w:val="single"/>
        </w:rPr>
      </w:pPr>
      <w:r>
        <w:rPr>
          <w:u w:val="single"/>
        </w:rPr>
        <w:tab/>
      </w:r>
    </w:p>
  </w:footnote>
  <w:footnote w:type="continuationSeparator" w:id="0">
    <w:p w:rsidR="00851A48" w:rsidRPr="00AC3823" w:rsidRDefault="00851A48" w:rsidP="00AC3823">
      <w:pPr>
        <w:pStyle w:val="Footer"/>
        <w:tabs>
          <w:tab w:val="right" w:pos="2155"/>
        </w:tabs>
        <w:spacing w:after="80" w:line="240" w:lineRule="atLeast"/>
        <w:ind w:left="680"/>
        <w:rPr>
          <w:u w:val="single"/>
        </w:rPr>
      </w:pPr>
      <w:r>
        <w:rPr>
          <w:u w:val="single"/>
        </w:rPr>
        <w:tab/>
      </w:r>
    </w:p>
  </w:footnote>
  <w:footnote w:type="continuationNotice" w:id="1">
    <w:p w:rsidR="00851A48" w:rsidRPr="00AC3823" w:rsidRDefault="00851A48">
      <w:pPr>
        <w:spacing w:line="240" w:lineRule="auto"/>
        <w:rPr>
          <w:sz w:val="2"/>
          <w:szCs w:val="2"/>
        </w:rPr>
      </w:pPr>
    </w:p>
  </w:footnote>
  <w:footnote w:id="2">
    <w:p w:rsidR="00776392" w:rsidRDefault="00776392">
      <w:pPr>
        <w:pStyle w:val="FootnoteText"/>
      </w:pPr>
      <w:r>
        <w:tab/>
      </w:r>
      <w:r>
        <w:rPr>
          <w:rStyle w:val="FootnoteReference"/>
        </w:rPr>
        <w:footnoteRef/>
      </w:r>
      <w:r>
        <w:tab/>
      </w:r>
      <w:r w:rsidR="003421EE" w:rsidRPr="00776392">
        <w:t>Conformément au programme de travail du Sous-Comité pour 2015</w:t>
      </w:r>
      <w:r>
        <w:t>-</w:t>
      </w:r>
      <w:r w:rsidR="003421EE" w:rsidRPr="00776392">
        <w:t>2016</w:t>
      </w:r>
      <w:r>
        <w:t>, adopté par le Comité à sa </w:t>
      </w:r>
      <w:r w:rsidR="003421EE" w:rsidRPr="00776392">
        <w:t>septième session (voir ST/SG/AC.10/C.3/92, par.</w:t>
      </w:r>
      <w:r>
        <w:t> </w:t>
      </w:r>
      <w:r w:rsidR="003421EE" w:rsidRPr="00776392">
        <w:t>95 et ST/SG/AC.10/42, par. 15).</w:t>
      </w:r>
    </w:p>
  </w:footnote>
  <w:footnote w:id="3">
    <w:p w:rsidR="00776392" w:rsidRDefault="00776392" w:rsidP="00776392">
      <w:pPr>
        <w:pStyle w:val="FootnoteText"/>
      </w:pPr>
      <w:r>
        <w:tab/>
      </w:r>
      <w:r w:rsidRPr="00857E5A">
        <w:rPr>
          <w:rStyle w:val="FootnoteReference"/>
        </w:rPr>
        <w:footnoteRef/>
      </w:r>
      <w:r>
        <w:tab/>
        <w:t xml:space="preserve">Voir document informel </w:t>
      </w:r>
      <w:r w:rsidRPr="00042140">
        <w:t>INF.19</w:t>
      </w:r>
      <w:r>
        <w:t xml:space="preserve"> (trente et unième session).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392" w:rsidRPr="00776392" w:rsidRDefault="00776392">
    <w:pPr>
      <w:pStyle w:val="Header"/>
    </w:pPr>
    <w:r>
      <w:t>ST/SG/AC.10/C.4/2016/20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392" w:rsidRPr="00776392" w:rsidRDefault="00776392" w:rsidP="00776392">
    <w:pPr>
      <w:pStyle w:val="Header"/>
      <w:jc w:val="right"/>
    </w:pPr>
    <w:r>
      <w:t>ST/SG/AC.10/C.4/2016/20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A48"/>
    <w:rsid w:val="00007471"/>
    <w:rsid w:val="00017F94"/>
    <w:rsid w:val="00023842"/>
    <w:rsid w:val="000305D3"/>
    <w:rsid w:val="000334F9"/>
    <w:rsid w:val="0007796D"/>
    <w:rsid w:val="000B1298"/>
    <w:rsid w:val="000B249E"/>
    <w:rsid w:val="000B7790"/>
    <w:rsid w:val="00111F2F"/>
    <w:rsid w:val="00132EA9"/>
    <w:rsid w:val="0014365E"/>
    <w:rsid w:val="00160560"/>
    <w:rsid w:val="00176178"/>
    <w:rsid w:val="001D2F25"/>
    <w:rsid w:val="001F525A"/>
    <w:rsid w:val="00223272"/>
    <w:rsid w:val="0024779E"/>
    <w:rsid w:val="00283190"/>
    <w:rsid w:val="002832AC"/>
    <w:rsid w:val="002D7C93"/>
    <w:rsid w:val="003125D2"/>
    <w:rsid w:val="00312CCE"/>
    <w:rsid w:val="003421EE"/>
    <w:rsid w:val="0036389C"/>
    <w:rsid w:val="004333F6"/>
    <w:rsid w:val="00441C3B"/>
    <w:rsid w:val="00446FE5"/>
    <w:rsid w:val="00452396"/>
    <w:rsid w:val="004E468C"/>
    <w:rsid w:val="005505B7"/>
    <w:rsid w:val="00573BE5"/>
    <w:rsid w:val="00586ED3"/>
    <w:rsid w:val="00596AA9"/>
    <w:rsid w:val="005A407C"/>
    <w:rsid w:val="006056A9"/>
    <w:rsid w:val="00676168"/>
    <w:rsid w:val="0068456F"/>
    <w:rsid w:val="0071601D"/>
    <w:rsid w:val="00776392"/>
    <w:rsid w:val="007A62E6"/>
    <w:rsid w:val="0080684C"/>
    <w:rsid w:val="00851A48"/>
    <w:rsid w:val="00871C75"/>
    <w:rsid w:val="008776DC"/>
    <w:rsid w:val="009705C8"/>
    <w:rsid w:val="009C1CF4"/>
    <w:rsid w:val="00A30353"/>
    <w:rsid w:val="00AC3823"/>
    <w:rsid w:val="00AE323C"/>
    <w:rsid w:val="00AF5AD7"/>
    <w:rsid w:val="00B00181"/>
    <w:rsid w:val="00B00B0D"/>
    <w:rsid w:val="00B765F7"/>
    <w:rsid w:val="00BA0CA9"/>
    <w:rsid w:val="00C02897"/>
    <w:rsid w:val="00D04244"/>
    <w:rsid w:val="00D3439C"/>
    <w:rsid w:val="00DB1831"/>
    <w:rsid w:val="00DD3BFD"/>
    <w:rsid w:val="00DF6678"/>
    <w:rsid w:val="00EF2E22"/>
    <w:rsid w:val="00F35781"/>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DAEFF-B773-4F0F-A2CA-A09342CBD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954</Words>
  <Characters>5442</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ST/SG/AC.10/C.4/2016/20</vt:lpstr>
      <vt:lpstr>ST/SG/AC.10/C.4/2016/20</vt:lpstr>
    </vt:vector>
  </TitlesOfParts>
  <Company>DCM</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ST/SG/AC.10/C.4/2016/20</dc:title>
  <dc:subject>final</dc:subject>
  <dc:creator>Deschamps</dc:creator>
  <cp:lastModifiedBy>Laurence Berthet</cp:lastModifiedBy>
  <cp:revision>2</cp:revision>
  <cp:lastPrinted>2016-10-18T13:07:00Z</cp:lastPrinted>
  <dcterms:created xsi:type="dcterms:W3CDTF">2016-10-18T13:07:00Z</dcterms:created>
  <dcterms:modified xsi:type="dcterms:W3CDTF">2016-10-18T13:07:00Z</dcterms:modified>
</cp:coreProperties>
</file>