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C0FA4">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C0FA4" w:rsidP="001C0FA4">
            <w:pPr>
              <w:jc w:val="right"/>
            </w:pPr>
            <w:r w:rsidRPr="001C0FA4">
              <w:rPr>
                <w:sz w:val="40"/>
              </w:rPr>
              <w:t>ST</w:t>
            </w:r>
            <w:r>
              <w:t>/SG/AC.10/C.4/2016/21</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C0FA4" w:rsidP="009C3129">
            <w:pPr>
              <w:spacing w:before="240"/>
            </w:pPr>
            <w:r>
              <w:t>Distr. générale</w:t>
            </w:r>
          </w:p>
          <w:p w:rsidR="001C0FA4" w:rsidRDefault="001C0FA4" w:rsidP="001C0FA4">
            <w:pPr>
              <w:spacing w:line="240" w:lineRule="exact"/>
            </w:pPr>
            <w:r>
              <w:t>20 septembre 2016</w:t>
            </w:r>
          </w:p>
          <w:p w:rsidR="001C0FA4" w:rsidRDefault="001C0FA4" w:rsidP="001C0FA4">
            <w:pPr>
              <w:spacing w:line="240" w:lineRule="exact"/>
            </w:pPr>
            <w:r>
              <w:t>Français</w:t>
            </w:r>
          </w:p>
          <w:p w:rsidR="001C0FA4" w:rsidRPr="00DB58B5" w:rsidRDefault="001C0FA4" w:rsidP="001C0FA4">
            <w:pPr>
              <w:spacing w:line="240" w:lineRule="exact"/>
            </w:pPr>
            <w:r>
              <w:t>Original : anglais</w:t>
            </w:r>
          </w:p>
        </w:tc>
      </w:tr>
    </w:tbl>
    <w:p w:rsidR="001C0FA4" w:rsidRPr="00CA0680" w:rsidRDefault="001C0FA4" w:rsidP="000305D3">
      <w:pPr>
        <w:spacing w:before="120"/>
        <w:rPr>
          <w:b/>
          <w:sz w:val="24"/>
          <w:szCs w:val="24"/>
        </w:rPr>
      </w:pPr>
      <w:r w:rsidRPr="00CA0680">
        <w:rPr>
          <w:b/>
          <w:sz w:val="24"/>
          <w:szCs w:val="24"/>
        </w:rPr>
        <w:t>Comité d</w:t>
      </w:r>
      <w:r w:rsidR="00516BB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16BB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C0FA4" w:rsidRPr="00CA0680" w:rsidRDefault="001C0FA4" w:rsidP="000305D3">
      <w:pPr>
        <w:spacing w:before="120"/>
        <w:rPr>
          <w:b/>
        </w:rPr>
      </w:pPr>
      <w:r w:rsidRPr="00CA0680">
        <w:rPr>
          <w:b/>
        </w:rPr>
        <w:t>Sous</w:t>
      </w:r>
      <w:r>
        <w:rPr>
          <w:b/>
        </w:rPr>
        <w:t>-</w:t>
      </w:r>
      <w:r w:rsidRPr="00CA0680">
        <w:rPr>
          <w:b/>
        </w:rPr>
        <w:t>Comité d</w:t>
      </w:r>
      <w:r w:rsidR="00516BBC">
        <w:rPr>
          <w:b/>
        </w:rPr>
        <w:t>’</w:t>
      </w:r>
      <w:r w:rsidRPr="00CA0680">
        <w:rPr>
          <w:b/>
        </w:rPr>
        <w:t xml:space="preserve">experts </w:t>
      </w:r>
      <w:r>
        <w:rPr>
          <w:b/>
        </w:rPr>
        <w:t>du Système général harmonisé</w:t>
      </w:r>
      <w:r>
        <w:rPr>
          <w:b/>
        </w:rPr>
        <w:br/>
        <w:t>de classification et d</w:t>
      </w:r>
      <w:r w:rsidR="00516BBC">
        <w:rPr>
          <w:b/>
        </w:rPr>
        <w:t>’</w:t>
      </w:r>
      <w:r>
        <w:rPr>
          <w:b/>
        </w:rPr>
        <w:t>étiquetage des produits chimiques</w:t>
      </w:r>
    </w:p>
    <w:p w:rsidR="001C0FA4" w:rsidRDefault="001C0FA4" w:rsidP="000305D3">
      <w:pPr>
        <w:spacing w:before="120"/>
        <w:rPr>
          <w:b/>
        </w:rPr>
      </w:pPr>
      <w:r>
        <w:rPr>
          <w:b/>
        </w:rPr>
        <w:t>Trente-deuxième</w:t>
      </w:r>
      <w:r w:rsidRPr="00CA0680">
        <w:rPr>
          <w:b/>
        </w:rPr>
        <w:t xml:space="preserve"> session</w:t>
      </w:r>
    </w:p>
    <w:p w:rsidR="001C0FA4" w:rsidRDefault="001C0FA4" w:rsidP="000305D3">
      <w:r>
        <w:t>Genève, 7-9 décembre 2016</w:t>
      </w:r>
    </w:p>
    <w:p w:rsidR="001C0FA4" w:rsidRDefault="001C0FA4" w:rsidP="000305D3">
      <w:r>
        <w:t>Point 3 c) de l</w:t>
      </w:r>
      <w:r w:rsidR="00516BBC">
        <w:t>’</w:t>
      </w:r>
      <w:r>
        <w:t>ordre du jour provisoire</w:t>
      </w:r>
    </w:p>
    <w:p w:rsidR="001C0FA4" w:rsidRPr="003D4DB8" w:rsidRDefault="003D4DB8" w:rsidP="00AC3823">
      <w:pPr>
        <w:rPr>
          <w:b/>
        </w:rPr>
      </w:pPr>
      <w:r w:rsidRPr="003D4DB8">
        <w:rPr>
          <w:b/>
        </w:rPr>
        <w:t>Questions relatives à la communication des dangers :</w:t>
      </w:r>
    </w:p>
    <w:p w:rsidR="003D4DB8" w:rsidRPr="003D4DB8" w:rsidRDefault="003D4DB8" w:rsidP="00AC3823">
      <w:pPr>
        <w:rPr>
          <w:b/>
        </w:rPr>
      </w:pPr>
      <w:r w:rsidRPr="003D4DB8">
        <w:rPr>
          <w:b/>
        </w:rPr>
        <w:t>Divers</w:t>
      </w:r>
    </w:p>
    <w:p w:rsidR="004649F9" w:rsidRPr="00903039" w:rsidRDefault="004649F9" w:rsidP="004649F9">
      <w:pPr>
        <w:pStyle w:val="HChG"/>
      </w:pPr>
      <w:r w:rsidRPr="00903039">
        <w:rPr>
          <w:rFonts w:eastAsia="MS Mincho"/>
          <w:lang w:eastAsia="ja-JP"/>
        </w:rPr>
        <w:tab/>
      </w:r>
      <w:r w:rsidRPr="00903039">
        <w:rPr>
          <w:rFonts w:eastAsia="MS Mincho"/>
          <w:lang w:eastAsia="ja-JP"/>
        </w:rPr>
        <w:tab/>
      </w:r>
      <w:r w:rsidRPr="00903039">
        <w:t>Amendements à l</w:t>
      </w:r>
      <w:r w:rsidR="00516BBC">
        <w:t>’</w:t>
      </w:r>
      <w:r w:rsidRPr="00903039">
        <w:t>annexe 4 (sous-section A4.3.14.7) du SGH sur l</w:t>
      </w:r>
      <w:r w:rsidR="00516BBC">
        <w:t>’</w:t>
      </w:r>
      <w:r w:rsidRPr="00903039">
        <w:t>élaboration des fiches de données de sécurité</w:t>
      </w:r>
    </w:p>
    <w:p w:rsidR="004649F9" w:rsidRPr="00903039" w:rsidRDefault="004649F9" w:rsidP="004649F9">
      <w:pPr>
        <w:pStyle w:val="H1G"/>
      </w:pPr>
      <w:r w:rsidRPr="00903039">
        <w:tab/>
      </w:r>
      <w:r w:rsidRPr="00903039">
        <w:tab/>
        <w:t>Communication du Conseil international des</w:t>
      </w:r>
      <w:r w:rsidR="00931B0D">
        <w:t xml:space="preserve"> </w:t>
      </w:r>
      <w:r w:rsidRPr="00903039">
        <w:t>mines</w:t>
      </w:r>
      <w:r w:rsidR="00931B0D">
        <w:t xml:space="preserve"> </w:t>
      </w:r>
      <w:r w:rsidRPr="00903039">
        <w:t>et métaux</w:t>
      </w:r>
      <w:r w:rsidRPr="004649F9">
        <w:rPr>
          <w:rStyle w:val="FootnoteReference"/>
          <w:b w:val="0"/>
        </w:rPr>
        <w:footnoteReference w:id="2"/>
      </w:r>
    </w:p>
    <w:p w:rsidR="004649F9" w:rsidRPr="00903039" w:rsidRDefault="004649F9" w:rsidP="004649F9">
      <w:pPr>
        <w:pStyle w:val="HChG"/>
      </w:pPr>
      <w:r w:rsidRPr="00903039">
        <w:tab/>
      </w:r>
      <w:r w:rsidRPr="00903039">
        <w:tab/>
        <w:t>Introduction</w:t>
      </w:r>
    </w:p>
    <w:p w:rsidR="004649F9" w:rsidRPr="00903039" w:rsidRDefault="004649F9" w:rsidP="000E16EF">
      <w:pPr>
        <w:pStyle w:val="ParNoG"/>
      </w:pPr>
      <w:r w:rsidRPr="00903039">
        <w:t>L</w:t>
      </w:r>
      <w:r w:rsidR="00516BBC">
        <w:t>’</w:t>
      </w:r>
      <w:r w:rsidRPr="00903039">
        <w:t>annexe 4 du Système général harmonisé de classification et d</w:t>
      </w:r>
      <w:r w:rsidR="00516BBC">
        <w:t>’</w:t>
      </w:r>
      <w:r w:rsidRPr="00903039">
        <w:t xml:space="preserve">étiquetage des produits chimiques (SGH) contient un </w:t>
      </w:r>
      <w:r w:rsidR="000E16EF">
        <w:t>« </w:t>
      </w:r>
      <w:r w:rsidR="00855A4E">
        <w:t>D</w:t>
      </w:r>
      <w:r w:rsidRPr="00855A4E">
        <w:t>ocument guide sur l</w:t>
      </w:r>
      <w:r w:rsidR="00516BBC">
        <w:t>’</w:t>
      </w:r>
      <w:r w:rsidRPr="00855A4E">
        <w:t>élaboration de fiches de données de sécurité (FDS)</w:t>
      </w:r>
      <w:r w:rsidR="000E16EF">
        <w:t> »</w:t>
      </w:r>
      <w:r w:rsidRPr="00903039">
        <w:t>. Celui-ci comprend des instructions générales relatives à la structure et au contenu, ainsi que des informations spécifiques portant sur le contenu.</w:t>
      </w:r>
    </w:p>
    <w:p w:rsidR="004649F9" w:rsidRPr="00903039" w:rsidRDefault="004649F9" w:rsidP="00855A4E">
      <w:pPr>
        <w:pStyle w:val="ParNoG"/>
        <w:tabs>
          <w:tab w:val="clear" w:pos="1701"/>
        </w:tabs>
        <w:rPr>
          <w:szCs w:val="24"/>
        </w:rPr>
      </w:pPr>
      <w:r w:rsidRPr="00903039">
        <w:rPr>
          <w:szCs w:val="24"/>
        </w:rPr>
        <w:t xml:space="preserve">La sous-section 14.7 (A4.3.14.7), </w:t>
      </w:r>
      <w:r w:rsidR="00855A4E">
        <w:rPr>
          <w:szCs w:val="24"/>
        </w:rPr>
        <w:t>« </w:t>
      </w:r>
      <w:r w:rsidRPr="00855A4E">
        <w:rPr>
          <w:szCs w:val="24"/>
        </w:rPr>
        <w:t xml:space="preserve">Transport en vrac </w:t>
      </w:r>
      <w:r w:rsidR="00855A4E">
        <w:rPr>
          <w:szCs w:val="24"/>
        </w:rPr>
        <w:t>conformément à l</w:t>
      </w:r>
      <w:r w:rsidR="00516BBC">
        <w:rPr>
          <w:szCs w:val="24"/>
        </w:rPr>
        <w:t>’</w:t>
      </w:r>
      <w:r w:rsidR="00855A4E">
        <w:rPr>
          <w:szCs w:val="24"/>
        </w:rPr>
        <w:t>annexe </w:t>
      </w:r>
      <w:r w:rsidRPr="00855A4E">
        <w:rPr>
          <w:szCs w:val="24"/>
        </w:rPr>
        <w:t>II de la Convention MARPOL 73/78 et au Recueil IBC</w:t>
      </w:r>
      <w:r w:rsidR="00855A4E">
        <w:rPr>
          <w:i/>
          <w:szCs w:val="24"/>
        </w:rPr>
        <w:t> »</w:t>
      </w:r>
      <w:r w:rsidRPr="00903039">
        <w:rPr>
          <w:i/>
          <w:szCs w:val="24"/>
        </w:rPr>
        <w:t xml:space="preserve">, </w:t>
      </w:r>
      <w:r w:rsidRPr="00903039">
        <w:rPr>
          <w:szCs w:val="24"/>
        </w:rPr>
        <w:t xml:space="preserve">a été ajoutée au modèle de fiches (FDS) dans la révision 2 du SGH </w:t>
      </w:r>
      <w:r w:rsidR="00855A4E">
        <w:rPr>
          <w:szCs w:val="24"/>
        </w:rPr>
        <w:t>(2007).</w:t>
      </w:r>
      <w:r w:rsidRPr="00903039">
        <w:rPr>
          <w:szCs w:val="24"/>
        </w:rPr>
        <w:t xml:space="preserve"> Le document guide indique que</w:t>
      </w:r>
      <w:r w:rsidR="00855A4E">
        <w:rPr>
          <w:szCs w:val="24"/>
        </w:rPr>
        <w:t> :</w:t>
      </w:r>
    </w:p>
    <w:p w:rsidR="004649F9" w:rsidRPr="00903039" w:rsidRDefault="00855A4E" w:rsidP="00855A4E">
      <w:pPr>
        <w:pStyle w:val="SingleTxtG"/>
        <w:ind w:left="1701" w:firstLine="567"/>
      </w:pPr>
      <w:r>
        <w:t>« </w:t>
      </w:r>
      <w:r w:rsidR="004649F9" w:rsidRPr="00903039">
        <w:t>La présente sous-section s</w:t>
      </w:r>
      <w:r w:rsidR="00516BBC">
        <w:t>’</w:t>
      </w:r>
      <w:r w:rsidR="004649F9" w:rsidRPr="00903039">
        <w:t>applique uniquement aux marchandises destinées à être transportées en vrac conformément aux instruments suivants de l</w:t>
      </w:r>
      <w:r w:rsidR="00516BBC">
        <w:t>’</w:t>
      </w:r>
      <w:r w:rsidR="004649F9" w:rsidRPr="00903039">
        <w:t>OMI</w:t>
      </w:r>
      <w:r w:rsidR="00516BBC">
        <w:t> </w:t>
      </w:r>
      <w:r w:rsidR="004649F9" w:rsidRPr="00903039">
        <w:t>: Annexe II de la Convention MARPOL 73/78 et Recueil IBC</w:t>
      </w:r>
      <w:r>
        <w:t>. »</w:t>
      </w:r>
      <w:r w:rsidR="004649F9" w:rsidRPr="00903039">
        <w:t>.</w:t>
      </w:r>
    </w:p>
    <w:p w:rsidR="004649F9" w:rsidRPr="00903039" w:rsidRDefault="004649F9" w:rsidP="00855A4E">
      <w:pPr>
        <w:pStyle w:val="ParNoG"/>
        <w:tabs>
          <w:tab w:val="clear" w:pos="1701"/>
        </w:tabs>
        <w:rPr>
          <w:szCs w:val="24"/>
        </w:rPr>
      </w:pPr>
      <w:r w:rsidRPr="00903039">
        <w:rPr>
          <w:szCs w:val="24"/>
        </w:rPr>
        <w:t>La portée de cette sous-section est donc limitée aux liquides et ne</w:t>
      </w:r>
      <w:r w:rsidR="00931B0D">
        <w:rPr>
          <w:szCs w:val="24"/>
        </w:rPr>
        <w:t xml:space="preserve"> </w:t>
      </w:r>
      <w:r w:rsidRPr="00903039">
        <w:rPr>
          <w:szCs w:val="24"/>
        </w:rPr>
        <w:t>concerne pas d</w:t>
      </w:r>
      <w:r w:rsidR="00516BBC">
        <w:rPr>
          <w:szCs w:val="24"/>
        </w:rPr>
        <w:t>’</w:t>
      </w:r>
      <w:r w:rsidRPr="00903039">
        <w:rPr>
          <w:szCs w:val="24"/>
        </w:rPr>
        <w:t>autres types de marchandises transportées en vrac en application d</w:t>
      </w:r>
      <w:r w:rsidR="00516BBC">
        <w:rPr>
          <w:szCs w:val="24"/>
        </w:rPr>
        <w:t>’</w:t>
      </w:r>
      <w:r w:rsidRPr="00903039">
        <w:rPr>
          <w:szCs w:val="24"/>
        </w:rPr>
        <w:t xml:space="preserve">une réglementation similaire comme le Code IMSBC (Code maritime international des cargaisons solides en </w:t>
      </w:r>
      <w:r w:rsidRPr="00903039">
        <w:rPr>
          <w:szCs w:val="24"/>
        </w:rPr>
        <w:lastRenderedPageBreak/>
        <w:t>vrac) de l</w:t>
      </w:r>
      <w:r w:rsidR="00516BBC">
        <w:rPr>
          <w:szCs w:val="24"/>
        </w:rPr>
        <w:t>’</w:t>
      </w:r>
      <w:r w:rsidRPr="00903039">
        <w:rPr>
          <w:szCs w:val="24"/>
        </w:rPr>
        <w:t>Organisation maritime internationale (OMI), qui est entré en vigueur le 1</w:t>
      </w:r>
      <w:r w:rsidRPr="00903039">
        <w:rPr>
          <w:szCs w:val="24"/>
          <w:vertAlign w:val="superscript"/>
        </w:rPr>
        <w:t>er</w:t>
      </w:r>
      <w:r w:rsidR="00855A4E">
        <w:rPr>
          <w:szCs w:val="24"/>
        </w:rPr>
        <w:t> </w:t>
      </w:r>
      <w:r w:rsidR="00FE5AAA">
        <w:rPr>
          <w:szCs w:val="24"/>
        </w:rPr>
        <w:t>janvier</w:t>
      </w:r>
      <w:r w:rsidRPr="00903039">
        <w:rPr>
          <w:szCs w:val="24"/>
        </w:rPr>
        <w:t> 2011, date à laquelle son application est devenue obligatoire en vertu des dispositions de la Convention internationale pour la sauvegarde de la vie humaine en mer (Convention SOLAS). De même, le Recueil international de règles relatives à la construction et à l</w:t>
      </w:r>
      <w:r w:rsidR="00516BBC">
        <w:rPr>
          <w:szCs w:val="24"/>
        </w:rPr>
        <w:t>’</w:t>
      </w:r>
      <w:r w:rsidRPr="00903039">
        <w:rPr>
          <w:szCs w:val="24"/>
        </w:rPr>
        <w:t>équipement des navires transportant des gaz liquéfiés en vrac (Recueil IGC) de l</w:t>
      </w:r>
      <w:r w:rsidR="00516BBC">
        <w:rPr>
          <w:szCs w:val="24"/>
        </w:rPr>
        <w:t>’</w:t>
      </w:r>
      <w:r w:rsidRPr="00903039">
        <w:rPr>
          <w:szCs w:val="24"/>
        </w:rPr>
        <w:t>OMI et, pour les navires transporteurs plus anciens, le Recueil de règles relatives à la construction et à l</w:t>
      </w:r>
      <w:r w:rsidR="00516BBC">
        <w:rPr>
          <w:szCs w:val="24"/>
        </w:rPr>
        <w:t>’</w:t>
      </w:r>
      <w:r w:rsidRPr="00903039">
        <w:rPr>
          <w:szCs w:val="24"/>
        </w:rPr>
        <w:t xml:space="preserve">équipement des navires transportant des gaz liquéfiés en vrac </w:t>
      </w:r>
      <w:r w:rsidR="00516BBC">
        <w:rPr>
          <w:szCs w:val="24"/>
        </w:rPr>
        <w:t xml:space="preserve">(Code </w:t>
      </w:r>
      <w:r w:rsidR="00516BBC" w:rsidRPr="00903039">
        <w:rPr>
          <w:szCs w:val="24"/>
        </w:rPr>
        <w:t>GC</w:t>
      </w:r>
      <w:proofErr w:type="gramStart"/>
      <w:r w:rsidR="00516BBC" w:rsidRPr="00903039">
        <w:rPr>
          <w:szCs w:val="24"/>
        </w:rPr>
        <w:t>)</w:t>
      </w:r>
      <w:r w:rsidRPr="00903039">
        <w:rPr>
          <w:szCs w:val="24"/>
        </w:rPr>
        <w:t>et</w:t>
      </w:r>
      <w:proofErr w:type="gramEnd"/>
      <w:r w:rsidRPr="00903039">
        <w:rPr>
          <w:szCs w:val="24"/>
        </w:rPr>
        <w:t xml:space="preserve"> le Recueil de règles applicables aux navires existants transportant des gaz liquéfiés en vrac (Code eGC), s</w:t>
      </w:r>
      <w:r w:rsidR="00516BBC">
        <w:rPr>
          <w:szCs w:val="24"/>
        </w:rPr>
        <w:t>’</w:t>
      </w:r>
      <w:r w:rsidRPr="00903039">
        <w:rPr>
          <w:szCs w:val="24"/>
        </w:rPr>
        <w:t xml:space="preserve">appliquent aux cargaisons gazeuses. </w:t>
      </w:r>
    </w:p>
    <w:p w:rsidR="004649F9" w:rsidRPr="00903039" w:rsidRDefault="004649F9" w:rsidP="00A55259">
      <w:pPr>
        <w:pStyle w:val="ParNoG"/>
        <w:tabs>
          <w:tab w:val="clear" w:pos="1701"/>
        </w:tabs>
        <w:rPr>
          <w:szCs w:val="24"/>
        </w:rPr>
      </w:pPr>
      <w:r w:rsidRPr="00903039">
        <w:rPr>
          <w:szCs w:val="24"/>
        </w:rPr>
        <w:t>Dans la mesure où</w:t>
      </w:r>
      <w:r w:rsidR="00931B0D">
        <w:rPr>
          <w:szCs w:val="24"/>
        </w:rPr>
        <w:t xml:space="preserve"> </w:t>
      </w:r>
      <w:r w:rsidRPr="00903039">
        <w:rPr>
          <w:szCs w:val="24"/>
        </w:rPr>
        <w:t>les informations fournies dans une FDS peuvent être utiles pour les transports régis par le Code IMSBC tout comme par le Code IGC, le Sous-Comité est encouragé à envisager d</w:t>
      </w:r>
      <w:r w:rsidR="00516BBC">
        <w:rPr>
          <w:szCs w:val="24"/>
        </w:rPr>
        <w:t>’</w:t>
      </w:r>
      <w:r w:rsidRPr="00903039">
        <w:rPr>
          <w:szCs w:val="24"/>
        </w:rPr>
        <w:t>actualiser le titre de la sous-section A4.3.14.7 ainsi que les instructions</w:t>
      </w:r>
      <w:r w:rsidR="00931B0D">
        <w:rPr>
          <w:szCs w:val="24"/>
        </w:rPr>
        <w:t xml:space="preserve"> </w:t>
      </w:r>
      <w:r w:rsidRPr="00903039">
        <w:rPr>
          <w:szCs w:val="24"/>
        </w:rPr>
        <w:t>correspondantes. Ainsi, cette partie</w:t>
      </w:r>
      <w:r w:rsidR="00931B0D">
        <w:rPr>
          <w:szCs w:val="24"/>
        </w:rPr>
        <w:t xml:space="preserve"> </w:t>
      </w:r>
      <w:r w:rsidRPr="00903039">
        <w:rPr>
          <w:szCs w:val="24"/>
        </w:rPr>
        <w:t>de l</w:t>
      </w:r>
      <w:r w:rsidR="00516BBC">
        <w:rPr>
          <w:szCs w:val="24"/>
        </w:rPr>
        <w:t>’</w:t>
      </w:r>
      <w:r w:rsidRPr="00903039">
        <w:rPr>
          <w:szCs w:val="24"/>
        </w:rPr>
        <w:t>annexe pourrait s</w:t>
      </w:r>
      <w:r w:rsidR="00516BBC">
        <w:rPr>
          <w:szCs w:val="24"/>
        </w:rPr>
        <w:t>’</w:t>
      </w:r>
      <w:r w:rsidRPr="00903039">
        <w:rPr>
          <w:szCs w:val="24"/>
        </w:rPr>
        <w:t>appliquer à toutes les cargaisons en vrac transportées conformément aux instruments de l</w:t>
      </w:r>
      <w:r w:rsidR="00516BBC">
        <w:rPr>
          <w:szCs w:val="24"/>
        </w:rPr>
        <w:t>’</w:t>
      </w:r>
      <w:r w:rsidRPr="00903039">
        <w:rPr>
          <w:szCs w:val="24"/>
        </w:rPr>
        <w:t>OMI.</w:t>
      </w:r>
    </w:p>
    <w:p w:rsidR="004649F9" w:rsidRPr="00903039" w:rsidRDefault="004649F9" w:rsidP="00A55259">
      <w:pPr>
        <w:pStyle w:val="ParNoG"/>
        <w:tabs>
          <w:tab w:val="clear" w:pos="1701"/>
        </w:tabs>
        <w:rPr>
          <w:szCs w:val="24"/>
        </w:rPr>
      </w:pPr>
      <w:r w:rsidRPr="00903039">
        <w:rPr>
          <w:szCs w:val="24"/>
        </w:rPr>
        <w:t xml:space="preserve">Modifier le titre de la sous-section 14.7, qui deviendrait </w:t>
      </w:r>
      <w:r w:rsidR="00FE5AAA">
        <w:rPr>
          <w:szCs w:val="24"/>
        </w:rPr>
        <w:t>« </w:t>
      </w:r>
      <w:r w:rsidRPr="00903039">
        <w:rPr>
          <w:szCs w:val="24"/>
        </w:rPr>
        <w:t>Transport en vrac conformément aux instruments de l</w:t>
      </w:r>
      <w:r w:rsidR="00516BBC">
        <w:rPr>
          <w:szCs w:val="24"/>
        </w:rPr>
        <w:t>’</w:t>
      </w:r>
      <w:r w:rsidRPr="00903039">
        <w:rPr>
          <w:szCs w:val="24"/>
        </w:rPr>
        <w:t>OMI</w:t>
      </w:r>
      <w:r w:rsidR="00FE5AAA">
        <w:rPr>
          <w:szCs w:val="24"/>
        </w:rPr>
        <w:t> »</w:t>
      </w:r>
      <w:r w:rsidRPr="00903039">
        <w:rPr>
          <w:szCs w:val="24"/>
        </w:rPr>
        <w:t>, aurait pour conséquence que toutes les informations relatives au transport en vrac se trouveraient dans cette section de l</w:t>
      </w:r>
      <w:r w:rsidR="00516BBC">
        <w:rPr>
          <w:szCs w:val="24"/>
        </w:rPr>
        <w:t>’</w:t>
      </w:r>
      <w:r w:rsidRPr="00903039">
        <w:rPr>
          <w:szCs w:val="24"/>
        </w:rPr>
        <w:t>annexe relative aux fiches de données de sécurité, quelle que soit la forme physique de la cargaison. Simplifier le titre de la sous-section permettrait également d</w:t>
      </w:r>
      <w:r w:rsidR="00516BBC">
        <w:rPr>
          <w:szCs w:val="24"/>
        </w:rPr>
        <w:t>’</w:t>
      </w:r>
      <w:r w:rsidRPr="00903039">
        <w:rPr>
          <w:szCs w:val="24"/>
        </w:rPr>
        <w:t xml:space="preserve">harmoniser celui-ci avec le titre des autres sous-sections et avec les prescriptions générales du SGH. </w:t>
      </w:r>
    </w:p>
    <w:p w:rsidR="004649F9" w:rsidRPr="00903039" w:rsidRDefault="004649F9" w:rsidP="00A55259">
      <w:pPr>
        <w:pStyle w:val="ParNoG"/>
        <w:tabs>
          <w:tab w:val="clear" w:pos="1701"/>
        </w:tabs>
        <w:rPr>
          <w:szCs w:val="24"/>
        </w:rPr>
      </w:pPr>
      <w:r w:rsidRPr="00903039">
        <w:rPr>
          <w:szCs w:val="24"/>
        </w:rPr>
        <w:t>Il faudrait simplement indiquer dans la sous-section 14.7 que telle ou telle substance n</w:t>
      </w:r>
      <w:r w:rsidR="00516BBC">
        <w:rPr>
          <w:szCs w:val="24"/>
        </w:rPr>
        <w:t>’</w:t>
      </w:r>
      <w:r w:rsidRPr="00903039">
        <w:rPr>
          <w:szCs w:val="24"/>
        </w:rPr>
        <w:t xml:space="preserve">est pas transportée en vrac. </w:t>
      </w:r>
    </w:p>
    <w:p w:rsidR="004649F9" w:rsidRPr="00903039" w:rsidRDefault="004649F9" w:rsidP="00A55259">
      <w:pPr>
        <w:pStyle w:val="ParNoG"/>
        <w:tabs>
          <w:tab w:val="clear" w:pos="1701"/>
        </w:tabs>
        <w:rPr>
          <w:szCs w:val="24"/>
        </w:rPr>
      </w:pPr>
      <w:r w:rsidRPr="00903039">
        <w:rPr>
          <w:szCs w:val="24"/>
        </w:rPr>
        <w:t>Un débat sur ce qui précède a d</w:t>
      </w:r>
      <w:r w:rsidR="00516BBC">
        <w:rPr>
          <w:szCs w:val="24"/>
        </w:rPr>
        <w:t>’</w:t>
      </w:r>
      <w:r w:rsidRPr="00903039">
        <w:rPr>
          <w:szCs w:val="24"/>
        </w:rPr>
        <w:t>abord été organisé par le Conseil international des mines et métaux à la deuxième session conjointe du Sous-Comité d</w:t>
      </w:r>
      <w:r w:rsidR="00516BBC">
        <w:rPr>
          <w:szCs w:val="24"/>
        </w:rPr>
        <w:t>’</w:t>
      </w:r>
      <w:r w:rsidRPr="00903039">
        <w:rPr>
          <w:szCs w:val="24"/>
        </w:rPr>
        <w:t>experts du transport des marchandises dangereuses et du Sous-Comité d</w:t>
      </w:r>
      <w:r w:rsidR="00516BBC">
        <w:rPr>
          <w:szCs w:val="24"/>
        </w:rPr>
        <w:t>’</w:t>
      </w:r>
      <w:r w:rsidRPr="00903039">
        <w:rPr>
          <w:szCs w:val="24"/>
        </w:rPr>
        <w:t>experts du Système général harmonisé, qui s</w:t>
      </w:r>
      <w:r w:rsidR="00516BBC">
        <w:rPr>
          <w:szCs w:val="24"/>
        </w:rPr>
        <w:t>’</w:t>
      </w:r>
      <w:r w:rsidRPr="00903039">
        <w:rPr>
          <w:szCs w:val="24"/>
        </w:rPr>
        <w:t>est tenue le 5 juillet 2016. Les participants ont examiné la question ci-dessus et ont étudié une première proposition d</w:t>
      </w:r>
      <w:r w:rsidR="00516BBC">
        <w:rPr>
          <w:szCs w:val="24"/>
        </w:rPr>
        <w:t>’</w:t>
      </w:r>
      <w:r w:rsidRPr="00903039">
        <w:rPr>
          <w:szCs w:val="24"/>
        </w:rPr>
        <w:t>amendement,</w:t>
      </w:r>
      <w:r w:rsidR="00931B0D">
        <w:rPr>
          <w:szCs w:val="24"/>
        </w:rPr>
        <w:t xml:space="preserve"> </w:t>
      </w:r>
      <w:r w:rsidRPr="00903039">
        <w:rPr>
          <w:szCs w:val="24"/>
        </w:rPr>
        <w:t xml:space="preserve">énoncée dans le document informel INF.7 (GHS) </w:t>
      </w:r>
      <w:r w:rsidR="00FE5AAA">
        <w:rPr>
          <w:szCs w:val="24"/>
        </w:rPr>
        <w:t>− </w:t>
      </w:r>
      <w:r w:rsidRPr="00903039">
        <w:rPr>
          <w:szCs w:val="24"/>
        </w:rPr>
        <w:t>INF.28 (TDG). Compte tenu des retours très positifs reçus sur ce document, et des conseils visant à limiter la portée de l</w:t>
      </w:r>
      <w:r w:rsidR="00516BBC">
        <w:rPr>
          <w:szCs w:val="24"/>
        </w:rPr>
        <w:t>’</w:t>
      </w:r>
      <w:r w:rsidRPr="00903039">
        <w:rPr>
          <w:szCs w:val="24"/>
        </w:rPr>
        <w:t>amendement aux transports régis par les instruments de l</w:t>
      </w:r>
      <w:r w:rsidR="00516BBC">
        <w:rPr>
          <w:szCs w:val="24"/>
        </w:rPr>
        <w:t>’</w:t>
      </w:r>
      <w:r w:rsidRPr="00903039">
        <w:rPr>
          <w:szCs w:val="24"/>
        </w:rPr>
        <w:t xml:space="preserve">OMI, la proposition suivante est soumise aux fins de son examen formel. </w:t>
      </w:r>
    </w:p>
    <w:p w:rsidR="004649F9" w:rsidRPr="00903039" w:rsidRDefault="004649F9" w:rsidP="004649F9">
      <w:pPr>
        <w:pStyle w:val="HChG"/>
        <w:spacing w:line="240" w:lineRule="exact"/>
        <w:rPr>
          <w:sz w:val="24"/>
          <w:szCs w:val="24"/>
        </w:rPr>
      </w:pPr>
      <w:r w:rsidRPr="00903039">
        <w:rPr>
          <w:sz w:val="24"/>
          <w:szCs w:val="24"/>
        </w:rPr>
        <w:tab/>
      </w:r>
      <w:r w:rsidRPr="00903039">
        <w:rPr>
          <w:sz w:val="24"/>
          <w:szCs w:val="24"/>
        </w:rPr>
        <w:tab/>
        <w:t>Proposition</w:t>
      </w:r>
    </w:p>
    <w:p w:rsidR="004649F9" w:rsidRPr="00903039" w:rsidRDefault="004649F9" w:rsidP="00FE5AAA">
      <w:pPr>
        <w:pStyle w:val="ParNoG"/>
        <w:keepNext/>
        <w:tabs>
          <w:tab w:val="clear" w:pos="1701"/>
        </w:tabs>
        <w:rPr>
          <w:szCs w:val="24"/>
        </w:rPr>
      </w:pPr>
      <w:r w:rsidRPr="00903039">
        <w:rPr>
          <w:szCs w:val="24"/>
        </w:rPr>
        <w:t>Annexe 4, titre de la sous-section A4.3.14.7</w:t>
      </w:r>
      <w:r w:rsidR="00FE5AAA">
        <w:rPr>
          <w:szCs w:val="24"/>
        </w:rPr>
        <w:t> </w:t>
      </w:r>
      <w:r w:rsidRPr="00903039">
        <w:rPr>
          <w:szCs w:val="24"/>
        </w:rPr>
        <w:t xml:space="preserve">: </w:t>
      </w:r>
    </w:p>
    <w:p w:rsidR="004649F9" w:rsidRPr="00903039" w:rsidRDefault="004649F9" w:rsidP="00516BBC">
      <w:pPr>
        <w:pStyle w:val="SingleTxtG"/>
        <w:ind w:left="1701"/>
      </w:pPr>
      <w:r w:rsidRPr="00516BBC">
        <w:rPr>
          <w:i/>
        </w:rPr>
        <w:t>Remplacer</w:t>
      </w:r>
      <w:r w:rsidRPr="00903039">
        <w:t xml:space="preserve"> </w:t>
      </w:r>
      <w:r w:rsidR="00FE5AAA">
        <w:t>« </w:t>
      </w:r>
      <w:r w:rsidRPr="00903039">
        <w:t>Transport en vrac conformément à l</w:t>
      </w:r>
      <w:r w:rsidR="00516BBC">
        <w:t>’</w:t>
      </w:r>
      <w:r w:rsidRPr="00903039">
        <w:t>annexe II de la Convention MARPOL 73/78 et au Recueil IBC</w:t>
      </w:r>
      <w:r w:rsidR="00FE5AAA">
        <w:rPr>
          <w:vertAlign w:val="superscript"/>
        </w:rPr>
        <w:t> »</w:t>
      </w:r>
      <w:r w:rsidRPr="00903039">
        <w:t xml:space="preserve"> par </w:t>
      </w:r>
      <w:r w:rsidR="00FE5AAA">
        <w:t>« </w:t>
      </w:r>
      <w:r w:rsidRPr="00903039">
        <w:t>Transport en vrac conformément aux instruments de l</w:t>
      </w:r>
      <w:r w:rsidR="00516BBC">
        <w:t>’</w:t>
      </w:r>
      <w:r w:rsidRPr="00903039">
        <w:t>OMI</w:t>
      </w:r>
      <w:r w:rsidR="00FE5AAA">
        <w:t> »</w:t>
      </w:r>
      <w:r w:rsidRPr="00903039">
        <w:t xml:space="preserve">. </w:t>
      </w:r>
    </w:p>
    <w:p w:rsidR="004649F9" w:rsidRPr="00903039" w:rsidRDefault="004649F9" w:rsidP="004649F9">
      <w:pPr>
        <w:pStyle w:val="SingleTxtG"/>
        <w:spacing w:after="240" w:line="240" w:lineRule="exact"/>
        <w:ind w:left="1701"/>
        <w:rPr>
          <w:szCs w:val="24"/>
        </w:rPr>
      </w:pPr>
      <w:r w:rsidRPr="00267ECE">
        <w:rPr>
          <w:i/>
          <w:szCs w:val="24"/>
        </w:rPr>
        <w:t>Amendement de conséquence</w:t>
      </w:r>
      <w:r w:rsidRPr="00903039">
        <w:rPr>
          <w:szCs w:val="24"/>
        </w:rPr>
        <w:t>: Dans le tableau 1.5.2 du chapitre 1.5, modifier l</w:t>
      </w:r>
      <w:r w:rsidR="00516BBC">
        <w:rPr>
          <w:szCs w:val="24"/>
        </w:rPr>
        <w:t>’</w:t>
      </w:r>
      <w:r w:rsidR="00FE5AAA">
        <w:rPr>
          <w:szCs w:val="24"/>
        </w:rPr>
        <w:t>alinéa </w:t>
      </w:r>
      <w:r w:rsidRPr="00903039">
        <w:rPr>
          <w:szCs w:val="24"/>
        </w:rPr>
        <w:t>f) de la ligne 14 en conséquence.</w:t>
      </w:r>
    </w:p>
    <w:p w:rsidR="004649F9" w:rsidRPr="00903039" w:rsidRDefault="004649F9" w:rsidP="00FE5AAA">
      <w:pPr>
        <w:pStyle w:val="ParNoG"/>
        <w:keepNext/>
        <w:tabs>
          <w:tab w:val="clear" w:pos="1701"/>
        </w:tabs>
        <w:rPr>
          <w:szCs w:val="24"/>
        </w:rPr>
      </w:pPr>
      <w:r w:rsidRPr="00903039">
        <w:rPr>
          <w:szCs w:val="24"/>
        </w:rPr>
        <w:t>Annexe 4, premier paragraphe de la sous-section A4.3.14.7</w:t>
      </w:r>
      <w:r w:rsidR="00FE5AAA">
        <w:rPr>
          <w:szCs w:val="24"/>
        </w:rPr>
        <w:t> </w:t>
      </w:r>
      <w:r w:rsidRPr="00903039">
        <w:rPr>
          <w:szCs w:val="24"/>
        </w:rPr>
        <w:t>:</w:t>
      </w:r>
    </w:p>
    <w:p w:rsidR="004649F9" w:rsidRPr="00903039" w:rsidRDefault="004649F9" w:rsidP="00516BBC">
      <w:pPr>
        <w:pStyle w:val="SingleTxtG"/>
        <w:ind w:left="1701"/>
        <w:rPr>
          <w:szCs w:val="24"/>
        </w:rPr>
      </w:pPr>
      <w:r w:rsidRPr="00516BBC">
        <w:rPr>
          <w:i/>
          <w:szCs w:val="24"/>
        </w:rPr>
        <w:t>Remplacer</w:t>
      </w:r>
      <w:r w:rsidRPr="00903039">
        <w:rPr>
          <w:szCs w:val="24"/>
        </w:rPr>
        <w:t xml:space="preserve"> </w:t>
      </w:r>
      <w:r w:rsidR="00267ECE">
        <w:rPr>
          <w:szCs w:val="24"/>
        </w:rPr>
        <w:t>« </w:t>
      </w:r>
      <w:r w:rsidRPr="00267ECE">
        <w:rPr>
          <w:szCs w:val="24"/>
        </w:rPr>
        <w:t>La présente sous-section s</w:t>
      </w:r>
      <w:r w:rsidR="00516BBC">
        <w:rPr>
          <w:szCs w:val="24"/>
        </w:rPr>
        <w:t>’</w:t>
      </w:r>
      <w:r w:rsidRPr="00267ECE">
        <w:rPr>
          <w:szCs w:val="24"/>
        </w:rPr>
        <w:t>applique uniquement aux marchandises destinées à être transportées en vrac conformément aux instruments suivants de l</w:t>
      </w:r>
      <w:r w:rsidR="00516BBC">
        <w:rPr>
          <w:szCs w:val="24"/>
        </w:rPr>
        <w:t>’</w:t>
      </w:r>
      <w:r w:rsidRPr="00267ECE">
        <w:rPr>
          <w:szCs w:val="24"/>
        </w:rPr>
        <w:t>OMI</w:t>
      </w:r>
      <w:r w:rsidR="00267ECE">
        <w:rPr>
          <w:szCs w:val="24"/>
        </w:rPr>
        <w:t> </w:t>
      </w:r>
      <w:r w:rsidRPr="00267ECE">
        <w:rPr>
          <w:szCs w:val="24"/>
        </w:rPr>
        <w:t>: Annexe II de la Convention MARPOL 73/78</w:t>
      </w:r>
      <w:r w:rsidR="00516BBC" w:rsidRPr="00267ECE">
        <w:rPr>
          <w:sz w:val="18"/>
          <w:szCs w:val="18"/>
          <w:vertAlign w:val="superscript"/>
        </w:rPr>
        <w:t>9</w:t>
      </w:r>
      <w:r w:rsidRPr="00267ECE">
        <w:rPr>
          <w:szCs w:val="24"/>
        </w:rPr>
        <w:t xml:space="preserve"> et Recueil IBC</w:t>
      </w:r>
      <w:r w:rsidR="00516BBC" w:rsidRPr="00267ECE">
        <w:rPr>
          <w:sz w:val="18"/>
          <w:szCs w:val="18"/>
          <w:vertAlign w:val="superscript"/>
        </w:rPr>
        <w:t>10</w:t>
      </w:r>
      <w:r w:rsidR="00267ECE">
        <w:rPr>
          <w:szCs w:val="24"/>
        </w:rPr>
        <w:t> ».</w:t>
      </w:r>
    </w:p>
    <w:p w:rsidR="004649F9" w:rsidRPr="00903039" w:rsidRDefault="004649F9" w:rsidP="00516BBC">
      <w:pPr>
        <w:pStyle w:val="SingleTxtG"/>
        <w:keepNext/>
        <w:ind w:left="1701"/>
      </w:pPr>
      <w:proofErr w:type="gramStart"/>
      <w:r w:rsidRPr="00516BBC">
        <w:rPr>
          <w:i/>
        </w:rPr>
        <w:t>par</w:t>
      </w:r>
      <w:proofErr w:type="gramEnd"/>
      <w:r w:rsidR="00267ECE">
        <w:t> </w:t>
      </w:r>
      <w:r w:rsidRPr="00903039">
        <w:t>:</w:t>
      </w:r>
    </w:p>
    <w:p w:rsidR="004649F9" w:rsidRPr="00903039" w:rsidRDefault="00267ECE" w:rsidP="00516BBC">
      <w:pPr>
        <w:pStyle w:val="SingleTxtG"/>
        <w:ind w:left="1701"/>
        <w:rPr>
          <w:szCs w:val="24"/>
        </w:rPr>
      </w:pPr>
      <w:r w:rsidRPr="00267ECE">
        <w:rPr>
          <w:szCs w:val="24"/>
        </w:rPr>
        <w:t>« </w:t>
      </w:r>
      <w:r w:rsidR="004649F9" w:rsidRPr="00267ECE">
        <w:rPr>
          <w:szCs w:val="24"/>
        </w:rPr>
        <w:t>La présente sous-section s</w:t>
      </w:r>
      <w:r w:rsidR="00516BBC">
        <w:rPr>
          <w:szCs w:val="24"/>
        </w:rPr>
        <w:t>’</w:t>
      </w:r>
      <w:r w:rsidR="004649F9" w:rsidRPr="00267ECE">
        <w:rPr>
          <w:szCs w:val="24"/>
        </w:rPr>
        <w:t>applique uniquement aux marchandises destinées à être transportées en vrac conformément aux instruments de l</w:t>
      </w:r>
      <w:r w:rsidR="00516BBC">
        <w:rPr>
          <w:szCs w:val="24"/>
        </w:rPr>
        <w:t>’</w:t>
      </w:r>
      <w:r w:rsidR="004649F9" w:rsidRPr="00267ECE">
        <w:rPr>
          <w:szCs w:val="24"/>
        </w:rPr>
        <w:t>OMI, à savoir</w:t>
      </w:r>
      <w:r>
        <w:rPr>
          <w:szCs w:val="24"/>
        </w:rPr>
        <w:t> </w:t>
      </w:r>
      <w:r w:rsidR="004649F9" w:rsidRPr="00267ECE">
        <w:rPr>
          <w:szCs w:val="24"/>
        </w:rPr>
        <w:t>: l</w:t>
      </w:r>
      <w:r w:rsidR="00516BBC">
        <w:rPr>
          <w:szCs w:val="24"/>
        </w:rPr>
        <w:t>’</w:t>
      </w:r>
      <w:r w:rsidR="004649F9" w:rsidRPr="00267ECE">
        <w:rPr>
          <w:szCs w:val="24"/>
        </w:rPr>
        <w:t xml:space="preserve">annexe II </w:t>
      </w:r>
      <w:r w:rsidR="004649F9" w:rsidRPr="00267ECE">
        <w:rPr>
          <w:szCs w:val="24"/>
        </w:rPr>
        <w:lastRenderedPageBreak/>
        <w:t>ou l</w:t>
      </w:r>
      <w:r w:rsidR="00516BBC">
        <w:rPr>
          <w:szCs w:val="24"/>
        </w:rPr>
        <w:t>’</w:t>
      </w:r>
      <w:r w:rsidR="004649F9" w:rsidRPr="00267ECE">
        <w:rPr>
          <w:szCs w:val="24"/>
        </w:rPr>
        <w:t>annexe V de la Convention MARPOL 73/78</w:t>
      </w:r>
      <w:r w:rsidR="004649F9" w:rsidRPr="00267ECE">
        <w:rPr>
          <w:sz w:val="18"/>
          <w:szCs w:val="18"/>
          <w:vertAlign w:val="superscript"/>
        </w:rPr>
        <w:t>9</w:t>
      </w:r>
      <w:r w:rsidR="004649F9" w:rsidRPr="00267ECE">
        <w:rPr>
          <w:szCs w:val="24"/>
        </w:rPr>
        <w:t>, le Recueil IBC</w:t>
      </w:r>
      <w:r w:rsidR="004649F9" w:rsidRPr="00267ECE">
        <w:rPr>
          <w:sz w:val="18"/>
          <w:szCs w:val="18"/>
          <w:vertAlign w:val="superscript"/>
        </w:rPr>
        <w:t>10</w:t>
      </w:r>
      <w:r w:rsidR="004649F9" w:rsidRPr="00267ECE">
        <w:rPr>
          <w:szCs w:val="24"/>
        </w:rPr>
        <w:t>, le Code IMSBC</w:t>
      </w:r>
      <w:r w:rsidR="004649F9" w:rsidRPr="00267ECE">
        <w:rPr>
          <w:sz w:val="18"/>
          <w:szCs w:val="18"/>
          <w:vertAlign w:val="superscript"/>
        </w:rPr>
        <w:t>11</w:t>
      </w:r>
      <w:r w:rsidR="004649F9" w:rsidRPr="00267ECE">
        <w:rPr>
          <w:szCs w:val="24"/>
        </w:rPr>
        <w:t xml:space="preserve"> et le Recueil IGC</w:t>
      </w:r>
      <w:r w:rsidR="004649F9" w:rsidRPr="00267ECE">
        <w:rPr>
          <w:sz w:val="18"/>
          <w:szCs w:val="18"/>
          <w:vertAlign w:val="superscript"/>
        </w:rPr>
        <w:t>12</w:t>
      </w:r>
      <w:r w:rsidR="004649F9" w:rsidRPr="00267ECE">
        <w:rPr>
          <w:szCs w:val="24"/>
        </w:rPr>
        <w:t>.</w:t>
      </w:r>
      <w:r>
        <w:rPr>
          <w:i/>
          <w:szCs w:val="24"/>
        </w:rPr>
        <w:t> </w:t>
      </w:r>
      <w:r w:rsidRPr="00267ECE">
        <w:rPr>
          <w:szCs w:val="24"/>
        </w:rPr>
        <w:t>»</w:t>
      </w:r>
      <w:r w:rsidR="004649F9" w:rsidRPr="00903039">
        <w:rPr>
          <w:i/>
          <w:szCs w:val="24"/>
        </w:rPr>
        <w:t>.</w:t>
      </w:r>
    </w:p>
    <w:p w:rsidR="004649F9" w:rsidRPr="00903039" w:rsidRDefault="004649F9" w:rsidP="00D82C42">
      <w:pPr>
        <w:pStyle w:val="ParNoG"/>
        <w:keepNext/>
        <w:tabs>
          <w:tab w:val="clear" w:pos="1701"/>
        </w:tabs>
        <w:rPr>
          <w:i/>
          <w:szCs w:val="24"/>
        </w:rPr>
      </w:pPr>
      <w:r w:rsidRPr="00903039">
        <w:rPr>
          <w:szCs w:val="24"/>
        </w:rPr>
        <w:t>Insérer les notes de bas de page suivantes</w:t>
      </w:r>
      <w:r w:rsidR="00D82C42">
        <w:rPr>
          <w:szCs w:val="24"/>
        </w:rPr>
        <w:t> </w:t>
      </w:r>
      <w:r w:rsidRPr="00903039">
        <w:rPr>
          <w:szCs w:val="24"/>
        </w:rPr>
        <w:t>:</w:t>
      </w:r>
    </w:p>
    <w:p w:rsidR="004649F9" w:rsidRPr="0039723E" w:rsidRDefault="0039723E" w:rsidP="00F76F47">
      <w:pPr>
        <w:pStyle w:val="SingleTxtG"/>
        <w:ind w:left="1701"/>
        <w:rPr>
          <w:szCs w:val="24"/>
        </w:rPr>
      </w:pPr>
      <w:r w:rsidRPr="0039723E">
        <w:rPr>
          <w:szCs w:val="24"/>
        </w:rPr>
        <w:t>« </w:t>
      </w:r>
      <w:r w:rsidR="004649F9" w:rsidRPr="0039723E">
        <w:rPr>
          <w:szCs w:val="24"/>
          <w:vertAlign w:val="superscript"/>
        </w:rPr>
        <w:t xml:space="preserve">11 </w:t>
      </w:r>
      <w:r w:rsidR="004649F9" w:rsidRPr="0039723E">
        <w:rPr>
          <w:b/>
          <w:szCs w:val="24"/>
        </w:rPr>
        <w:t>Code IMSBC</w:t>
      </w:r>
      <w:r w:rsidR="00D82C42" w:rsidRPr="0039723E">
        <w:rPr>
          <w:b/>
          <w:szCs w:val="24"/>
        </w:rPr>
        <w:t> </w:t>
      </w:r>
      <w:r w:rsidR="004649F9" w:rsidRPr="0039723E">
        <w:rPr>
          <w:szCs w:val="24"/>
        </w:rPr>
        <w:t>:</w:t>
      </w:r>
      <w:r w:rsidR="004649F9" w:rsidRPr="0039723E">
        <w:rPr>
          <w:b/>
          <w:szCs w:val="24"/>
        </w:rPr>
        <w:t xml:space="preserve"> </w:t>
      </w:r>
      <w:r w:rsidR="004649F9" w:rsidRPr="0039723E">
        <w:rPr>
          <w:szCs w:val="24"/>
        </w:rPr>
        <w:t>Code maritime international des cargaisons solides en vrac, tel que modifié.</w:t>
      </w:r>
    </w:p>
    <w:p w:rsidR="004649F9" w:rsidRPr="0039723E" w:rsidRDefault="004649F9" w:rsidP="00F76F47">
      <w:pPr>
        <w:pStyle w:val="SingleTxtG"/>
        <w:ind w:left="1701"/>
        <w:rPr>
          <w:szCs w:val="24"/>
        </w:rPr>
      </w:pPr>
      <w:r w:rsidRPr="0039723E">
        <w:rPr>
          <w:szCs w:val="24"/>
          <w:vertAlign w:val="superscript"/>
        </w:rPr>
        <w:t>12</w:t>
      </w:r>
      <w:r w:rsidRPr="0039723E">
        <w:rPr>
          <w:szCs w:val="24"/>
        </w:rPr>
        <w:t xml:space="preserve"> </w:t>
      </w:r>
      <w:r w:rsidRPr="0039723E">
        <w:rPr>
          <w:b/>
          <w:szCs w:val="24"/>
        </w:rPr>
        <w:t>Recueil</w:t>
      </w:r>
      <w:r w:rsidRPr="0039723E">
        <w:rPr>
          <w:szCs w:val="24"/>
        </w:rPr>
        <w:t xml:space="preserve"> </w:t>
      </w:r>
      <w:r w:rsidRPr="0039723E">
        <w:rPr>
          <w:b/>
          <w:szCs w:val="24"/>
        </w:rPr>
        <w:t>IGC</w:t>
      </w:r>
      <w:r w:rsidR="00D82C42" w:rsidRPr="0039723E">
        <w:rPr>
          <w:b/>
          <w:szCs w:val="24"/>
        </w:rPr>
        <w:t> </w:t>
      </w:r>
      <w:r w:rsidRPr="0039723E">
        <w:rPr>
          <w:szCs w:val="24"/>
        </w:rPr>
        <w:t>:</w:t>
      </w:r>
      <w:r w:rsidR="00D82C42" w:rsidRPr="0039723E">
        <w:rPr>
          <w:b/>
          <w:szCs w:val="24"/>
        </w:rPr>
        <w:t xml:space="preserve"> </w:t>
      </w:r>
      <w:r w:rsidRPr="0039723E">
        <w:rPr>
          <w:szCs w:val="24"/>
        </w:rPr>
        <w:t>Recueil international de règles relatives à la construction et à l</w:t>
      </w:r>
      <w:r w:rsidR="00516BBC">
        <w:rPr>
          <w:szCs w:val="24"/>
        </w:rPr>
        <w:t>’</w:t>
      </w:r>
      <w:r w:rsidRPr="0039723E">
        <w:rPr>
          <w:szCs w:val="24"/>
        </w:rPr>
        <w:t>équipement des navires transportant des gaz liquéfiés en vrac, tel que modifié.</w:t>
      </w:r>
      <w:r w:rsidR="0039723E">
        <w:rPr>
          <w:szCs w:val="24"/>
        </w:rPr>
        <w:t> »</w:t>
      </w:r>
      <w:r w:rsidR="00516BBC">
        <w:rPr>
          <w:szCs w:val="24"/>
        </w:rPr>
        <w:t>.</w:t>
      </w:r>
    </w:p>
    <w:p w:rsidR="004649F9" w:rsidRPr="00903039" w:rsidRDefault="004649F9" w:rsidP="00D82C42">
      <w:pPr>
        <w:pStyle w:val="ParNoG"/>
        <w:keepNext/>
        <w:tabs>
          <w:tab w:val="clear" w:pos="1701"/>
        </w:tabs>
        <w:rPr>
          <w:szCs w:val="24"/>
        </w:rPr>
      </w:pPr>
      <w:r w:rsidRPr="00903039">
        <w:rPr>
          <w:szCs w:val="24"/>
        </w:rPr>
        <w:t>Modifier le début du second paragraphe de la sous-section A4.3.14.7, qui s</w:t>
      </w:r>
      <w:r w:rsidR="00516BBC">
        <w:rPr>
          <w:szCs w:val="24"/>
        </w:rPr>
        <w:t>’</w:t>
      </w:r>
      <w:r w:rsidRPr="00903039">
        <w:rPr>
          <w:szCs w:val="24"/>
        </w:rPr>
        <w:t>applique aux liquides, afin qu</w:t>
      </w:r>
      <w:r w:rsidR="00516BBC">
        <w:rPr>
          <w:szCs w:val="24"/>
        </w:rPr>
        <w:t>’</w:t>
      </w:r>
      <w:r w:rsidRPr="00903039">
        <w:rPr>
          <w:szCs w:val="24"/>
        </w:rPr>
        <w:t xml:space="preserve">il commence par les mots </w:t>
      </w:r>
      <w:r w:rsidR="00D82C42">
        <w:rPr>
          <w:szCs w:val="24"/>
        </w:rPr>
        <w:t>« </w:t>
      </w:r>
      <w:r w:rsidRPr="00D82C42">
        <w:rPr>
          <w:szCs w:val="24"/>
        </w:rPr>
        <w:t>Pour les liquides</w:t>
      </w:r>
      <w:r w:rsidR="00D82C42">
        <w:rPr>
          <w:szCs w:val="24"/>
        </w:rPr>
        <w:t> »</w:t>
      </w:r>
      <w:r w:rsidRPr="00903039">
        <w:rPr>
          <w:szCs w:val="24"/>
        </w:rPr>
        <w:t>, soit</w:t>
      </w:r>
      <w:r w:rsidR="00D82C42">
        <w:rPr>
          <w:szCs w:val="24"/>
        </w:rPr>
        <w:t> </w:t>
      </w:r>
      <w:r w:rsidRPr="00903039">
        <w:rPr>
          <w:szCs w:val="24"/>
        </w:rPr>
        <w:t>:</w:t>
      </w:r>
    </w:p>
    <w:p w:rsidR="004649F9" w:rsidRPr="00D82C42" w:rsidRDefault="00D82C42" w:rsidP="00AF34A8">
      <w:pPr>
        <w:pStyle w:val="SingleTxtG"/>
        <w:ind w:left="1701" w:firstLine="567"/>
        <w:rPr>
          <w:szCs w:val="24"/>
        </w:rPr>
      </w:pPr>
      <w:r>
        <w:rPr>
          <w:szCs w:val="24"/>
        </w:rPr>
        <w:t>« </w:t>
      </w:r>
      <w:r w:rsidR="004649F9" w:rsidRPr="00D82C42">
        <w:rPr>
          <w:szCs w:val="24"/>
        </w:rPr>
        <w:t>Pour les cargaisons liquides, indiquer le nom du produit (s</w:t>
      </w:r>
      <w:r w:rsidR="00516BBC">
        <w:rPr>
          <w:szCs w:val="24"/>
        </w:rPr>
        <w:t>’</w:t>
      </w:r>
      <w:r w:rsidR="004649F9" w:rsidRPr="00D82C42">
        <w:rPr>
          <w:szCs w:val="24"/>
        </w:rPr>
        <w:t>il est différent… et la catégorie de pollution.</w:t>
      </w:r>
      <w:r>
        <w:rPr>
          <w:szCs w:val="24"/>
        </w:rPr>
        <w:t> »</w:t>
      </w:r>
      <w:r w:rsidR="004649F9" w:rsidRPr="00D82C42">
        <w:rPr>
          <w:szCs w:val="24"/>
        </w:rPr>
        <w:t>.</w:t>
      </w:r>
    </w:p>
    <w:p w:rsidR="004649F9" w:rsidRPr="00903039" w:rsidRDefault="004649F9" w:rsidP="00D82C42">
      <w:pPr>
        <w:pStyle w:val="ParNoG"/>
        <w:keepNext/>
        <w:tabs>
          <w:tab w:val="clear" w:pos="1701"/>
        </w:tabs>
        <w:rPr>
          <w:szCs w:val="24"/>
        </w:rPr>
      </w:pPr>
      <w:r w:rsidRPr="00903039">
        <w:rPr>
          <w:szCs w:val="24"/>
        </w:rPr>
        <w:t>Ajouter un troisième paragraphe à la sous-section A4.3.14.7 afin de donner des instructions sur le type d</w:t>
      </w:r>
      <w:r w:rsidR="00516BBC">
        <w:rPr>
          <w:szCs w:val="24"/>
        </w:rPr>
        <w:t>’</w:t>
      </w:r>
      <w:r w:rsidRPr="00903039">
        <w:rPr>
          <w:szCs w:val="24"/>
        </w:rPr>
        <w:t>informations pouvant être fourni pour les cargaisons solides en vrac, comme suit</w:t>
      </w:r>
      <w:r w:rsidR="00D82C42">
        <w:rPr>
          <w:szCs w:val="24"/>
        </w:rPr>
        <w:t> </w:t>
      </w:r>
      <w:r w:rsidRPr="00903039">
        <w:rPr>
          <w:szCs w:val="24"/>
        </w:rPr>
        <w:t xml:space="preserve">: </w:t>
      </w:r>
    </w:p>
    <w:p w:rsidR="004649F9" w:rsidRPr="00D82C42" w:rsidRDefault="00D82C42" w:rsidP="00AF34A8">
      <w:pPr>
        <w:pStyle w:val="SingleTxtG"/>
        <w:ind w:left="1701" w:firstLine="567"/>
        <w:rPr>
          <w:szCs w:val="24"/>
        </w:rPr>
      </w:pPr>
      <w:r>
        <w:rPr>
          <w:szCs w:val="24"/>
        </w:rPr>
        <w:t>« </w:t>
      </w:r>
      <w:r w:rsidR="004649F9" w:rsidRPr="00D82C42">
        <w:rPr>
          <w:szCs w:val="24"/>
        </w:rPr>
        <w:t>Pour les cargaisons solides en vrac, indiquer la désignation de transport de la cargaison en vrac,</w:t>
      </w:r>
      <w:r w:rsidR="00931B0D">
        <w:rPr>
          <w:szCs w:val="24"/>
        </w:rPr>
        <w:t xml:space="preserve"> </w:t>
      </w:r>
      <w:r w:rsidR="004649F9" w:rsidRPr="00D82C42">
        <w:rPr>
          <w:szCs w:val="24"/>
        </w:rPr>
        <w:t>si</w:t>
      </w:r>
      <w:r w:rsidR="00931B0D">
        <w:rPr>
          <w:szCs w:val="24"/>
        </w:rPr>
        <w:t xml:space="preserve"> </w:t>
      </w:r>
      <w:r w:rsidR="004649F9" w:rsidRPr="00D82C42">
        <w:rPr>
          <w:szCs w:val="24"/>
        </w:rPr>
        <w:t>celle-ci</w:t>
      </w:r>
      <w:r w:rsidR="00931B0D">
        <w:rPr>
          <w:szCs w:val="24"/>
        </w:rPr>
        <w:t xml:space="preserve"> </w:t>
      </w:r>
      <w:r w:rsidR="004649F9" w:rsidRPr="00D82C42">
        <w:rPr>
          <w:szCs w:val="24"/>
        </w:rPr>
        <w:t>est ou non considérée comme étant nocive pour le milieu marin au titre de l</w:t>
      </w:r>
      <w:r w:rsidR="00516BBC">
        <w:rPr>
          <w:szCs w:val="24"/>
        </w:rPr>
        <w:t>’</w:t>
      </w:r>
      <w:r w:rsidR="004649F9" w:rsidRPr="00D82C42">
        <w:rPr>
          <w:szCs w:val="24"/>
        </w:rPr>
        <w:t>annexe V de la Convention MARPOL, s</w:t>
      </w:r>
      <w:r w:rsidR="00516BBC">
        <w:rPr>
          <w:szCs w:val="24"/>
        </w:rPr>
        <w:t>’</w:t>
      </w:r>
      <w:r w:rsidR="004649F9" w:rsidRPr="00D82C42">
        <w:rPr>
          <w:szCs w:val="24"/>
        </w:rPr>
        <w:t>il s</w:t>
      </w:r>
      <w:r w:rsidR="00516BBC">
        <w:rPr>
          <w:szCs w:val="24"/>
        </w:rPr>
        <w:t>’</w:t>
      </w:r>
      <w:r w:rsidR="004649F9" w:rsidRPr="00D82C42">
        <w:rPr>
          <w:szCs w:val="24"/>
        </w:rPr>
        <w:t>agit d</w:t>
      </w:r>
      <w:r w:rsidR="00516BBC">
        <w:rPr>
          <w:szCs w:val="24"/>
        </w:rPr>
        <w:t>’</w:t>
      </w:r>
      <w:r w:rsidR="004649F9" w:rsidRPr="00D82C42">
        <w:rPr>
          <w:szCs w:val="24"/>
        </w:rPr>
        <w:t>une matière qui n</w:t>
      </w:r>
      <w:r w:rsidR="00516BBC">
        <w:rPr>
          <w:szCs w:val="24"/>
        </w:rPr>
        <w:t>’</w:t>
      </w:r>
      <w:r w:rsidR="004649F9" w:rsidRPr="00D82C42">
        <w:rPr>
          <w:szCs w:val="24"/>
        </w:rPr>
        <w:t>est</w:t>
      </w:r>
      <w:r w:rsidR="00931B0D">
        <w:rPr>
          <w:szCs w:val="24"/>
        </w:rPr>
        <w:t xml:space="preserve"> </w:t>
      </w:r>
      <w:r w:rsidR="004649F9" w:rsidRPr="00D82C42">
        <w:rPr>
          <w:szCs w:val="24"/>
        </w:rPr>
        <w:t>dangereuse qu</w:t>
      </w:r>
      <w:r w:rsidR="00516BBC">
        <w:rPr>
          <w:szCs w:val="24"/>
        </w:rPr>
        <w:t>’</w:t>
      </w:r>
      <w:r w:rsidR="004649F9" w:rsidRPr="00D82C42">
        <w:rPr>
          <w:szCs w:val="24"/>
        </w:rPr>
        <w:t>en vrac, conformément au Code IMSBC, et à quel groupe appartient la cargaison, conformément à l</w:t>
      </w:r>
      <w:r w:rsidR="00516BBC">
        <w:rPr>
          <w:szCs w:val="24"/>
        </w:rPr>
        <w:t>’</w:t>
      </w:r>
      <w:r w:rsidR="004649F9" w:rsidRPr="00D82C42">
        <w:rPr>
          <w:szCs w:val="24"/>
        </w:rPr>
        <w:t>IMSBC.</w:t>
      </w:r>
      <w:r>
        <w:rPr>
          <w:szCs w:val="24"/>
        </w:rPr>
        <w:t> »</w:t>
      </w:r>
      <w:r w:rsidR="004649F9" w:rsidRPr="00D82C42">
        <w:rPr>
          <w:szCs w:val="24"/>
        </w:rPr>
        <w:t>.</w:t>
      </w:r>
    </w:p>
    <w:p w:rsidR="004649F9" w:rsidRPr="00903039" w:rsidRDefault="004649F9" w:rsidP="00D82C42">
      <w:pPr>
        <w:pStyle w:val="ParNoG"/>
        <w:keepNext/>
        <w:tabs>
          <w:tab w:val="clear" w:pos="1701"/>
        </w:tabs>
        <w:rPr>
          <w:szCs w:val="24"/>
        </w:rPr>
      </w:pPr>
      <w:r w:rsidRPr="00903039">
        <w:rPr>
          <w:szCs w:val="24"/>
        </w:rPr>
        <w:t>Ajouter un quatrième paragraphe à la sous-section A4.3.14.7 afin d</w:t>
      </w:r>
      <w:r w:rsidR="00516BBC">
        <w:rPr>
          <w:szCs w:val="24"/>
        </w:rPr>
        <w:t>’</w:t>
      </w:r>
      <w:r w:rsidRPr="00903039">
        <w:rPr>
          <w:szCs w:val="24"/>
        </w:rPr>
        <w:t>indiquer quel type d</w:t>
      </w:r>
      <w:r w:rsidR="00516BBC">
        <w:rPr>
          <w:szCs w:val="24"/>
        </w:rPr>
        <w:t>’</w:t>
      </w:r>
      <w:r w:rsidRPr="00903039">
        <w:rPr>
          <w:szCs w:val="24"/>
        </w:rPr>
        <w:t>informations pourrait être fourni pour les cargaisons gazeuses en vrac</w:t>
      </w:r>
      <w:r w:rsidR="00D82C42">
        <w:rPr>
          <w:szCs w:val="24"/>
        </w:rPr>
        <w:t> </w:t>
      </w:r>
      <w:r w:rsidRPr="00903039">
        <w:rPr>
          <w:szCs w:val="24"/>
        </w:rPr>
        <w:t>:</w:t>
      </w:r>
    </w:p>
    <w:p w:rsidR="004649F9" w:rsidRPr="00D82C42" w:rsidRDefault="00D82C42" w:rsidP="00AF34A8">
      <w:pPr>
        <w:pStyle w:val="SingleTxtG"/>
        <w:ind w:left="1701" w:firstLine="567"/>
        <w:rPr>
          <w:szCs w:val="24"/>
        </w:rPr>
      </w:pPr>
      <w:r>
        <w:rPr>
          <w:szCs w:val="24"/>
        </w:rPr>
        <w:t>« </w:t>
      </w:r>
      <w:r w:rsidR="004649F9" w:rsidRPr="00D82C42">
        <w:rPr>
          <w:szCs w:val="24"/>
        </w:rPr>
        <w:t>Pour les cargaisons gazeuses en vrac, indiquer le nom du produit et le type de bateau conformément au Code IGC</w:t>
      </w:r>
      <w:r w:rsidR="00931B0D">
        <w:rPr>
          <w:szCs w:val="24"/>
        </w:rPr>
        <w:t xml:space="preserve"> </w:t>
      </w:r>
      <w:r w:rsidR="004649F9" w:rsidRPr="00D82C42">
        <w:rPr>
          <w:szCs w:val="24"/>
        </w:rPr>
        <w:t>(ou aux versions précédentes, c</w:t>
      </w:r>
      <w:r w:rsidR="00516BBC">
        <w:rPr>
          <w:szCs w:val="24"/>
        </w:rPr>
        <w:t>’</w:t>
      </w:r>
      <w:r w:rsidR="004649F9" w:rsidRPr="00D82C42">
        <w:rPr>
          <w:szCs w:val="24"/>
        </w:rPr>
        <w:t xml:space="preserve">est-à-dire le Code </w:t>
      </w:r>
      <w:proofErr w:type="spellStart"/>
      <w:r w:rsidR="004649F9" w:rsidRPr="00D82C42">
        <w:rPr>
          <w:szCs w:val="24"/>
        </w:rPr>
        <w:t>eGC</w:t>
      </w:r>
      <w:proofErr w:type="spellEnd"/>
      <w:r w:rsidR="004649F9" w:rsidRPr="00D82C42">
        <w:rPr>
          <w:szCs w:val="24"/>
        </w:rPr>
        <w:t xml:space="preserve"> et le Recueil de règles sur les transporteurs de gaz (Code GC))</w:t>
      </w:r>
      <w:r>
        <w:rPr>
          <w:szCs w:val="24"/>
        </w:rPr>
        <w:t> »</w:t>
      </w:r>
      <w:r w:rsidR="004649F9" w:rsidRPr="00D82C42">
        <w:rPr>
          <w:szCs w:val="24"/>
        </w:rPr>
        <w:t>.</w:t>
      </w:r>
    </w:p>
    <w:p w:rsidR="004649F9" w:rsidRPr="00903039" w:rsidRDefault="0039723E" w:rsidP="0039723E">
      <w:pPr>
        <w:pStyle w:val="HChG"/>
      </w:pPr>
      <w:r>
        <w:tab/>
      </w:r>
      <w:r>
        <w:tab/>
      </w:r>
      <w:r w:rsidR="004649F9" w:rsidRPr="00903039">
        <w:t>Résumé</w:t>
      </w:r>
    </w:p>
    <w:p w:rsidR="00446FE5" w:rsidRPr="00A55259" w:rsidRDefault="004649F9" w:rsidP="00A55259">
      <w:pPr>
        <w:pStyle w:val="ParNoG"/>
        <w:tabs>
          <w:tab w:val="clear" w:pos="1701"/>
        </w:tabs>
      </w:pPr>
      <w:r w:rsidRPr="00903039">
        <w:rPr>
          <w:szCs w:val="24"/>
        </w:rPr>
        <w:t>Le changement de titre de la sous-section et les instructions supplémentaires aideraient à la fois l</w:t>
      </w:r>
      <w:r w:rsidR="00516BBC">
        <w:rPr>
          <w:szCs w:val="24"/>
        </w:rPr>
        <w:t>’</w:t>
      </w:r>
      <w:r w:rsidRPr="00903039">
        <w:rPr>
          <w:szCs w:val="24"/>
        </w:rPr>
        <w:t>auteur de la fiche de données de sécurité et l</w:t>
      </w:r>
      <w:r w:rsidR="00516BBC">
        <w:rPr>
          <w:szCs w:val="24"/>
        </w:rPr>
        <w:t>’</w:t>
      </w:r>
      <w:r w:rsidRPr="00903039">
        <w:rPr>
          <w:szCs w:val="24"/>
        </w:rPr>
        <w:t>utilisateur, dans la mesure où l</w:t>
      </w:r>
      <w:r w:rsidR="00516BBC">
        <w:rPr>
          <w:szCs w:val="24"/>
        </w:rPr>
        <w:t>’</w:t>
      </w:r>
      <w:r w:rsidRPr="00903039">
        <w:rPr>
          <w:szCs w:val="24"/>
        </w:rPr>
        <w:t>on pourrait trouver dans la même sous-section de l</w:t>
      </w:r>
      <w:r w:rsidR="00516BBC">
        <w:rPr>
          <w:szCs w:val="24"/>
        </w:rPr>
        <w:t>’</w:t>
      </w:r>
      <w:r w:rsidRPr="00903039">
        <w:rPr>
          <w:szCs w:val="24"/>
        </w:rPr>
        <w:t>annexe relative à la FDS les informations relatives au transport en vrac pour toutes les formes physiques.</w:t>
      </w:r>
    </w:p>
    <w:p w:rsidR="00A55259" w:rsidRPr="00A55259" w:rsidRDefault="00A55259" w:rsidP="00A55259">
      <w:pPr>
        <w:pStyle w:val="SingleTxtG"/>
        <w:spacing w:before="240" w:after="0"/>
        <w:jc w:val="center"/>
        <w:rPr>
          <w:u w:val="single"/>
        </w:rPr>
      </w:pPr>
      <w:r>
        <w:rPr>
          <w:u w:val="single"/>
        </w:rPr>
        <w:tab/>
      </w:r>
      <w:r>
        <w:rPr>
          <w:u w:val="single"/>
        </w:rPr>
        <w:tab/>
      </w:r>
      <w:r>
        <w:rPr>
          <w:u w:val="single"/>
        </w:rPr>
        <w:tab/>
      </w:r>
    </w:p>
    <w:sectPr w:rsidR="00A55259" w:rsidRPr="00A55259" w:rsidSect="001C0FA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61" w:rsidRDefault="00AA5161" w:rsidP="00F95C08">
      <w:pPr>
        <w:spacing w:line="240" w:lineRule="auto"/>
      </w:pPr>
    </w:p>
  </w:endnote>
  <w:endnote w:type="continuationSeparator" w:id="0">
    <w:p w:rsidR="00AA5161" w:rsidRPr="00AC3823" w:rsidRDefault="00AA5161" w:rsidP="00AC3823">
      <w:pPr>
        <w:pStyle w:val="Footer"/>
      </w:pPr>
    </w:p>
  </w:endnote>
  <w:endnote w:type="continuationNotice" w:id="1">
    <w:p w:rsidR="00AA5161" w:rsidRDefault="00AA51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A4" w:rsidRPr="001C0FA4" w:rsidRDefault="001C0FA4" w:rsidP="001C0FA4">
    <w:pPr>
      <w:pStyle w:val="Footer"/>
      <w:tabs>
        <w:tab w:val="right" w:pos="9638"/>
      </w:tabs>
    </w:pPr>
    <w:r w:rsidRPr="001C0FA4">
      <w:rPr>
        <w:b/>
        <w:sz w:val="18"/>
      </w:rPr>
      <w:fldChar w:fldCharType="begin"/>
    </w:r>
    <w:r w:rsidRPr="001C0FA4">
      <w:rPr>
        <w:b/>
        <w:sz w:val="18"/>
      </w:rPr>
      <w:instrText xml:space="preserve"> PAGE  \* MERGEFORMAT </w:instrText>
    </w:r>
    <w:r w:rsidRPr="001C0FA4">
      <w:rPr>
        <w:b/>
        <w:sz w:val="18"/>
      </w:rPr>
      <w:fldChar w:fldCharType="separate"/>
    </w:r>
    <w:r w:rsidR="0092736C">
      <w:rPr>
        <w:b/>
        <w:noProof/>
        <w:sz w:val="18"/>
      </w:rPr>
      <w:t>2</w:t>
    </w:r>
    <w:r w:rsidRPr="001C0FA4">
      <w:rPr>
        <w:b/>
        <w:sz w:val="18"/>
      </w:rPr>
      <w:fldChar w:fldCharType="end"/>
    </w:r>
    <w:r>
      <w:rPr>
        <w:b/>
        <w:sz w:val="18"/>
      </w:rPr>
      <w:tab/>
    </w:r>
    <w:r>
      <w:t>GE.16-16211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A4" w:rsidRPr="001C0FA4" w:rsidRDefault="001C0FA4" w:rsidP="001C0FA4">
    <w:pPr>
      <w:pStyle w:val="Footer"/>
      <w:tabs>
        <w:tab w:val="right" w:pos="9638"/>
      </w:tabs>
      <w:rPr>
        <w:b/>
        <w:sz w:val="18"/>
      </w:rPr>
    </w:pPr>
    <w:r>
      <w:t>GE.16-16211</w:t>
    </w:r>
    <w:r>
      <w:tab/>
    </w:r>
    <w:r w:rsidRPr="001C0FA4">
      <w:rPr>
        <w:b/>
        <w:sz w:val="18"/>
      </w:rPr>
      <w:fldChar w:fldCharType="begin"/>
    </w:r>
    <w:r w:rsidRPr="001C0FA4">
      <w:rPr>
        <w:b/>
        <w:sz w:val="18"/>
      </w:rPr>
      <w:instrText xml:space="preserve"> PAGE  \* MERGEFORMAT </w:instrText>
    </w:r>
    <w:r w:rsidRPr="001C0FA4">
      <w:rPr>
        <w:b/>
        <w:sz w:val="18"/>
      </w:rPr>
      <w:fldChar w:fldCharType="separate"/>
    </w:r>
    <w:r w:rsidR="0092736C">
      <w:rPr>
        <w:b/>
        <w:noProof/>
        <w:sz w:val="18"/>
      </w:rPr>
      <w:t>3</w:t>
    </w:r>
    <w:r w:rsidRPr="001C0F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C0FA4" w:rsidRDefault="001C0FA4" w:rsidP="001C0FA4">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549ED6C" wp14:editId="702608D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16-16211  (F)</w:t>
    </w:r>
    <w:r w:rsidR="00855A4E">
      <w:rPr>
        <w:sz w:val="20"/>
      </w:rPr>
      <w:t xml:space="preserve">    181016    181016</w:t>
    </w:r>
    <w:r>
      <w:rPr>
        <w:sz w:val="20"/>
      </w:rPr>
      <w:br/>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sidRPr="001C0FA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4/2016/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61" w:rsidRPr="00AC3823" w:rsidRDefault="00AA5161" w:rsidP="00AC3823">
      <w:pPr>
        <w:pStyle w:val="Footer"/>
        <w:tabs>
          <w:tab w:val="right" w:pos="2155"/>
        </w:tabs>
        <w:spacing w:after="80" w:line="240" w:lineRule="atLeast"/>
        <w:ind w:left="680"/>
        <w:rPr>
          <w:u w:val="single"/>
        </w:rPr>
      </w:pPr>
      <w:r>
        <w:rPr>
          <w:u w:val="single"/>
        </w:rPr>
        <w:tab/>
      </w:r>
    </w:p>
  </w:footnote>
  <w:footnote w:type="continuationSeparator" w:id="0">
    <w:p w:rsidR="00AA5161" w:rsidRPr="00AC3823" w:rsidRDefault="00AA5161" w:rsidP="00AC3823">
      <w:pPr>
        <w:pStyle w:val="Footer"/>
        <w:tabs>
          <w:tab w:val="right" w:pos="2155"/>
        </w:tabs>
        <w:spacing w:after="80" w:line="240" w:lineRule="atLeast"/>
        <w:ind w:left="680"/>
        <w:rPr>
          <w:u w:val="single"/>
        </w:rPr>
      </w:pPr>
      <w:r>
        <w:rPr>
          <w:u w:val="single"/>
        </w:rPr>
        <w:tab/>
      </w:r>
    </w:p>
  </w:footnote>
  <w:footnote w:type="continuationNotice" w:id="1">
    <w:p w:rsidR="00AA5161" w:rsidRPr="00AC3823" w:rsidRDefault="00AA5161">
      <w:pPr>
        <w:spacing w:line="240" w:lineRule="auto"/>
        <w:rPr>
          <w:sz w:val="2"/>
          <w:szCs w:val="2"/>
        </w:rPr>
      </w:pPr>
    </w:p>
  </w:footnote>
  <w:footnote w:id="2">
    <w:p w:rsidR="004649F9" w:rsidRPr="00855A4E" w:rsidRDefault="004649F9" w:rsidP="004649F9">
      <w:pPr>
        <w:pStyle w:val="FootnoteText"/>
      </w:pPr>
      <w:r w:rsidRPr="00855A4E">
        <w:tab/>
      </w:r>
      <w:r w:rsidRPr="00855A4E">
        <w:rPr>
          <w:rStyle w:val="FootnoteReference"/>
        </w:rPr>
        <w:footnoteRef/>
      </w:r>
      <w:r w:rsidRPr="00855A4E">
        <w:tab/>
        <w:t>Conformément au programme de travail du Sous</w:t>
      </w:r>
      <w:r w:rsidRPr="00855A4E">
        <w:noBreakHyphen/>
        <w:t>Comité pour 2015-2016, adopté par le Comité à sa septième session (voir ST/SG/AC.10/C.3/92, par. 95</w:t>
      </w:r>
      <w:r w:rsidR="00855A4E">
        <w:t>,</w:t>
      </w:r>
      <w:r w:rsidRPr="00855A4E">
        <w:t xml:space="preserve"> et ST/SG/AC.10/42, par. 15)</w:t>
      </w:r>
      <w:r w:rsidR="00855A4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A4" w:rsidRPr="001C0FA4" w:rsidRDefault="001C0FA4">
    <w:pPr>
      <w:pStyle w:val="Header"/>
    </w:pPr>
    <w:r>
      <w:t>ST/SG/AC.10/C.4/2016/21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A4" w:rsidRPr="001C0FA4" w:rsidRDefault="001C0FA4" w:rsidP="001C0FA4">
    <w:pPr>
      <w:pStyle w:val="Header"/>
      <w:jc w:val="right"/>
    </w:pPr>
    <w:r>
      <w:t>ST/SG/AC.10/C.4/2016/21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61"/>
    <w:rsid w:val="00017F94"/>
    <w:rsid w:val="00023842"/>
    <w:rsid w:val="000305D3"/>
    <w:rsid w:val="000334F9"/>
    <w:rsid w:val="0007796D"/>
    <w:rsid w:val="000B7790"/>
    <w:rsid w:val="000E16EF"/>
    <w:rsid w:val="00111F2F"/>
    <w:rsid w:val="00132EA9"/>
    <w:rsid w:val="0014365E"/>
    <w:rsid w:val="00176178"/>
    <w:rsid w:val="001C0FA4"/>
    <w:rsid w:val="001F525A"/>
    <w:rsid w:val="00223272"/>
    <w:rsid w:val="0024779E"/>
    <w:rsid w:val="00267ECE"/>
    <w:rsid w:val="00283190"/>
    <w:rsid w:val="002832AC"/>
    <w:rsid w:val="002D7C93"/>
    <w:rsid w:val="0039723E"/>
    <w:rsid w:val="003D4DB8"/>
    <w:rsid w:val="00441C3B"/>
    <w:rsid w:val="00446FE5"/>
    <w:rsid w:val="00452396"/>
    <w:rsid w:val="004649F9"/>
    <w:rsid w:val="004E468C"/>
    <w:rsid w:val="00516BBC"/>
    <w:rsid w:val="005505B7"/>
    <w:rsid w:val="00573BE5"/>
    <w:rsid w:val="00586ED3"/>
    <w:rsid w:val="00596AA9"/>
    <w:rsid w:val="0068456F"/>
    <w:rsid w:val="0071601D"/>
    <w:rsid w:val="007A62E6"/>
    <w:rsid w:val="0080684C"/>
    <w:rsid w:val="00855A4E"/>
    <w:rsid w:val="00871C75"/>
    <w:rsid w:val="008776DC"/>
    <w:rsid w:val="0092736C"/>
    <w:rsid w:val="00931B0D"/>
    <w:rsid w:val="009705C8"/>
    <w:rsid w:val="009C1CF4"/>
    <w:rsid w:val="00A30353"/>
    <w:rsid w:val="00A55259"/>
    <w:rsid w:val="00AA5161"/>
    <w:rsid w:val="00AC3823"/>
    <w:rsid w:val="00AE323C"/>
    <w:rsid w:val="00AF34A8"/>
    <w:rsid w:val="00B00181"/>
    <w:rsid w:val="00B00B0D"/>
    <w:rsid w:val="00B765F7"/>
    <w:rsid w:val="00BA0CA9"/>
    <w:rsid w:val="00C02897"/>
    <w:rsid w:val="00D3439C"/>
    <w:rsid w:val="00D82C42"/>
    <w:rsid w:val="00DB1831"/>
    <w:rsid w:val="00DD3BFD"/>
    <w:rsid w:val="00DF6678"/>
    <w:rsid w:val="00EF2E22"/>
    <w:rsid w:val="00F00F52"/>
    <w:rsid w:val="00F660DF"/>
    <w:rsid w:val="00F730C8"/>
    <w:rsid w:val="00F76F47"/>
    <w:rsid w:val="00F95C08"/>
    <w:rsid w:val="00FE5A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E16EF"/>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649F9"/>
    <w:rPr>
      <w:rFonts w:ascii="Times New Roman" w:hAnsi="Times New Roman" w:cs="Times New Roman"/>
      <w:b/>
      <w:sz w:val="28"/>
      <w:szCs w:val="20"/>
      <w:lang w:eastAsia="en-US"/>
    </w:rPr>
  </w:style>
  <w:style w:type="character" w:customStyle="1" w:styleId="SingleTxtGChar">
    <w:name w:val="_ Single Txt_G Char"/>
    <w:link w:val="SingleTxtG"/>
    <w:rsid w:val="004649F9"/>
    <w:rPr>
      <w:rFonts w:ascii="Times New Roman" w:hAnsi="Times New Roman" w:cs="Times New Roman"/>
      <w:sz w:val="20"/>
      <w:szCs w:val="20"/>
      <w:lang w:eastAsia="en-US"/>
    </w:rPr>
  </w:style>
  <w:style w:type="character" w:customStyle="1" w:styleId="H1GChar">
    <w:name w:val="_ H_1_G Char"/>
    <w:link w:val="H1G"/>
    <w:rsid w:val="004649F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E16EF"/>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649F9"/>
    <w:rPr>
      <w:rFonts w:ascii="Times New Roman" w:hAnsi="Times New Roman" w:cs="Times New Roman"/>
      <w:b/>
      <w:sz w:val="28"/>
      <w:szCs w:val="20"/>
      <w:lang w:eastAsia="en-US"/>
    </w:rPr>
  </w:style>
  <w:style w:type="character" w:customStyle="1" w:styleId="SingleTxtGChar">
    <w:name w:val="_ Single Txt_G Char"/>
    <w:link w:val="SingleTxtG"/>
    <w:rsid w:val="004649F9"/>
    <w:rPr>
      <w:rFonts w:ascii="Times New Roman" w:hAnsi="Times New Roman" w:cs="Times New Roman"/>
      <w:sz w:val="20"/>
      <w:szCs w:val="20"/>
      <w:lang w:eastAsia="en-US"/>
    </w:rPr>
  </w:style>
  <w:style w:type="character" w:customStyle="1" w:styleId="H1GChar">
    <w:name w:val="_ H_1_G Char"/>
    <w:link w:val="H1G"/>
    <w:rsid w:val="004649F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ST/SG/AC.10/C.4/2016/21</vt:lpstr>
      <vt:lpstr>ST/SG/AC.10/C.4/2016/21</vt:lpstr>
    </vt:vector>
  </TitlesOfParts>
  <Company>DCM</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ST/SG/AC.10/C.4/2016/21</dc:title>
  <dc:creator>Nath V.</dc:creator>
  <cp:lastModifiedBy>Laurence Berthet</cp:lastModifiedBy>
  <cp:revision>2</cp:revision>
  <cp:lastPrinted>2016-10-18T10:12:00Z</cp:lastPrinted>
  <dcterms:created xsi:type="dcterms:W3CDTF">2016-10-18T12:24:00Z</dcterms:created>
  <dcterms:modified xsi:type="dcterms:W3CDTF">2016-10-18T12:24:00Z</dcterms:modified>
</cp:coreProperties>
</file>