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E60D80">
            <w:pPr>
              <w:jc w:val="right"/>
              <w:rPr>
                <w:b/>
                <w:sz w:val="40"/>
                <w:szCs w:val="40"/>
              </w:rPr>
            </w:pPr>
            <w:r w:rsidRPr="0099001C">
              <w:rPr>
                <w:b/>
                <w:sz w:val="40"/>
                <w:szCs w:val="40"/>
              </w:rPr>
              <w:t>UN/SCEGHS/</w:t>
            </w:r>
            <w:r w:rsidR="00A8760B">
              <w:rPr>
                <w:b/>
                <w:sz w:val="40"/>
                <w:szCs w:val="40"/>
              </w:rPr>
              <w:t>31</w:t>
            </w:r>
            <w:r w:rsidRPr="0099001C">
              <w:rPr>
                <w:b/>
                <w:sz w:val="40"/>
                <w:szCs w:val="40"/>
              </w:rPr>
              <w:t>/INF.</w:t>
            </w:r>
            <w:r w:rsidR="007A6225">
              <w:rPr>
                <w:b/>
                <w:sz w:val="40"/>
                <w:szCs w:val="40"/>
              </w:rPr>
              <w:t>1</w:t>
            </w:r>
            <w:r w:rsidR="00E60D80">
              <w:rPr>
                <w:b/>
                <w:sz w:val="40"/>
                <w:szCs w:val="40"/>
              </w:rPr>
              <w:t>9</w:t>
            </w:r>
          </w:p>
        </w:tc>
      </w:tr>
      <w:tr w:rsidR="0099001C" w:rsidTr="008B6E26">
        <w:trPr>
          <w:cantSplit/>
          <w:trHeight w:hRule="exact" w:val="3114"/>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495E6F" w:rsidRDefault="00A805EB" w:rsidP="00FD4F7E">
            <w:pPr>
              <w:tabs>
                <w:tab w:val="right" w:pos="9300"/>
              </w:tabs>
              <w:spacing w:before="120"/>
              <w:rPr>
                <w:rFonts w:ascii="Helv" w:hAnsi="Helv" w:cs="Helv"/>
                <w:b/>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495E6F" w:rsidRPr="00495E6F">
              <w:rPr>
                <w:b/>
                <w:lang w:val="en-US"/>
              </w:rPr>
              <w:t>30</w:t>
            </w:r>
            <w:r w:rsidR="006A7757" w:rsidRPr="00495E6F">
              <w:rPr>
                <w:b/>
                <w:lang w:val="en-US"/>
              </w:rPr>
              <w:t xml:space="preserve"> </w:t>
            </w:r>
            <w:r w:rsidR="00495E6F" w:rsidRPr="00495E6F">
              <w:rPr>
                <w:b/>
                <w:lang w:val="en-US"/>
              </w:rPr>
              <w:t>June</w:t>
            </w:r>
            <w:r w:rsidR="00E70DF5" w:rsidRPr="00495E6F">
              <w:rPr>
                <w:b/>
                <w:lang w:val="en-US"/>
              </w:rPr>
              <w:t xml:space="preserve"> </w:t>
            </w:r>
            <w:r w:rsidR="00A8760B" w:rsidRPr="00495E6F">
              <w:rPr>
                <w:b/>
                <w:lang w:val="en-US"/>
              </w:rPr>
              <w:t>2016</w:t>
            </w:r>
          </w:p>
          <w:p w:rsidR="00A8760B" w:rsidRDefault="00A8760B" w:rsidP="009F3D53">
            <w:pPr>
              <w:jc w:val="both"/>
              <w:rPr>
                <w:b/>
              </w:rPr>
            </w:pPr>
          </w:p>
          <w:p w:rsidR="00A8760B" w:rsidRDefault="00A8760B" w:rsidP="009F3D53">
            <w:pPr>
              <w:jc w:val="both"/>
            </w:pPr>
            <w:r>
              <w:rPr>
                <w:b/>
              </w:rPr>
              <w:t>Thirty-first</w:t>
            </w:r>
            <w:r w:rsidRPr="000B4919">
              <w:rPr>
                <w:b/>
              </w:rPr>
              <w:t xml:space="preserve"> session</w:t>
            </w:r>
            <w:r w:rsidRPr="00283442">
              <w:t xml:space="preserve"> </w:t>
            </w:r>
          </w:p>
          <w:p w:rsidR="00A8760B" w:rsidRPr="000B4919" w:rsidRDefault="00A8760B" w:rsidP="00A8760B">
            <w:pPr>
              <w:jc w:val="both"/>
            </w:pPr>
            <w:r w:rsidRPr="00283442">
              <w:t xml:space="preserve">Geneva, </w:t>
            </w:r>
            <w:r>
              <w:t>5</w:t>
            </w:r>
            <w:r w:rsidRPr="00283442">
              <w:t xml:space="preserve">– </w:t>
            </w:r>
            <w:r>
              <w:t>8</w:t>
            </w:r>
            <w:r w:rsidRPr="00283442">
              <w:t xml:space="preserve"> </w:t>
            </w:r>
            <w:r>
              <w:t>July 2016</w:t>
            </w:r>
          </w:p>
          <w:p w:rsidR="00A8760B" w:rsidRPr="000B4919" w:rsidRDefault="00A8760B" w:rsidP="00A8760B">
            <w:pPr>
              <w:spacing w:before="40"/>
            </w:pPr>
            <w:r w:rsidRPr="000B4919">
              <w:t xml:space="preserve">Item </w:t>
            </w:r>
            <w:r w:rsidR="00C3716A">
              <w:t>4 (b)</w:t>
            </w:r>
            <w:r w:rsidRPr="000B4919">
              <w:t xml:space="preserve"> of the provisional agenda</w:t>
            </w:r>
          </w:p>
          <w:p w:rsidR="0099001C" w:rsidRPr="00C3716A" w:rsidRDefault="00C3716A" w:rsidP="00C3716A">
            <w:pPr>
              <w:rPr>
                <w:b/>
              </w:rPr>
            </w:pPr>
            <w:r w:rsidRPr="00C3716A">
              <w:rPr>
                <w:b/>
              </w:rPr>
              <w:t>Hazard communication issues</w:t>
            </w:r>
            <w:r w:rsidRPr="00C3716A">
              <w:rPr>
                <w:b/>
              </w:rPr>
              <w:t>: i</w:t>
            </w:r>
            <w:r w:rsidRPr="00C3716A">
              <w:rPr>
                <w:b/>
              </w:rPr>
              <w:t xml:space="preserve">mprovement of annexes 1 to 3 and further </w:t>
            </w:r>
            <w:r w:rsidRPr="00C3716A">
              <w:rPr>
                <w:b/>
              </w:rPr>
              <w:br/>
            </w:r>
            <w:r w:rsidRPr="00C3716A">
              <w:rPr>
                <w:b/>
              </w:rPr>
              <w:t>rationalization of precautionary statements</w:t>
            </w:r>
          </w:p>
        </w:tc>
      </w:tr>
    </w:tbl>
    <w:p w:rsidR="00E60D80" w:rsidRDefault="00E60D80" w:rsidP="00E60D80">
      <w:pPr>
        <w:pStyle w:val="HChG"/>
      </w:pPr>
      <w:r>
        <w:tab/>
      </w:r>
      <w:r>
        <w:tab/>
        <w:t>Precautionary statements on medical advice or attention in GHS</w:t>
      </w:r>
    </w:p>
    <w:p w:rsidR="00E60D80" w:rsidRDefault="00E60D80" w:rsidP="00E60D80">
      <w:pPr>
        <w:pStyle w:val="H1G"/>
      </w:pPr>
      <w:r>
        <w:tab/>
      </w:r>
      <w:r>
        <w:tab/>
      </w:r>
      <w:r w:rsidRPr="003C265A">
        <w:t xml:space="preserve">Transmitted by the </w:t>
      </w:r>
      <w:r w:rsidR="00C3716A">
        <w:t>representative</w:t>
      </w:r>
      <w:r w:rsidRPr="003C265A">
        <w:t xml:space="preserve"> from the </w:t>
      </w:r>
      <w:r>
        <w:t>European Union</w:t>
      </w:r>
    </w:p>
    <w:p w:rsidR="00F25D9B" w:rsidRPr="006F4E23" w:rsidRDefault="00F25D9B" w:rsidP="00F25D9B">
      <w:pPr>
        <w:pStyle w:val="HChG"/>
      </w:pPr>
      <w:r>
        <w:tab/>
      </w:r>
      <w:r>
        <w:tab/>
      </w:r>
      <w:r w:rsidRPr="006F4E23">
        <w:t>Background</w:t>
      </w:r>
    </w:p>
    <w:p w:rsidR="00F25D9B" w:rsidRDefault="00F25D9B" w:rsidP="00F25D9B">
      <w:pPr>
        <w:pStyle w:val="SingleTxtG"/>
      </w:pPr>
      <w:r>
        <w:t>1.</w:t>
      </w:r>
      <w:r>
        <w:tab/>
        <w:t xml:space="preserve">This document concerns the distinction between </w:t>
      </w:r>
      <w:r w:rsidR="00C3716A">
        <w:t>“</w:t>
      </w:r>
      <w:r>
        <w:t>medical advice</w:t>
      </w:r>
      <w:r w:rsidR="00C3716A">
        <w:t>”</w:t>
      </w:r>
      <w:r>
        <w:t xml:space="preserve"> and medical attention in precautionary statements P313, P314 and P315.</w:t>
      </w:r>
      <w:r>
        <w:rPr>
          <w:rStyle w:val="FootnoteReference"/>
        </w:rPr>
        <w:footnoteReference w:id="2"/>
      </w:r>
    </w:p>
    <w:p w:rsidR="00F25D9B" w:rsidRDefault="00F25D9B" w:rsidP="00F25D9B">
      <w:pPr>
        <w:pStyle w:val="SingleTxtG"/>
      </w:pPr>
      <w:r>
        <w:t>2.</w:t>
      </w:r>
      <w:r>
        <w:tab/>
        <w:t>The English version of P313, P314 and P315 contains the phrase "</w:t>
      </w:r>
      <w:r w:rsidRPr="006F4E23">
        <w:t>Get medical advice/attention</w:t>
      </w:r>
      <w:r>
        <w:t xml:space="preserve">". The use of the forward slash in precautionary statements </w:t>
      </w:r>
      <w:proofErr w:type="gramStart"/>
      <w:r>
        <w:t>is explained</w:t>
      </w:r>
      <w:proofErr w:type="gramEnd"/>
      <w:r>
        <w:t xml:space="preserve"> as follows in Annex 3 to GHS:</w:t>
      </w:r>
    </w:p>
    <w:p w:rsidR="00F25D9B" w:rsidRPr="00F25D9B" w:rsidRDefault="00F25D9B" w:rsidP="00F25D9B">
      <w:pPr>
        <w:pStyle w:val="SingleTxtG"/>
        <w:ind w:left="1701"/>
        <w:rPr>
          <w:i/>
        </w:rPr>
      </w:pPr>
      <w:r w:rsidRPr="00F25D9B">
        <w:rPr>
          <w:i/>
        </w:rPr>
        <w:t>A.3.2.3.3: "When a forward slash or diagonal mark [/] appears in a precautionary statement text in column (2), it indicates that a choice has to be made between the phrases they separate. In such cases the manufacturer or supplier can choose, or the competent authorities may prescribe the most appropriate phrase(s)."</w:t>
      </w:r>
    </w:p>
    <w:p w:rsidR="00F25D9B" w:rsidRPr="0029114F" w:rsidRDefault="00F25D9B" w:rsidP="00F25D9B">
      <w:pPr>
        <w:pStyle w:val="SingleTxtG"/>
        <w:rPr>
          <w:i/>
        </w:rPr>
      </w:pPr>
      <w:r>
        <w:t>3.</w:t>
      </w:r>
      <w:r>
        <w:tab/>
        <w:t xml:space="preserve">The forward slash </w:t>
      </w:r>
      <w:proofErr w:type="gramStart"/>
      <w:r>
        <w:t>has occasionally been used</w:t>
      </w:r>
      <w:proofErr w:type="gramEnd"/>
      <w:r>
        <w:t xml:space="preserve"> in cases where it does not indicate a choice between different phrases. According to Working Document </w:t>
      </w:r>
      <w:r w:rsidRPr="001942C0">
        <w:t>ST/SG/AC.10/C.4/2012/20</w:t>
      </w:r>
      <w:r>
        <w:rPr>
          <w:rStyle w:val="FootnoteReference"/>
        </w:rPr>
        <w:footnoteReference w:id="3"/>
      </w:r>
      <w:r>
        <w:t xml:space="preserve"> and the related INF paper</w:t>
      </w:r>
      <w:r>
        <w:rPr>
          <w:rStyle w:val="FootnoteReference"/>
        </w:rPr>
        <w:footnoteReference w:id="4"/>
      </w:r>
      <w:r>
        <w:t xml:space="preserve">, this was the case for P313 ('Get medical advice/attention'), P314 ('Get medical advice/attention if you feel unwell') and P315 ('Get immediate medical advice/attention'), as listed in the </w:t>
      </w:r>
      <w:proofErr w:type="gramStart"/>
      <w:r>
        <w:t>4</w:t>
      </w:r>
      <w:r w:rsidRPr="0029114F">
        <w:rPr>
          <w:vertAlign w:val="superscript"/>
        </w:rPr>
        <w:t>th</w:t>
      </w:r>
      <w:proofErr w:type="gramEnd"/>
      <w:r>
        <w:t xml:space="preserve"> revised edition of GHS. Therefore, it was proposed to remove "/attention" from these two precautionary statements. </w:t>
      </w:r>
    </w:p>
    <w:p w:rsidR="00F25D9B" w:rsidRPr="0029114F" w:rsidRDefault="00F25D9B" w:rsidP="00F25D9B">
      <w:pPr>
        <w:pStyle w:val="ListParagraph"/>
        <w:ind w:left="360"/>
        <w:rPr>
          <w:i/>
        </w:rPr>
      </w:pPr>
    </w:p>
    <w:p w:rsidR="00F25D9B" w:rsidRDefault="00F25D9B" w:rsidP="00F25D9B">
      <w:pPr>
        <w:pStyle w:val="SingleTxtG"/>
      </w:pPr>
      <w:r>
        <w:lastRenderedPageBreak/>
        <w:t>4.</w:t>
      </w:r>
      <w:r>
        <w:tab/>
        <w:t>Upon further discussion during the 24</w:t>
      </w:r>
      <w:r w:rsidRPr="0029114F">
        <w:rPr>
          <w:vertAlign w:val="superscript"/>
        </w:rPr>
        <w:t>th</w:t>
      </w:r>
      <w:r>
        <w:t xml:space="preserve"> session of SCE GHS, this wording </w:t>
      </w:r>
      <w:proofErr w:type="gramStart"/>
      <w:r>
        <w:t>was ultimately retained</w:t>
      </w:r>
      <w:proofErr w:type="gramEnd"/>
      <w:r>
        <w:t>.</w:t>
      </w:r>
      <w:r>
        <w:rPr>
          <w:rStyle w:val="FootnoteReference"/>
        </w:rPr>
        <w:footnoteReference w:id="5"/>
      </w:r>
      <w:r>
        <w:t xml:space="preserve"> Instead, it </w:t>
      </w:r>
      <w:proofErr w:type="gramStart"/>
      <w:r>
        <w:t>was decided</w:t>
      </w:r>
      <w:proofErr w:type="gramEnd"/>
      <w:r>
        <w:t xml:space="preserve"> to add the following condition for use to the 5</w:t>
      </w:r>
      <w:r w:rsidRPr="0029114F">
        <w:rPr>
          <w:vertAlign w:val="superscript"/>
        </w:rPr>
        <w:t>th</w:t>
      </w:r>
      <w:r>
        <w:t xml:space="preserve"> revised edition of GHS:</w:t>
      </w:r>
    </w:p>
    <w:p w:rsidR="00F25D9B" w:rsidRPr="00F25D9B" w:rsidRDefault="00F25D9B" w:rsidP="00F25D9B">
      <w:pPr>
        <w:pStyle w:val="SingleTxtG"/>
        <w:ind w:left="1701"/>
        <w:rPr>
          <w:i/>
        </w:rPr>
      </w:pPr>
      <w:r w:rsidRPr="00F25D9B">
        <w:rPr>
          <w:i/>
        </w:rPr>
        <w:t>Manufacturer/supplier or the competent authority to select medical advice or attention as appropriate</w:t>
      </w:r>
    </w:p>
    <w:p w:rsidR="00F25D9B" w:rsidRDefault="00F25D9B" w:rsidP="00F25D9B">
      <w:pPr>
        <w:pStyle w:val="HChG"/>
      </w:pPr>
      <w:r>
        <w:tab/>
      </w:r>
      <w:r>
        <w:tab/>
        <w:t>Issues</w:t>
      </w:r>
    </w:p>
    <w:p w:rsidR="00F25D9B" w:rsidRDefault="00F25D9B" w:rsidP="00F25D9B">
      <w:pPr>
        <w:pStyle w:val="SingleTxtG"/>
      </w:pPr>
      <w:r>
        <w:t>5.</w:t>
      </w:r>
      <w:r>
        <w:tab/>
        <w:t xml:space="preserve">The newly inserted condition for use requires a distinction and a choice to </w:t>
      </w:r>
      <w:proofErr w:type="gramStart"/>
      <w:r>
        <w:t>be made</w:t>
      </w:r>
      <w:proofErr w:type="gramEnd"/>
      <w:r>
        <w:t xml:space="preserve"> between medical advice and medical attention. This has led to the following two issues:</w:t>
      </w:r>
    </w:p>
    <w:p w:rsidR="00F25D9B" w:rsidRDefault="00F25D9B" w:rsidP="00F25D9B">
      <w:pPr>
        <w:pStyle w:val="Bullet1G"/>
      </w:pPr>
      <w:r>
        <w:t>Lack of clarity on the meaning of the distinction between medical advice and medical attention in English</w:t>
      </w:r>
    </w:p>
    <w:p w:rsidR="00F25D9B" w:rsidRDefault="00F25D9B" w:rsidP="00F25D9B">
      <w:pPr>
        <w:pStyle w:val="Bullet1G"/>
      </w:pPr>
      <w:r>
        <w:t>Difficulty in translating this distinction to other languages</w:t>
      </w:r>
    </w:p>
    <w:p w:rsidR="00F25D9B" w:rsidRDefault="00F25D9B" w:rsidP="00F25D9B">
      <w:pPr>
        <w:pStyle w:val="HChG"/>
      </w:pPr>
      <w:r>
        <w:tab/>
      </w:r>
      <w:r>
        <w:tab/>
        <w:t>Lack of clarity on the distinction between medical advice and medical attention</w:t>
      </w:r>
    </w:p>
    <w:p w:rsidR="00F25D9B" w:rsidRDefault="00F25D9B" w:rsidP="00F25D9B">
      <w:pPr>
        <w:pStyle w:val="SingleTxtG"/>
      </w:pPr>
      <w:r>
        <w:t>6.</w:t>
      </w:r>
      <w:r>
        <w:tab/>
        <w:t xml:space="preserve">The distinction between medical advice and attention in English </w:t>
      </w:r>
      <w:proofErr w:type="gramStart"/>
      <w:r>
        <w:t>can be interpreted</w:t>
      </w:r>
      <w:proofErr w:type="gramEnd"/>
      <w:r>
        <w:t xml:space="preserve"> in different ways. It may refer to seeking help by phone as opposed to seeking help in person (e.g. by going to a hospital or an emergency room), although this is not always understood as such. It is not clear whether it also refers to the difference between seeking help or advice from a physician as opposed to seeking help from a nurse or other medical professional. </w:t>
      </w:r>
    </w:p>
    <w:p w:rsidR="00F25D9B" w:rsidRDefault="00F25D9B" w:rsidP="00F25D9B">
      <w:pPr>
        <w:pStyle w:val="SingleTxtG"/>
      </w:pPr>
      <w:r>
        <w:t>7.</w:t>
      </w:r>
      <w:r>
        <w:tab/>
        <w:t xml:space="preserve">As long as the intention behind the distinction is not clear, it is not possible to apply the condition for use and </w:t>
      </w:r>
      <w:proofErr w:type="gramStart"/>
      <w:r>
        <w:t>to accurately choose</w:t>
      </w:r>
      <w:proofErr w:type="gramEnd"/>
      <w:r>
        <w:t xml:space="preserve"> between the two phrases. Furthermore, it is questionable whether the distinction between medical advice and medical attention provides a clear benefit or only leads to confusion for duty holders, workers and consumers.</w:t>
      </w:r>
    </w:p>
    <w:p w:rsidR="00F25D9B" w:rsidRDefault="00F25D9B" w:rsidP="00F25D9B">
      <w:pPr>
        <w:pStyle w:val="HChG"/>
      </w:pPr>
      <w:r>
        <w:tab/>
      </w:r>
      <w:r>
        <w:tab/>
        <w:t>Difficulty in translating the distinction to other languages</w:t>
      </w:r>
    </w:p>
    <w:p w:rsidR="00F25D9B" w:rsidRDefault="00F25D9B" w:rsidP="00F25D9B">
      <w:pPr>
        <w:pStyle w:val="SingleTxtG"/>
      </w:pPr>
      <w:r>
        <w:t>8.</w:t>
      </w:r>
      <w:r>
        <w:tab/>
        <w:t xml:space="preserve">It has also proven difficult to translate this distinction to other languages. In the French, Spanish and Russian language versions of GHS rev. 4, P313 and P315 only refer to 'consulting a doctor' (FR: Consulter </w:t>
      </w:r>
      <w:proofErr w:type="gramStart"/>
      <w:r>
        <w:t>un</w:t>
      </w:r>
      <w:proofErr w:type="gramEnd"/>
      <w:r>
        <w:t xml:space="preserve"> </w:t>
      </w:r>
      <w:proofErr w:type="spellStart"/>
      <w:r>
        <w:t>médecin</w:t>
      </w:r>
      <w:proofErr w:type="spellEnd"/>
      <w:r>
        <w:t xml:space="preserve">; ES: </w:t>
      </w:r>
      <w:proofErr w:type="spellStart"/>
      <w:r>
        <w:t>Consultar</w:t>
      </w:r>
      <w:proofErr w:type="spellEnd"/>
      <w:r>
        <w:t xml:space="preserve"> a un </w:t>
      </w:r>
      <w:proofErr w:type="spellStart"/>
      <w:r>
        <w:t>médico</w:t>
      </w:r>
      <w:proofErr w:type="spellEnd"/>
      <w:r>
        <w:t xml:space="preserve">; RU: </w:t>
      </w:r>
      <w:proofErr w:type="spellStart"/>
      <w:r>
        <w:t>Обратиться</w:t>
      </w:r>
      <w:proofErr w:type="spellEnd"/>
      <w:r>
        <w:t xml:space="preserve"> к </w:t>
      </w:r>
      <w:proofErr w:type="spellStart"/>
      <w:r>
        <w:t>врачу</w:t>
      </w:r>
      <w:proofErr w:type="spellEnd"/>
      <w:r>
        <w:t xml:space="preserve">). </w:t>
      </w:r>
    </w:p>
    <w:p w:rsidR="00F25D9B" w:rsidRDefault="00F25D9B" w:rsidP="00F25D9B">
      <w:pPr>
        <w:pStyle w:val="SingleTxtG"/>
      </w:pPr>
      <w:r>
        <w:t>9.</w:t>
      </w:r>
      <w:r>
        <w:tab/>
        <w:t xml:space="preserve">In GHS rev. 5, the French language version </w:t>
      </w:r>
      <w:proofErr w:type="gramStart"/>
      <w:r>
        <w:t>was changed</w:t>
      </w:r>
      <w:proofErr w:type="gramEnd"/>
      <w:r>
        <w:t xml:space="preserve"> to "</w:t>
      </w:r>
      <w:r w:rsidRPr="00B865E8">
        <w:t xml:space="preserve">Demander un </w:t>
      </w:r>
      <w:proofErr w:type="spellStart"/>
      <w:r w:rsidRPr="00B865E8">
        <w:t>avis</w:t>
      </w:r>
      <w:proofErr w:type="spellEnd"/>
      <w:r w:rsidRPr="00B865E8">
        <w:t xml:space="preserve"> medical/Consulter un </w:t>
      </w:r>
      <w:proofErr w:type="spellStart"/>
      <w:r w:rsidRPr="00B865E8">
        <w:t>médecin</w:t>
      </w:r>
      <w:proofErr w:type="spellEnd"/>
      <w:r>
        <w:t xml:space="preserve">" ('Request medical advice/Consult a doctor') in order to create a distinction, albeit with a different connotation than in English. The Spanish and Russian language versions have remained unchanged, except for the addition of the condition for use, which has therefore become nonsensical (as it refers to a distinction that </w:t>
      </w:r>
      <w:proofErr w:type="gramStart"/>
      <w:r>
        <w:t>is not reflected</w:t>
      </w:r>
      <w:proofErr w:type="gramEnd"/>
      <w:r>
        <w:t xml:space="preserve"> in the actual P-statement).</w:t>
      </w:r>
    </w:p>
    <w:p w:rsidR="00F25D9B" w:rsidRDefault="00F25D9B" w:rsidP="00E60D80"/>
    <w:p w:rsidR="00F25D9B" w:rsidRDefault="00F25D9B" w:rsidP="00E60D80"/>
    <w:p w:rsidR="00F25D9B" w:rsidRDefault="00F25D9B" w:rsidP="00E60D80"/>
    <w:tbl>
      <w:tblPr>
        <w:tblStyle w:val="TableGrid1"/>
        <w:tblW w:w="0" w:type="auto"/>
        <w:tblInd w:w="108" w:type="dxa"/>
        <w:tblLook w:val="04A0" w:firstRow="1" w:lastRow="0" w:firstColumn="1" w:lastColumn="0" w:noHBand="0" w:noVBand="1"/>
      </w:tblPr>
      <w:tblGrid>
        <w:gridCol w:w="563"/>
        <w:gridCol w:w="2156"/>
        <w:gridCol w:w="2279"/>
        <w:gridCol w:w="3649"/>
      </w:tblGrid>
      <w:tr w:rsidR="00F25D9B" w:rsidRPr="00C3716A" w:rsidTr="00FA0EAE">
        <w:tc>
          <w:tcPr>
            <w:tcW w:w="563" w:type="dxa"/>
          </w:tcPr>
          <w:p w:rsidR="00F25D9B" w:rsidRPr="00C3716A" w:rsidRDefault="00F25D9B" w:rsidP="00F25D9B">
            <w:pPr>
              <w:suppressAutoHyphens w:val="0"/>
              <w:spacing w:line="240" w:lineRule="auto"/>
              <w:jc w:val="both"/>
              <w:rPr>
                <w:b/>
                <w:sz w:val="18"/>
                <w:szCs w:val="18"/>
              </w:rPr>
            </w:pPr>
          </w:p>
        </w:tc>
        <w:tc>
          <w:tcPr>
            <w:tcW w:w="2156" w:type="dxa"/>
          </w:tcPr>
          <w:p w:rsidR="00F25D9B" w:rsidRPr="00C3716A" w:rsidRDefault="00F25D9B" w:rsidP="00F25D9B">
            <w:pPr>
              <w:suppressAutoHyphens w:val="0"/>
              <w:spacing w:line="240" w:lineRule="auto"/>
              <w:jc w:val="both"/>
              <w:rPr>
                <w:b/>
                <w:sz w:val="18"/>
                <w:szCs w:val="18"/>
              </w:rPr>
            </w:pPr>
            <w:r w:rsidRPr="00C3716A">
              <w:rPr>
                <w:b/>
                <w:sz w:val="18"/>
                <w:szCs w:val="18"/>
              </w:rPr>
              <w:t>P313 in rev. 4</w:t>
            </w:r>
          </w:p>
        </w:tc>
        <w:tc>
          <w:tcPr>
            <w:tcW w:w="2279" w:type="dxa"/>
          </w:tcPr>
          <w:p w:rsidR="00F25D9B" w:rsidRPr="00C3716A" w:rsidRDefault="00F25D9B" w:rsidP="00F25D9B">
            <w:pPr>
              <w:suppressAutoHyphens w:val="0"/>
              <w:spacing w:line="240" w:lineRule="auto"/>
              <w:jc w:val="both"/>
              <w:rPr>
                <w:b/>
                <w:sz w:val="18"/>
                <w:szCs w:val="18"/>
              </w:rPr>
            </w:pPr>
            <w:r w:rsidRPr="00C3716A">
              <w:rPr>
                <w:b/>
                <w:sz w:val="18"/>
                <w:szCs w:val="18"/>
              </w:rPr>
              <w:t>P313 in rev. 5</w:t>
            </w:r>
          </w:p>
        </w:tc>
        <w:tc>
          <w:tcPr>
            <w:tcW w:w="3649" w:type="dxa"/>
          </w:tcPr>
          <w:p w:rsidR="00F25D9B" w:rsidRPr="00C3716A" w:rsidRDefault="00F25D9B" w:rsidP="00F25D9B">
            <w:pPr>
              <w:suppressAutoHyphens w:val="0"/>
              <w:spacing w:line="240" w:lineRule="auto"/>
              <w:jc w:val="both"/>
              <w:rPr>
                <w:b/>
                <w:sz w:val="18"/>
                <w:szCs w:val="18"/>
              </w:rPr>
            </w:pPr>
            <w:r w:rsidRPr="00C3716A">
              <w:rPr>
                <w:b/>
                <w:sz w:val="18"/>
                <w:szCs w:val="18"/>
              </w:rPr>
              <w:t>Condition for use in rev. 5</w:t>
            </w:r>
          </w:p>
        </w:tc>
      </w:tr>
      <w:tr w:rsidR="00F25D9B" w:rsidRPr="00C3716A" w:rsidTr="00FA0EAE">
        <w:tc>
          <w:tcPr>
            <w:tcW w:w="563" w:type="dxa"/>
          </w:tcPr>
          <w:p w:rsidR="00F25D9B" w:rsidRPr="00C3716A" w:rsidRDefault="00F25D9B" w:rsidP="00F25D9B">
            <w:pPr>
              <w:suppressAutoHyphens w:val="0"/>
              <w:spacing w:line="240" w:lineRule="auto"/>
              <w:jc w:val="both"/>
              <w:rPr>
                <w:b/>
                <w:sz w:val="18"/>
                <w:szCs w:val="18"/>
              </w:rPr>
            </w:pPr>
            <w:r w:rsidRPr="00C3716A">
              <w:rPr>
                <w:b/>
                <w:sz w:val="18"/>
                <w:szCs w:val="18"/>
              </w:rPr>
              <w:t>EN</w:t>
            </w:r>
          </w:p>
        </w:tc>
        <w:tc>
          <w:tcPr>
            <w:tcW w:w="2156" w:type="dxa"/>
          </w:tcPr>
          <w:p w:rsidR="00F25D9B" w:rsidRPr="00C3716A" w:rsidRDefault="00F25D9B" w:rsidP="00F25D9B">
            <w:pPr>
              <w:suppressAutoHyphens w:val="0"/>
              <w:spacing w:line="240" w:lineRule="auto"/>
              <w:rPr>
                <w:sz w:val="18"/>
                <w:szCs w:val="18"/>
              </w:rPr>
            </w:pPr>
            <w:r w:rsidRPr="00C3716A">
              <w:rPr>
                <w:sz w:val="18"/>
                <w:szCs w:val="18"/>
              </w:rPr>
              <w:t>Get medical advice/attention</w:t>
            </w:r>
          </w:p>
        </w:tc>
        <w:tc>
          <w:tcPr>
            <w:tcW w:w="2279" w:type="dxa"/>
          </w:tcPr>
          <w:p w:rsidR="00F25D9B" w:rsidRPr="00C3716A" w:rsidRDefault="00F25D9B" w:rsidP="00F25D9B">
            <w:pPr>
              <w:suppressAutoHyphens w:val="0"/>
              <w:spacing w:line="240" w:lineRule="auto"/>
              <w:rPr>
                <w:sz w:val="18"/>
                <w:szCs w:val="18"/>
              </w:rPr>
            </w:pPr>
            <w:proofErr w:type="spellStart"/>
            <w:r w:rsidRPr="00C3716A">
              <w:rPr>
                <w:i/>
                <w:sz w:val="18"/>
                <w:szCs w:val="18"/>
                <w:lang w:val="fr-BE"/>
              </w:rPr>
              <w:t>Unchanged</w:t>
            </w:r>
            <w:proofErr w:type="spellEnd"/>
          </w:p>
        </w:tc>
        <w:tc>
          <w:tcPr>
            <w:tcW w:w="3649" w:type="dxa"/>
          </w:tcPr>
          <w:p w:rsidR="00F25D9B" w:rsidRPr="00C3716A" w:rsidRDefault="00F25D9B" w:rsidP="00F25D9B">
            <w:pPr>
              <w:suppressAutoHyphens w:val="0"/>
              <w:spacing w:line="240" w:lineRule="auto"/>
              <w:jc w:val="both"/>
              <w:rPr>
                <w:b/>
                <w:sz w:val="18"/>
                <w:szCs w:val="18"/>
              </w:rPr>
            </w:pPr>
            <w:r w:rsidRPr="00C3716A">
              <w:rPr>
                <w:sz w:val="18"/>
                <w:szCs w:val="18"/>
              </w:rPr>
              <w:t>Manufacturer/supplier or the competent authority to select medical advice or attention as appropriate</w:t>
            </w:r>
          </w:p>
        </w:tc>
      </w:tr>
      <w:tr w:rsidR="00F25D9B" w:rsidRPr="00C3716A" w:rsidTr="00FA0EAE">
        <w:tc>
          <w:tcPr>
            <w:tcW w:w="563" w:type="dxa"/>
          </w:tcPr>
          <w:p w:rsidR="00F25D9B" w:rsidRPr="00C3716A" w:rsidRDefault="00F25D9B" w:rsidP="00F25D9B">
            <w:pPr>
              <w:suppressAutoHyphens w:val="0"/>
              <w:spacing w:line="240" w:lineRule="auto"/>
              <w:jc w:val="both"/>
              <w:rPr>
                <w:b/>
                <w:sz w:val="18"/>
                <w:szCs w:val="18"/>
              </w:rPr>
            </w:pPr>
            <w:r w:rsidRPr="00C3716A">
              <w:rPr>
                <w:b/>
                <w:sz w:val="18"/>
                <w:szCs w:val="18"/>
              </w:rPr>
              <w:t>FR</w:t>
            </w:r>
          </w:p>
        </w:tc>
        <w:tc>
          <w:tcPr>
            <w:tcW w:w="2156" w:type="dxa"/>
          </w:tcPr>
          <w:p w:rsidR="00F25D9B" w:rsidRPr="00C3716A" w:rsidRDefault="00F25D9B" w:rsidP="00F25D9B">
            <w:pPr>
              <w:suppressAutoHyphens w:val="0"/>
              <w:spacing w:line="240" w:lineRule="auto"/>
              <w:rPr>
                <w:sz w:val="18"/>
                <w:szCs w:val="18"/>
              </w:rPr>
            </w:pPr>
            <w:r w:rsidRPr="00C3716A">
              <w:rPr>
                <w:sz w:val="18"/>
                <w:szCs w:val="18"/>
              </w:rPr>
              <w:t xml:space="preserve">Consulter un </w:t>
            </w:r>
            <w:proofErr w:type="spellStart"/>
            <w:r w:rsidRPr="00C3716A">
              <w:rPr>
                <w:sz w:val="18"/>
                <w:szCs w:val="18"/>
              </w:rPr>
              <w:t>médecin</w:t>
            </w:r>
            <w:proofErr w:type="spellEnd"/>
          </w:p>
        </w:tc>
        <w:tc>
          <w:tcPr>
            <w:tcW w:w="2279" w:type="dxa"/>
          </w:tcPr>
          <w:p w:rsidR="00F25D9B" w:rsidRPr="00C3716A" w:rsidRDefault="00F25D9B" w:rsidP="00F25D9B">
            <w:pPr>
              <w:suppressAutoHyphens w:val="0"/>
              <w:spacing w:line="240" w:lineRule="auto"/>
              <w:rPr>
                <w:sz w:val="18"/>
                <w:szCs w:val="18"/>
              </w:rPr>
            </w:pPr>
            <w:r w:rsidRPr="00C3716A">
              <w:rPr>
                <w:sz w:val="18"/>
                <w:szCs w:val="18"/>
              </w:rPr>
              <w:t xml:space="preserve">Demander un </w:t>
            </w:r>
            <w:proofErr w:type="spellStart"/>
            <w:r w:rsidRPr="00C3716A">
              <w:rPr>
                <w:sz w:val="18"/>
                <w:szCs w:val="18"/>
              </w:rPr>
              <w:t>avis</w:t>
            </w:r>
            <w:proofErr w:type="spellEnd"/>
            <w:r w:rsidRPr="00C3716A">
              <w:rPr>
                <w:sz w:val="18"/>
                <w:szCs w:val="18"/>
              </w:rPr>
              <w:t xml:space="preserve"> medical/Consulter un </w:t>
            </w:r>
            <w:proofErr w:type="spellStart"/>
            <w:r w:rsidRPr="00C3716A">
              <w:rPr>
                <w:sz w:val="18"/>
                <w:szCs w:val="18"/>
              </w:rPr>
              <w:t>médecin</w:t>
            </w:r>
            <w:proofErr w:type="spellEnd"/>
          </w:p>
        </w:tc>
        <w:tc>
          <w:tcPr>
            <w:tcW w:w="3649" w:type="dxa"/>
          </w:tcPr>
          <w:p w:rsidR="00F25D9B" w:rsidRPr="00C3716A" w:rsidRDefault="00F25D9B" w:rsidP="00F25D9B">
            <w:pPr>
              <w:suppressAutoHyphens w:val="0"/>
              <w:spacing w:line="240" w:lineRule="auto"/>
              <w:jc w:val="both"/>
              <w:rPr>
                <w:b/>
                <w:sz w:val="18"/>
                <w:szCs w:val="18"/>
                <w:lang w:val="fr-BE"/>
              </w:rPr>
            </w:pPr>
            <w:r w:rsidRPr="00C3716A">
              <w:rPr>
                <w:sz w:val="18"/>
                <w:szCs w:val="18"/>
                <w:lang w:val="fr-BE"/>
              </w:rPr>
              <w:t xml:space="preserve">Il revient au fabricant/fournisseur ou à l'autorité compétente de </w:t>
            </w:r>
            <w:proofErr w:type="spellStart"/>
            <w:r w:rsidRPr="00C3716A">
              <w:rPr>
                <w:sz w:val="18"/>
                <w:szCs w:val="18"/>
                <w:lang w:val="fr-BE"/>
              </w:rPr>
              <w:t>selectionner</w:t>
            </w:r>
            <w:proofErr w:type="spellEnd"/>
            <w:r w:rsidRPr="00C3716A">
              <w:rPr>
                <w:sz w:val="18"/>
                <w:szCs w:val="18"/>
                <w:lang w:val="fr-BE"/>
              </w:rPr>
              <w:t xml:space="preserve"> la mention (demander ou consulter) appropriée</w:t>
            </w:r>
          </w:p>
        </w:tc>
      </w:tr>
      <w:tr w:rsidR="00F25D9B" w:rsidRPr="00C3716A" w:rsidTr="00FA0EAE">
        <w:tc>
          <w:tcPr>
            <w:tcW w:w="563" w:type="dxa"/>
          </w:tcPr>
          <w:p w:rsidR="00F25D9B" w:rsidRPr="00C3716A" w:rsidRDefault="00F25D9B" w:rsidP="00F25D9B">
            <w:pPr>
              <w:suppressAutoHyphens w:val="0"/>
              <w:spacing w:line="240" w:lineRule="auto"/>
              <w:jc w:val="both"/>
              <w:rPr>
                <w:b/>
                <w:sz w:val="18"/>
                <w:szCs w:val="18"/>
                <w:lang w:val="fr-BE"/>
              </w:rPr>
            </w:pPr>
            <w:r w:rsidRPr="00C3716A">
              <w:rPr>
                <w:b/>
                <w:sz w:val="18"/>
                <w:szCs w:val="18"/>
                <w:lang w:val="fr-BE"/>
              </w:rPr>
              <w:t>ES</w:t>
            </w:r>
          </w:p>
        </w:tc>
        <w:tc>
          <w:tcPr>
            <w:tcW w:w="2156" w:type="dxa"/>
          </w:tcPr>
          <w:p w:rsidR="00F25D9B" w:rsidRPr="00C3716A" w:rsidRDefault="00F25D9B" w:rsidP="00F25D9B">
            <w:pPr>
              <w:suppressAutoHyphens w:val="0"/>
              <w:spacing w:line="240" w:lineRule="auto"/>
              <w:rPr>
                <w:sz w:val="18"/>
                <w:szCs w:val="18"/>
                <w:lang w:val="fr-BE"/>
              </w:rPr>
            </w:pPr>
            <w:proofErr w:type="spellStart"/>
            <w:r w:rsidRPr="00C3716A">
              <w:rPr>
                <w:sz w:val="18"/>
                <w:szCs w:val="18"/>
                <w:lang w:val="fr-BE"/>
              </w:rPr>
              <w:t>Consultar</w:t>
            </w:r>
            <w:proofErr w:type="spellEnd"/>
            <w:r w:rsidRPr="00C3716A">
              <w:rPr>
                <w:sz w:val="18"/>
                <w:szCs w:val="18"/>
                <w:lang w:val="fr-BE"/>
              </w:rPr>
              <w:t xml:space="preserve"> a un médico</w:t>
            </w:r>
          </w:p>
        </w:tc>
        <w:tc>
          <w:tcPr>
            <w:tcW w:w="2279" w:type="dxa"/>
          </w:tcPr>
          <w:p w:rsidR="00F25D9B" w:rsidRPr="00C3716A" w:rsidRDefault="00F25D9B" w:rsidP="00F25D9B">
            <w:pPr>
              <w:suppressAutoHyphens w:val="0"/>
              <w:spacing w:line="240" w:lineRule="auto"/>
              <w:rPr>
                <w:i/>
                <w:sz w:val="18"/>
                <w:szCs w:val="18"/>
              </w:rPr>
            </w:pPr>
            <w:r w:rsidRPr="00C3716A">
              <w:rPr>
                <w:i/>
                <w:sz w:val="18"/>
                <w:szCs w:val="18"/>
              </w:rPr>
              <w:t>Change needed, but left unchanged</w:t>
            </w:r>
          </w:p>
        </w:tc>
        <w:tc>
          <w:tcPr>
            <w:tcW w:w="3649" w:type="dxa"/>
          </w:tcPr>
          <w:p w:rsidR="00F25D9B" w:rsidRPr="00C3716A" w:rsidRDefault="00F25D9B" w:rsidP="00F25D9B">
            <w:pPr>
              <w:suppressAutoHyphens w:val="0"/>
              <w:spacing w:line="240" w:lineRule="auto"/>
              <w:jc w:val="both"/>
              <w:rPr>
                <w:sz w:val="18"/>
                <w:szCs w:val="18"/>
                <w:lang w:val="es-ES"/>
              </w:rPr>
            </w:pPr>
            <w:r w:rsidRPr="00C3716A">
              <w:rPr>
                <w:sz w:val="18"/>
                <w:szCs w:val="18"/>
                <w:lang w:val="es-ES"/>
              </w:rPr>
              <w:t>El fabricante/proveedor o la autoridad competente seleccionarán, según proceda, el asesora</w:t>
            </w:r>
            <w:bookmarkStart w:id="0" w:name="_GoBack"/>
            <w:bookmarkEnd w:id="0"/>
            <w:r w:rsidRPr="00C3716A">
              <w:rPr>
                <w:sz w:val="18"/>
                <w:szCs w:val="18"/>
                <w:lang w:val="es-ES"/>
              </w:rPr>
              <w:t>miento o la atención médica que hayan de prestarse.</w:t>
            </w:r>
          </w:p>
        </w:tc>
      </w:tr>
      <w:tr w:rsidR="00F25D9B" w:rsidRPr="00C3716A" w:rsidTr="00FA0EAE">
        <w:tc>
          <w:tcPr>
            <w:tcW w:w="563" w:type="dxa"/>
          </w:tcPr>
          <w:p w:rsidR="00F25D9B" w:rsidRPr="00C3716A" w:rsidRDefault="00F25D9B" w:rsidP="00F25D9B">
            <w:pPr>
              <w:suppressAutoHyphens w:val="0"/>
              <w:spacing w:line="240" w:lineRule="auto"/>
              <w:jc w:val="both"/>
              <w:rPr>
                <w:b/>
                <w:sz w:val="18"/>
                <w:szCs w:val="18"/>
                <w:lang w:val="fr-BE"/>
              </w:rPr>
            </w:pPr>
            <w:r w:rsidRPr="00C3716A">
              <w:rPr>
                <w:b/>
                <w:sz w:val="18"/>
                <w:szCs w:val="18"/>
                <w:lang w:val="fr-BE"/>
              </w:rPr>
              <w:t>RU</w:t>
            </w:r>
          </w:p>
        </w:tc>
        <w:tc>
          <w:tcPr>
            <w:tcW w:w="2156" w:type="dxa"/>
          </w:tcPr>
          <w:p w:rsidR="00F25D9B" w:rsidRPr="00C3716A" w:rsidRDefault="00F25D9B" w:rsidP="00F25D9B">
            <w:pPr>
              <w:suppressAutoHyphens w:val="0"/>
              <w:spacing w:line="240" w:lineRule="auto"/>
              <w:rPr>
                <w:sz w:val="18"/>
                <w:szCs w:val="18"/>
                <w:lang w:val="fr-BE"/>
              </w:rPr>
            </w:pPr>
            <w:proofErr w:type="spellStart"/>
            <w:r w:rsidRPr="00C3716A">
              <w:rPr>
                <w:sz w:val="18"/>
                <w:szCs w:val="18"/>
                <w:lang w:val="fr-BE"/>
              </w:rPr>
              <w:t>Обратиться</w:t>
            </w:r>
            <w:proofErr w:type="spellEnd"/>
            <w:r w:rsidRPr="00C3716A">
              <w:rPr>
                <w:sz w:val="18"/>
                <w:szCs w:val="18"/>
                <w:lang w:val="fr-BE"/>
              </w:rPr>
              <w:t xml:space="preserve"> к </w:t>
            </w:r>
            <w:proofErr w:type="spellStart"/>
            <w:r w:rsidRPr="00C3716A">
              <w:rPr>
                <w:sz w:val="18"/>
                <w:szCs w:val="18"/>
                <w:lang w:val="fr-BE"/>
              </w:rPr>
              <w:t>врачу</w:t>
            </w:r>
            <w:proofErr w:type="spellEnd"/>
          </w:p>
        </w:tc>
        <w:tc>
          <w:tcPr>
            <w:tcW w:w="2279" w:type="dxa"/>
          </w:tcPr>
          <w:p w:rsidR="00F25D9B" w:rsidRPr="00C3716A" w:rsidRDefault="00F25D9B" w:rsidP="00F25D9B">
            <w:pPr>
              <w:suppressAutoHyphens w:val="0"/>
              <w:spacing w:line="240" w:lineRule="auto"/>
              <w:rPr>
                <w:i/>
                <w:sz w:val="18"/>
                <w:szCs w:val="18"/>
              </w:rPr>
            </w:pPr>
            <w:r w:rsidRPr="00C3716A">
              <w:rPr>
                <w:i/>
                <w:sz w:val="18"/>
                <w:szCs w:val="18"/>
              </w:rPr>
              <w:t>Change needed, but left unchanged</w:t>
            </w:r>
          </w:p>
        </w:tc>
        <w:tc>
          <w:tcPr>
            <w:tcW w:w="3649" w:type="dxa"/>
          </w:tcPr>
          <w:p w:rsidR="00F25D9B" w:rsidRPr="00C3716A" w:rsidRDefault="00F25D9B" w:rsidP="00F25D9B">
            <w:pPr>
              <w:suppressAutoHyphens w:val="0"/>
              <w:spacing w:line="240" w:lineRule="auto"/>
              <w:rPr>
                <w:sz w:val="18"/>
                <w:szCs w:val="18"/>
              </w:rPr>
            </w:pPr>
            <w:proofErr w:type="spellStart"/>
            <w:r w:rsidRPr="00C3716A">
              <w:rPr>
                <w:sz w:val="18"/>
                <w:szCs w:val="18"/>
                <w:lang w:val="fr-BE"/>
              </w:rPr>
              <w:t>Изготовителю</w:t>
            </w:r>
            <w:proofErr w:type="spellEnd"/>
            <w:r w:rsidRPr="00C3716A">
              <w:rPr>
                <w:sz w:val="18"/>
                <w:szCs w:val="18"/>
              </w:rPr>
              <w:t>/</w:t>
            </w:r>
            <w:proofErr w:type="spellStart"/>
            <w:r w:rsidRPr="00C3716A">
              <w:rPr>
                <w:sz w:val="18"/>
                <w:szCs w:val="18"/>
                <w:lang w:val="fr-BE"/>
              </w:rPr>
              <w:t>поставщику</w:t>
            </w:r>
            <w:proofErr w:type="spellEnd"/>
            <w:r w:rsidRPr="00C3716A">
              <w:rPr>
                <w:sz w:val="18"/>
                <w:szCs w:val="18"/>
              </w:rPr>
              <w:t xml:space="preserve"> </w:t>
            </w:r>
            <w:proofErr w:type="spellStart"/>
            <w:r w:rsidRPr="00C3716A">
              <w:rPr>
                <w:sz w:val="18"/>
                <w:szCs w:val="18"/>
                <w:lang w:val="fr-BE"/>
              </w:rPr>
              <w:t>или</w:t>
            </w:r>
            <w:proofErr w:type="spellEnd"/>
            <w:r w:rsidRPr="00C3716A">
              <w:rPr>
                <w:sz w:val="18"/>
                <w:szCs w:val="18"/>
              </w:rPr>
              <w:t xml:space="preserve"> </w:t>
            </w:r>
            <w:proofErr w:type="spellStart"/>
            <w:r w:rsidRPr="00C3716A">
              <w:rPr>
                <w:sz w:val="18"/>
                <w:szCs w:val="18"/>
                <w:lang w:val="fr-BE"/>
              </w:rPr>
              <w:t>компетентному</w:t>
            </w:r>
            <w:proofErr w:type="spellEnd"/>
            <w:r w:rsidRPr="00C3716A">
              <w:rPr>
                <w:sz w:val="18"/>
                <w:szCs w:val="18"/>
              </w:rPr>
              <w:t xml:space="preserve"> </w:t>
            </w:r>
            <w:proofErr w:type="spellStart"/>
            <w:r w:rsidRPr="00C3716A">
              <w:rPr>
                <w:sz w:val="18"/>
                <w:szCs w:val="18"/>
                <w:lang w:val="fr-BE"/>
              </w:rPr>
              <w:t>органу</w:t>
            </w:r>
            <w:proofErr w:type="spellEnd"/>
            <w:r w:rsidRPr="00C3716A">
              <w:rPr>
                <w:sz w:val="18"/>
                <w:szCs w:val="18"/>
              </w:rPr>
              <w:t xml:space="preserve"> </w:t>
            </w:r>
            <w:r w:rsidRPr="00C3716A">
              <w:rPr>
                <w:sz w:val="18"/>
                <w:szCs w:val="18"/>
                <w:lang w:val="fr-BE"/>
              </w:rPr>
              <w:t>в</w:t>
            </w:r>
            <w:r w:rsidRPr="00C3716A">
              <w:rPr>
                <w:sz w:val="18"/>
                <w:szCs w:val="18"/>
              </w:rPr>
              <w:t xml:space="preserve"> </w:t>
            </w:r>
            <w:proofErr w:type="spellStart"/>
            <w:r w:rsidRPr="00C3716A">
              <w:rPr>
                <w:sz w:val="18"/>
                <w:szCs w:val="18"/>
                <w:lang w:val="fr-BE"/>
              </w:rPr>
              <w:t>соответствующих</w:t>
            </w:r>
            <w:proofErr w:type="spellEnd"/>
            <w:r w:rsidRPr="00C3716A">
              <w:rPr>
                <w:sz w:val="18"/>
                <w:szCs w:val="18"/>
              </w:rPr>
              <w:t xml:space="preserve"> </w:t>
            </w:r>
            <w:proofErr w:type="spellStart"/>
            <w:r w:rsidRPr="00C3716A">
              <w:rPr>
                <w:sz w:val="18"/>
                <w:szCs w:val="18"/>
                <w:lang w:val="fr-BE"/>
              </w:rPr>
              <w:t>случаях</w:t>
            </w:r>
            <w:proofErr w:type="spellEnd"/>
            <w:r w:rsidRPr="00C3716A">
              <w:rPr>
                <w:sz w:val="18"/>
                <w:szCs w:val="18"/>
              </w:rPr>
              <w:t xml:space="preserve"> </w:t>
            </w:r>
            <w:proofErr w:type="spellStart"/>
            <w:r w:rsidRPr="00C3716A">
              <w:rPr>
                <w:sz w:val="18"/>
                <w:szCs w:val="18"/>
                <w:lang w:val="fr-BE"/>
              </w:rPr>
              <w:t>надлежит</w:t>
            </w:r>
            <w:proofErr w:type="spellEnd"/>
            <w:r w:rsidRPr="00C3716A">
              <w:rPr>
                <w:sz w:val="18"/>
                <w:szCs w:val="18"/>
              </w:rPr>
              <w:t xml:space="preserve"> </w:t>
            </w:r>
            <w:proofErr w:type="spellStart"/>
            <w:r w:rsidRPr="00C3716A">
              <w:rPr>
                <w:sz w:val="18"/>
                <w:szCs w:val="18"/>
                <w:lang w:val="fr-BE"/>
              </w:rPr>
              <w:t>определить</w:t>
            </w:r>
            <w:proofErr w:type="spellEnd"/>
            <w:r w:rsidRPr="00C3716A">
              <w:rPr>
                <w:sz w:val="18"/>
                <w:szCs w:val="18"/>
              </w:rPr>
              <w:t xml:space="preserve"> </w:t>
            </w:r>
            <w:proofErr w:type="spellStart"/>
            <w:r w:rsidRPr="00C3716A">
              <w:rPr>
                <w:sz w:val="18"/>
                <w:szCs w:val="18"/>
                <w:lang w:val="fr-BE"/>
              </w:rPr>
              <w:t>необходимость</w:t>
            </w:r>
            <w:proofErr w:type="spellEnd"/>
            <w:r w:rsidRPr="00C3716A">
              <w:rPr>
                <w:sz w:val="18"/>
                <w:szCs w:val="18"/>
              </w:rPr>
              <w:t xml:space="preserve"> </w:t>
            </w:r>
            <w:proofErr w:type="spellStart"/>
            <w:r w:rsidRPr="00C3716A">
              <w:rPr>
                <w:sz w:val="18"/>
                <w:szCs w:val="18"/>
                <w:lang w:val="fr-BE"/>
              </w:rPr>
              <w:t>обращения</w:t>
            </w:r>
            <w:proofErr w:type="spellEnd"/>
            <w:r w:rsidRPr="00C3716A">
              <w:rPr>
                <w:sz w:val="18"/>
                <w:szCs w:val="18"/>
              </w:rPr>
              <w:t xml:space="preserve"> </w:t>
            </w:r>
            <w:proofErr w:type="spellStart"/>
            <w:r w:rsidRPr="00C3716A">
              <w:rPr>
                <w:sz w:val="18"/>
                <w:szCs w:val="18"/>
                <w:lang w:val="fr-BE"/>
              </w:rPr>
              <w:t>за</w:t>
            </w:r>
            <w:proofErr w:type="spellEnd"/>
            <w:r w:rsidRPr="00C3716A">
              <w:rPr>
                <w:sz w:val="18"/>
                <w:szCs w:val="18"/>
              </w:rPr>
              <w:t xml:space="preserve"> </w:t>
            </w:r>
            <w:proofErr w:type="spellStart"/>
            <w:r w:rsidRPr="00C3716A">
              <w:rPr>
                <w:sz w:val="18"/>
                <w:szCs w:val="18"/>
                <w:lang w:val="fr-BE"/>
              </w:rPr>
              <w:t>консультацией</w:t>
            </w:r>
            <w:proofErr w:type="spellEnd"/>
            <w:r w:rsidRPr="00C3716A">
              <w:rPr>
                <w:sz w:val="18"/>
                <w:szCs w:val="18"/>
              </w:rPr>
              <w:t xml:space="preserve"> </w:t>
            </w:r>
            <w:proofErr w:type="spellStart"/>
            <w:r w:rsidRPr="00C3716A">
              <w:rPr>
                <w:sz w:val="18"/>
                <w:szCs w:val="18"/>
                <w:lang w:val="fr-BE"/>
              </w:rPr>
              <w:t>или</w:t>
            </w:r>
            <w:proofErr w:type="spellEnd"/>
            <w:r w:rsidRPr="00C3716A">
              <w:rPr>
                <w:sz w:val="18"/>
                <w:szCs w:val="18"/>
              </w:rPr>
              <w:t xml:space="preserve"> </w:t>
            </w:r>
            <w:proofErr w:type="spellStart"/>
            <w:r w:rsidRPr="00C3716A">
              <w:rPr>
                <w:sz w:val="18"/>
                <w:szCs w:val="18"/>
                <w:lang w:val="fr-BE"/>
              </w:rPr>
              <w:t>помощью</w:t>
            </w:r>
            <w:proofErr w:type="spellEnd"/>
            <w:r w:rsidRPr="00C3716A">
              <w:rPr>
                <w:sz w:val="18"/>
                <w:szCs w:val="18"/>
              </w:rPr>
              <w:t xml:space="preserve"> </w:t>
            </w:r>
            <w:r w:rsidRPr="00C3716A">
              <w:rPr>
                <w:sz w:val="18"/>
                <w:szCs w:val="18"/>
                <w:lang w:val="fr-BE"/>
              </w:rPr>
              <w:t>к</w:t>
            </w:r>
            <w:r w:rsidRPr="00C3716A">
              <w:rPr>
                <w:sz w:val="18"/>
                <w:szCs w:val="18"/>
              </w:rPr>
              <w:t xml:space="preserve"> </w:t>
            </w:r>
            <w:proofErr w:type="spellStart"/>
            <w:r w:rsidRPr="00C3716A">
              <w:rPr>
                <w:sz w:val="18"/>
                <w:szCs w:val="18"/>
                <w:lang w:val="fr-BE"/>
              </w:rPr>
              <w:t>врачу</w:t>
            </w:r>
            <w:proofErr w:type="spellEnd"/>
            <w:r w:rsidRPr="00C3716A">
              <w:rPr>
                <w:sz w:val="18"/>
                <w:szCs w:val="18"/>
              </w:rPr>
              <w:t>.</w:t>
            </w:r>
          </w:p>
        </w:tc>
      </w:tr>
    </w:tbl>
    <w:p w:rsidR="00F25D9B" w:rsidRDefault="00F25D9B" w:rsidP="00F25D9B">
      <w:pPr>
        <w:pStyle w:val="SingleTxtG"/>
        <w:spacing w:before="240"/>
      </w:pPr>
      <w:r>
        <w:t>10.</w:t>
      </w:r>
      <w:r>
        <w:tab/>
      </w:r>
      <w:r w:rsidRPr="00B865E8">
        <w:t xml:space="preserve">In the European Union, the CLP Regulation </w:t>
      </w:r>
      <w:proofErr w:type="gramStart"/>
      <w:r w:rsidRPr="00B865E8">
        <w:t>is translated</w:t>
      </w:r>
      <w:proofErr w:type="gramEnd"/>
      <w:r w:rsidRPr="00B865E8">
        <w:t xml:space="preserve"> in</w:t>
      </w:r>
      <w:r>
        <w:t>to</w:t>
      </w:r>
      <w:r w:rsidRPr="00B865E8">
        <w:t xml:space="preserve"> all official EU languages. </w:t>
      </w:r>
      <w:r>
        <w:t xml:space="preserve">Various languages do not make a distinction between medical advice and medical attention (e.g. </w:t>
      </w:r>
      <w:r w:rsidRPr="00E57A57">
        <w:t>Portuguese: "</w:t>
      </w:r>
      <w:proofErr w:type="spellStart"/>
      <w:r w:rsidRPr="00E57A57">
        <w:t>Consulte</w:t>
      </w:r>
      <w:proofErr w:type="spellEnd"/>
      <w:r w:rsidRPr="00E57A57">
        <w:t xml:space="preserve"> um </w:t>
      </w:r>
      <w:proofErr w:type="spellStart"/>
      <w:r w:rsidRPr="00E57A57">
        <w:t>médico</w:t>
      </w:r>
      <w:proofErr w:type="spellEnd"/>
      <w:r w:rsidRPr="00E57A57">
        <w:t>", Dutch: "</w:t>
      </w:r>
      <w:proofErr w:type="spellStart"/>
      <w:r w:rsidRPr="00E57A57">
        <w:t>Een</w:t>
      </w:r>
      <w:proofErr w:type="spellEnd"/>
      <w:r w:rsidRPr="00E57A57">
        <w:t xml:space="preserve"> arts </w:t>
      </w:r>
      <w:proofErr w:type="spellStart"/>
      <w:r w:rsidRPr="00E57A57">
        <w:t>raadplegen</w:t>
      </w:r>
      <w:proofErr w:type="spellEnd"/>
      <w:r w:rsidRPr="00E57A57">
        <w:t>", Swedish: "</w:t>
      </w:r>
      <w:proofErr w:type="spellStart"/>
      <w:r>
        <w:t>Sök</w:t>
      </w:r>
      <w:proofErr w:type="spellEnd"/>
      <w:r>
        <w:t xml:space="preserve"> </w:t>
      </w:r>
      <w:proofErr w:type="spellStart"/>
      <w:r>
        <w:t>läkarhjälp</w:t>
      </w:r>
      <w:proofErr w:type="spellEnd"/>
      <w:r>
        <w:t>"). As the intention behind the distinction is not clear in English, it is difficult to introduce the distinction in other languages.</w:t>
      </w:r>
    </w:p>
    <w:p w:rsidR="00F25D9B" w:rsidRDefault="00F25D9B" w:rsidP="00C3716A">
      <w:pPr>
        <w:pStyle w:val="HChG"/>
        <w:spacing w:before="240" w:after="120"/>
      </w:pPr>
      <w:r>
        <w:tab/>
      </w:r>
      <w:r>
        <w:tab/>
        <w:t>Questions</w:t>
      </w:r>
    </w:p>
    <w:p w:rsidR="00F25D9B" w:rsidRDefault="00F25D9B" w:rsidP="00F25D9B">
      <w:pPr>
        <w:pStyle w:val="SingleTxtG"/>
      </w:pPr>
      <w:r>
        <w:t>11.</w:t>
      </w:r>
      <w:r>
        <w:tab/>
        <w:t>This raises the following questions:</w:t>
      </w:r>
    </w:p>
    <w:p w:rsidR="00F25D9B" w:rsidRDefault="00F25D9B" w:rsidP="00F25D9B">
      <w:pPr>
        <w:pStyle w:val="Bullet1G"/>
      </w:pPr>
      <w:r w:rsidRPr="00715B8B">
        <w:t>What</w:t>
      </w:r>
      <w:r>
        <w:t xml:space="preserve"> is the intended purpose of the distinction between medical advice and attention?</w:t>
      </w:r>
    </w:p>
    <w:p w:rsidR="00F25D9B" w:rsidRDefault="00F25D9B" w:rsidP="00F25D9B">
      <w:pPr>
        <w:pStyle w:val="Bullet1G"/>
      </w:pPr>
      <w:r>
        <w:t>Does this distinction bring a clear benefit to consumers and workers?</w:t>
      </w:r>
    </w:p>
    <w:p w:rsidR="00F25D9B" w:rsidRDefault="00F25D9B" w:rsidP="00F25D9B">
      <w:pPr>
        <w:pStyle w:val="Bullet1G"/>
      </w:pPr>
      <w:r>
        <w:t xml:space="preserve">How </w:t>
      </w:r>
      <w:proofErr w:type="gramStart"/>
      <w:r>
        <w:t>can the inconsistency in the different language versions be addressed</w:t>
      </w:r>
      <w:proofErr w:type="gramEnd"/>
      <w:r>
        <w:t>?</w:t>
      </w:r>
    </w:p>
    <w:p w:rsidR="00F25D9B" w:rsidRPr="00715B8B" w:rsidRDefault="00F25D9B" w:rsidP="00F25D9B">
      <w:pPr>
        <w:pStyle w:val="SingleTxtG"/>
      </w:pPr>
      <w:r>
        <w:t>12.</w:t>
      </w:r>
      <w:r>
        <w:tab/>
      </w:r>
      <w:r w:rsidRPr="00715B8B">
        <w:t>In response</w:t>
      </w:r>
      <w:r>
        <w:t xml:space="preserve"> to the last question, the following options </w:t>
      </w:r>
      <w:proofErr w:type="gramStart"/>
      <w:r>
        <w:t>have been identified</w:t>
      </w:r>
      <w:proofErr w:type="gramEnd"/>
      <w:r>
        <w:t>:</w:t>
      </w:r>
    </w:p>
    <w:p w:rsidR="00F25D9B" w:rsidRDefault="00F25D9B" w:rsidP="00F25D9B">
      <w:pPr>
        <w:pStyle w:val="H23G"/>
      </w:pPr>
      <w:r w:rsidRPr="00F25D9B">
        <w:tab/>
      </w:r>
      <w:r w:rsidRPr="00F25D9B">
        <w:tab/>
      </w:r>
      <w:r>
        <w:rPr>
          <w:u w:val="single"/>
        </w:rPr>
        <w:t>Option 1</w:t>
      </w:r>
      <w:r>
        <w:t xml:space="preserve">: </w:t>
      </w:r>
      <w:r>
        <w:tab/>
      </w:r>
      <w:r w:rsidRPr="00B563C6">
        <w:t>No distinction</w:t>
      </w:r>
    </w:p>
    <w:p w:rsidR="00F25D9B" w:rsidRDefault="00F25D9B" w:rsidP="00F25D9B">
      <w:pPr>
        <w:pStyle w:val="SingleTxtG"/>
        <w:ind w:left="1701" w:firstLine="567"/>
        <w:rPr>
          <w:u w:val="single"/>
        </w:rPr>
      </w:pPr>
      <w:r>
        <w:t>Remove the condition for use, and:</w:t>
      </w:r>
    </w:p>
    <w:p w:rsidR="00F25D9B" w:rsidRDefault="00F25D9B" w:rsidP="00F25D9B">
      <w:pPr>
        <w:pStyle w:val="SingleTxtG"/>
        <w:ind w:left="2268"/>
      </w:pPr>
      <w:r w:rsidRPr="008B7C7C">
        <w:rPr>
          <w:u w:val="single"/>
        </w:rPr>
        <w:t>Option 1A</w:t>
      </w:r>
      <w:r>
        <w:t xml:space="preserve">: Replace the forward slash in the English version by "or" </w:t>
      </w:r>
      <w:r>
        <w:br/>
        <w:t xml:space="preserve">("Get medical advice or attention"). </w:t>
      </w:r>
    </w:p>
    <w:p w:rsidR="00F25D9B" w:rsidRPr="008B7C7C" w:rsidRDefault="00F25D9B" w:rsidP="00F25D9B">
      <w:pPr>
        <w:pStyle w:val="SingleTxtG"/>
        <w:ind w:left="2268"/>
      </w:pPr>
      <w:r>
        <w:rPr>
          <w:u w:val="single"/>
        </w:rPr>
        <w:t>Option 1B</w:t>
      </w:r>
      <w:r>
        <w:t xml:space="preserve">: Replace the P-statement in English to "Contact a doctor" </w:t>
      </w:r>
      <w:r>
        <w:br/>
        <w:t>(in line with other language versions).</w:t>
      </w:r>
    </w:p>
    <w:p w:rsidR="00F25D9B" w:rsidRDefault="00F25D9B" w:rsidP="00F25D9B">
      <w:pPr>
        <w:pStyle w:val="H23G"/>
      </w:pPr>
      <w:r w:rsidRPr="00F25D9B">
        <w:tab/>
      </w:r>
      <w:r w:rsidRPr="00F25D9B">
        <w:tab/>
      </w:r>
      <w:r w:rsidRPr="00A62EEE">
        <w:rPr>
          <w:u w:val="single"/>
        </w:rPr>
        <w:t xml:space="preserve">Option </w:t>
      </w:r>
      <w:r>
        <w:rPr>
          <w:u w:val="single"/>
        </w:rPr>
        <w:t>2</w:t>
      </w:r>
      <w:r>
        <w:t>:</w:t>
      </w:r>
      <w:r>
        <w:tab/>
      </w:r>
      <w:r w:rsidRPr="00B563C6">
        <w:t>Distinction in all languages</w:t>
      </w:r>
      <w:r>
        <w:t xml:space="preserve"> </w:t>
      </w:r>
    </w:p>
    <w:p w:rsidR="00F25D9B" w:rsidRDefault="00F25D9B" w:rsidP="00F25D9B">
      <w:pPr>
        <w:pStyle w:val="SingleTxtG"/>
        <w:ind w:left="2268"/>
      </w:pPr>
      <w:r>
        <w:rPr>
          <w:u w:val="single"/>
        </w:rPr>
        <w:t>Option 2A</w:t>
      </w:r>
      <w:r>
        <w:t>: Retain the condition for use and introduce the distinction in all language versions. This would require clarifying the intention behind the distinction and subsequently changing the precautionary statement in numerous language versions (e.g. changing the Spanish version to '</w:t>
      </w:r>
      <w:proofErr w:type="spellStart"/>
      <w:r w:rsidRPr="00A62EEE">
        <w:t>Consultar</w:t>
      </w:r>
      <w:proofErr w:type="spellEnd"/>
      <w:r w:rsidRPr="00A62EEE">
        <w:t>/</w:t>
      </w:r>
      <w:proofErr w:type="spellStart"/>
      <w:r w:rsidRPr="00A62EEE">
        <w:t>acudir</w:t>
      </w:r>
      <w:proofErr w:type="spellEnd"/>
      <w:r w:rsidRPr="00A62EEE">
        <w:t xml:space="preserve"> a un </w:t>
      </w:r>
      <w:proofErr w:type="spellStart"/>
      <w:r w:rsidRPr="00A62EEE">
        <w:t>médico</w:t>
      </w:r>
      <w:proofErr w:type="spellEnd"/>
      <w:r>
        <w:t>'). This would not address the lack of clarity on the distinction in English.</w:t>
      </w:r>
    </w:p>
    <w:p w:rsidR="00F25D9B" w:rsidRPr="00FC5EE5" w:rsidRDefault="00F25D9B" w:rsidP="00F25D9B">
      <w:pPr>
        <w:pStyle w:val="SingleTxtG"/>
        <w:ind w:left="2268"/>
      </w:pPr>
      <w:r>
        <w:rPr>
          <w:u w:val="single"/>
        </w:rPr>
        <w:t>Option 2B</w:t>
      </w:r>
      <w:r>
        <w:t>: As option 2A, while also changing/</w:t>
      </w:r>
      <w:proofErr w:type="gramStart"/>
      <w:r>
        <w:t>improving</w:t>
      </w:r>
      <w:proofErr w:type="gramEnd"/>
      <w:r>
        <w:t xml:space="preserve"> the P-statement in English (proposals from native speakers welcome).</w:t>
      </w:r>
    </w:p>
    <w:p w:rsidR="00F25D9B" w:rsidRDefault="00F25D9B" w:rsidP="00C3716A">
      <w:pPr>
        <w:spacing w:before="240"/>
        <w:ind w:left="1134" w:right="1134"/>
        <w:jc w:val="center"/>
      </w:pPr>
      <w:r>
        <w:rPr>
          <w:u w:val="single"/>
        </w:rPr>
        <w:tab/>
      </w:r>
      <w:r>
        <w:rPr>
          <w:u w:val="single"/>
        </w:rPr>
        <w:tab/>
      </w:r>
      <w:r>
        <w:rPr>
          <w:u w:val="single"/>
        </w:rPr>
        <w:tab/>
      </w:r>
    </w:p>
    <w:p w:rsidR="00F25D9B" w:rsidRPr="00E60D80" w:rsidRDefault="00F25D9B" w:rsidP="00E60D80"/>
    <w:sectPr w:rsidR="00F25D9B" w:rsidRPr="00E60D80" w:rsidSect="009900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3716A">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3716A">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 w:id="2">
    <w:p w:rsidR="00F25D9B" w:rsidRDefault="00F25D9B" w:rsidP="00F25D9B">
      <w:pPr>
        <w:pStyle w:val="FootnoteText"/>
        <w:ind w:firstLine="0"/>
      </w:pPr>
      <w:r>
        <w:rPr>
          <w:rStyle w:val="FootnoteReference"/>
        </w:rPr>
        <w:footnoteRef/>
      </w:r>
      <w:r>
        <w:t xml:space="preserve"> These P-statements apply to the following hazard classes: skin irritation (Cat. 2/3), eye irritation (Cat. 2A/2B), skin sensitisation (Cat. 1), germ cell mutagenicity (Cat. 1/2), carcinogenicity (Cat. 1/2), reproductive toxicity (Cat. 1/2), specific organ toxicity, repeated exposure (Cat. 1/2), </w:t>
      </w:r>
      <w:proofErr w:type="gramStart"/>
      <w:r>
        <w:t>gases</w:t>
      </w:r>
      <w:proofErr w:type="gramEnd"/>
      <w:r>
        <w:t xml:space="preserve"> under pressure (refrigerated liquefied gas).</w:t>
      </w:r>
    </w:p>
  </w:footnote>
  <w:footnote w:id="3">
    <w:p w:rsidR="00F25D9B" w:rsidRDefault="00F25D9B" w:rsidP="00F25D9B">
      <w:pPr>
        <w:pStyle w:val="FootnoteText"/>
        <w:ind w:firstLine="0"/>
      </w:pPr>
      <w:r>
        <w:rPr>
          <w:rStyle w:val="FootnoteReference"/>
        </w:rPr>
        <w:footnoteRef/>
      </w:r>
      <w:r>
        <w:t xml:space="preserve"> </w:t>
      </w:r>
      <w:r w:rsidRPr="001942C0">
        <w:t>ST/SG/AC.10/C.4/2012/20</w:t>
      </w:r>
      <w:r>
        <w:t xml:space="preserve">, 'Use of the forward slash “/” in precautionary statements', transmitted by the expert from the United Kingdom on behalf of the informal correspondence </w:t>
      </w:r>
      <w:r w:rsidR="00C3716A">
        <w:t>group on Annexes 1-3 of the GHS.</w:t>
      </w:r>
    </w:p>
  </w:footnote>
  <w:footnote w:id="4">
    <w:p w:rsidR="00F25D9B" w:rsidRPr="00B62EAC" w:rsidRDefault="00F25D9B" w:rsidP="00F25D9B">
      <w:pPr>
        <w:pStyle w:val="FootnoteText"/>
        <w:ind w:firstLine="0"/>
      </w:pPr>
      <w:r>
        <w:rPr>
          <w:rStyle w:val="FootnoteReference"/>
        </w:rPr>
        <w:footnoteRef/>
      </w:r>
      <w:r>
        <w:t xml:space="preserve"> </w:t>
      </w:r>
      <w:r w:rsidRPr="00B62EAC">
        <w:t>UN/SCEGHS/24/INF.5</w:t>
      </w:r>
      <w:r>
        <w:t>, 'Amendments to physical hazard precautionary statements and use of the forward slash “/” in GHS precautionary statements',</w:t>
      </w:r>
      <w:r w:rsidRPr="00B62EAC">
        <w:t xml:space="preserve"> </w:t>
      </w:r>
      <w:r>
        <w:t>Transmitted by the expert from the United Kingdom on behalf of the informal correspondence group on Annexes 1-3 of the GHS</w:t>
      </w:r>
    </w:p>
  </w:footnote>
  <w:footnote w:id="5">
    <w:p w:rsidR="00F25D9B" w:rsidRDefault="00F25D9B" w:rsidP="00F25D9B">
      <w:pPr>
        <w:pStyle w:val="FootnoteText"/>
        <w:ind w:firstLine="0"/>
      </w:pPr>
      <w:r>
        <w:rPr>
          <w:rStyle w:val="FootnoteReference"/>
        </w:rPr>
        <w:footnoteRef/>
      </w:r>
      <w:r>
        <w:t xml:space="preserve"> </w:t>
      </w:r>
      <w:r w:rsidRPr="00B62EAC">
        <w:t>ST/SG/AC.10/C.4/48/Add.1</w:t>
      </w:r>
      <w:r>
        <w:t>, 'Report of the Sub-Committee of Experts on the Globally Harmonized System of Classification and Labelling of Chemicals on its twenty-fourth session', Addendum, Annex I, p.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F25D9B">
      <w:t>UN/SCEGHS/</w:t>
    </w:r>
    <w:r w:rsidR="00A8760B" w:rsidRPr="00F25D9B">
      <w:t>31</w:t>
    </w:r>
    <w:r w:rsidRPr="00F25D9B">
      <w:t>/INF.</w:t>
    </w:r>
    <w:r w:rsidR="00F25D9B">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F25D9B" w:rsidP="0099001C">
    <w:pPr>
      <w:pStyle w:val="Header"/>
      <w:jc w:val="right"/>
    </w:pPr>
    <w:r>
      <w:t>UN/SCEGHS/31/INF.19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9B" w:rsidRDefault="00F25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412C4F"/>
    <w:multiLevelType w:val="hybridMultilevel"/>
    <w:tmpl w:val="9DA08330"/>
    <w:lvl w:ilvl="0" w:tplc="B572547E">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434B98"/>
    <w:multiLevelType w:val="hybridMultilevel"/>
    <w:tmpl w:val="354E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4677646"/>
    <w:multiLevelType w:val="hybridMultilevel"/>
    <w:tmpl w:val="33F8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4"/>
  </w:num>
  <w:num w:numId="6">
    <w:abstractNumId w:val="5"/>
  </w:num>
  <w:num w:numId="7">
    <w:abstractNumId w:val="6"/>
  </w:num>
  <w:num w:numId="8">
    <w:abstractNumId w:val="1"/>
  </w:num>
  <w:num w:numId="9">
    <w:abstractNumId w:val="2"/>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0"/>
  <w:activeWritingStyle w:appName="MSWord" w:lang="en-CA" w:vendorID="64" w:dllVersion="131078" w:nlCheck="1" w:checkStyle="0"/>
  <w:activeWritingStyle w:appName="MSWord" w:lang="fr-BE"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65B80"/>
    <w:rsid w:val="00190AEA"/>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3745A"/>
    <w:rsid w:val="003642AF"/>
    <w:rsid w:val="00366CA7"/>
    <w:rsid w:val="0039277A"/>
    <w:rsid w:val="003972E0"/>
    <w:rsid w:val="003C2CC4"/>
    <w:rsid w:val="003C3936"/>
    <w:rsid w:val="003D4B23"/>
    <w:rsid w:val="003F1ED3"/>
    <w:rsid w:val="004325CB"/>
    <w:rsid w:val="00446DE4"/>
    <w:rsid w:val="00460DD9"/>
    <w:rsid w:val="00467F71"/>
    <w:rsid w:val="00495E6F"/>
    <w:rsid w:val="004A41CA"/>
    <w:rsid w:val="004E7ED6"/>
    <w:rsid w:val="00503228"/>
    <w:rsid w:val="00505384"/>
    <w:rsid w:val="00532EF8"/>
    <w:rsid w:val="005420F2"/>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50B32"/>
    <w:rsid w:val="00781A60"/>
    <w:rsid w:val="007A0B22"/>
    <w:rsid w:val="007A6225"/>
    <w:rsid w:val="007B6BA5"/>
    <w:rsid w:val="007C3390"/>
    <w:rsid w:val="007C4F4B"/>
    <w:rsid w:val="007F0B83"/>
    <w:rsid w:val="007F48EF"/>
    <w:rsid w:val="007F4FCD"/>
    <w:rsid w:val="007F6611"/>
    <w:rsid w:val="008013F7"/>
    <w:rsid w:val="0081732C"/>
    <w:rsid w:val="008175E9"/>
    <w:rsid w:val="008242D7"/>
    <w:rsid w:val="00827E05"/>
    <w:rsid w:val="008311A3"/>
    <w:rsid w:val="00836AF7"/>
    <w:rsid w:val="00871FD5"/>
    <w:rsid w:val="008979B1"/>
    <w:rsid w:val="008A6B25"/>
    <w:rsid w:val="008A6C4F"/>
    <w:rsid w:val="008B6E26"/>
    <w:rsid w:val="008C0C7C"/>
    <w:rsid w:val="008E0E46"/>
    <w:rsid w:val="008E4C4C"/>
    <w:rsid w:val="00907AD2"/>
    <w:rsid w:val="00911047"/>
    <w:rsid w:val="00963CBA"/>
    <w:rsid w:val="009650E6"/>
    <w:rsid w:val="00974A8D"/>
    <w:rsid w:val="0099001C"/>
    <w:rsid w:val="00991261"/>
    <w:rsid w:val="009F3A17"/>
    <w:rsid w:val="009F3D53"/>
    <w:rsid w:val="00A1427D"/>
    <w:rsid w:val="00A55FB2"/>
    <w:rsid w:val="00A72F22"/>
    <w:rsid w:val="00A748A6"/>
    <w:rsid w:val="00A80459"/>
    <w:rsid w:val="00A805EB"/>
    <w:rsid w:val="00A8760B"/>
    <w:rsid w:val="00A879A4"/>
    <w:rsid w:val="00AA496B"/>
    <w:rsid w:val="00AE71F3"/>
    <w:rsid w:val="00B30179"/>
    <w:rsid w:val="00B30E8F"/>
    <w:rsid w:val="00B33EC0"/>
    <w:rsid w:val="00B52BA9"/>
    <w:rsid w:val="00B81E12"/>
    <w:rsid w:val="00B97D28"/>
    <w:rsid w:val="00BC74E9"/>
    <w:rsid w:val="00BD2146"/>
    <w:rsid w:val="00BE4F74"/>
    <w:rsid w:val="00BE618E"/>
    <w:rsid w:val="00C17699"/>
    <w:rsid w:val="00C1778D"/>
    <w:rsid w:val="00C3716A"/>
    <w:rsid w:val="00C41A28"/>
    <w:rsid w:val="00C463DD"/>
    <w:rsid w:val="00C745C3"/>
    <w:rsid w:val="00C945EB"/>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1C87"/>
    <w:rsid w:val="00E60D80"/>
    <w:rsid w:val="00E677EC"/>
    <w:rsid w:val="00E70DF5"/>
    <w:rsid w:val="00E7260F"/>
    <w:rsid w:val="00E80F5F"/>
    <w:rsid w:val="00E87921"/>
    <w:rsid w:val="00E96630"/>
    <w:rsid w:val="00EA264E"/>
    <w:rsid w:val="00EA3A41"/>
    <w:rsid w:val="00ED71D9"/>
    <w:rsid w:val="00ED7A2A"/>
    <w:rsid w:val="00EF1D7F"/>
    <w:rsid w:val="00F25D9B"/>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NoteHead">
    <w:name w:val="NoteHead"/>
    <w:basedOn w:val="Normal"/>
    <w:next w:val="Normal"/>
    <w:rsid w:val="00E60D80"/>
    <w:pPr>
      <w:suppressAutoHyphens w:val="0"/>
      <w:spacing w:before="720" w:after="720" w:line="240" w:lineRule="auto"/>
      <w:jc w:val="center"/>
    </w:pPr>
    <w:rPr>
      <w:b/>
      <w:smallCaps/>
      <w:sz w:val="24"/>
    </w:rPr>
  </w:style>
  <w:style w:type="paragraph" w:styleId="ListParagraph">
    <w:name w:val="List Paragraph"/>
    <w:basedOn w:val="Normal"/>
    <w:uiPriority w:val="34"/>
    <w:qFormat/>
    <w:rsid w:val="00F25D9B"/>
    <w:pPr>
      <w:suppressAutoHyphens w:val="0"/>
      <w:spacing w:after="240" w:line="240" w:lineRule="auto"/>
      <w:ind w:left="720"/>
      <w:contextualSpacing/>
      <w:jc w:val="both"/>
    </w:pPr>
    <w:rPr>
      <w:sz w:val="24"/>
    </w:rPr>
  </w:style>
  <w:style w:type="table" w:customStyle="1" w:styleId="TableGrid1">
    <w:name w:val="Table Grid1"/>
    <w:basedOn w:val="TableNormal"/>
    <w:next w:val="TableGrid"/>
    <w:uiPriority w:val="59"/>
    <w:rsid w:val="00F25D9B"/>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F25D9B"/>
    <w:pPr>
      <w:suppressAutoHyphens w:val="0"/>
      <w:spacing w:after="240" w:line="240" w:lineRule="auto"/>
      <w:ind w:left="482"/>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NoteHead">
    <w:name w:val="NoteHead"/>
    <w:basedOn w:val="Normal"/>
    <w:next w:val="Normal"/>
    <w:rsid w:val="00E60D80"/>
    <w:pPr>
      <w:suppressAutoHyphens w:val="0"/>
      <w:spacing w:before="720" w:after="720" w:line="240" w:lineRule="auto"/>
      <w:jc w:val="center"/>
    </w:pPr>
    <w:rPr>
      <w:b/>
      <w:smallCaps/>
      <w:sz w:val="24"/>
    </w:rPr>
  </w:style>
  <w:style w:type="paragraph" w:styleId="ListParagraph">
    <w:name w:val="List Paragraph"/>
    <w:basedOn w:val="Normal"/>
    <w:uiPriority w:val="34"/>
    <w:qFormat/>
    <w:rsid w:val="00F25D9B"/>
    <w:pPr>
      <w:suppressAutoHyphens w:val="0"/>
      <w:spacing w:after="240" w:line="240" w:lineRule="auto"/>
      <w:ind w:left="720"/>
      <w:contextualSpacing/>
      <w:jc w:val="both"/>
    </w:pPr>
    <w:rPr>
      <w:sz w:val="24"/>
    </w:rPr>
  </w:style>
  <w:style w:type="table" w:customStyle="1" w:styleId="TableGrid1">
    <w:name w:val="Table Grid1"/>
    <w:basedOn w:val="TableNormal"/>
    <w:next w:val="TableGrid"/>
    <w:uiPriority w:val="59"/>
    <w:rsid w:val="00F25D9B"/>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F25D9B"/>
    <w:pPr>
      <w:suppressAutoHyphens w:val="0"/>
      <w:spacing w:after="240" w:line="240" w:lineRule="auto"/>
      <w:ind w:left="482"/>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A6A7-4704-4B64-AE23-9469A2F0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12</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2016-06-30T14:19:00Z</cp:lastPrinted>
  <dcterms:created xsi:type="dcterms:W3CDTF">2016-06-30T15:17:00Z</dcterms:created>
  <dcterms:modified xsi:type="dcterms:W3CDTF">2016-06-30T15:43:00Z</dcterms:modified>
</cp:coreProperties>
</file>