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1C57D7FA" w14:textId="77777777" w:rsidTr="00691F20">
        <w:trPr>
          <w:cantSplit/>
          <w:trHeight w:hRule="exact" w:val="851"/>
        </w:trPr>
        <w:tc>
          <w:tcPr>
            <w:tcW w:w="9639" w:type="dxa"/>
            <w:tcBorders>
              <w:bottom w:val="single" w:sz="4" w:space="0" w:color="auto"/>
            </w:tcBorders>
            <w:vAlign w:val="bottom"/>
          </w:tcPr>
          <w:p w14:paraId="5E91D9A8" w14:textId="252DE366" w:rsidR="0099001C" w:rsidRPr="0099001C" w:rsidRDefault="0099001C" w:rsidP="009A4A60">
            <w:pPr>
              <w:jc w:val="right"/>
              <w:rPr>
                <w:b/>
                <w:sz w:val="40"/>
                <w:szCs w:val="40"/>
              </w:rPr>
            </w:pPr>
            <w:r w:rsidRPr="0099001C">
              <w:rPr>
                <w:b/>
                <w:sz w:val="40"/>
                <w:szCs w:val="40"/>
              </w:rPr>
              <w:t>UN/SCEGHS/</w:t>
            </w:r>
            <w:r w:rsidR="00A8760B">
              <w:rPr>
                <w:b/>
                <w:sz w:val="40"/>
                <w:szCs w:val="40"/>
              </w:rPr>
              <w:t>3</w:t>
            </w:r>
            <w:r w:rsidR="00C6210B">
              <w:rPr>
                <w:b/>
                <w:sz w:val="40"/>
                <w:szCs w:val="40"/>
              </w:rPr>
              <w:t>2</w:t>
            </w:r>
            <w:r w:rsidRPr="0099001C">
              <w:rPr>
                <w:b/>
                <w:sz w:val="40"/>
                <w:szCs w:val="40"/>
              </w:rPr>
              <w:t>/INF.</w:t>
            </w:r>
            <w:r w:rsidR="00767C6B">
              <w:rPr>
                <w:b/>
                <w:sz w:val="40"/>
                <w:szCs w:val="40"/>
              </w:rPr>
              <w:t>3</w:t>
            </w:r>
            <w:r w:rsidR="009A4A60">
              <w:rPr>
                <w:b/>
                <w:sz w:val="40"/>
                <w:szCs w:val="40"/>
              </w:rPr>
              <w:t>5</w:t>
            </w:r>
          </w:p>
        </w:tc>
      </w:tr>
      <w:tr w:rsidR="0099001C" w14:paraId="2B3B92E7" w14:textId="77777777" w:rsidTr="008B6E26">
        <w:trPr>
          <w:cantSplit/>
          <w:trHeight w:hRule="exact" w:val="3114"/>
        </w:trPr>
        <w:tc>
          <w:tcPr>
            <w:tcW w:w="9639" w:type="dxa"/>
            <w:tcBorders>
              <w:top w:val="single" w:sz="4" w:space="0" w:color="auto"/>
            </w:tcBorders>
          </w:tcPr>
          <w:p w14:paraId="71055268"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74374FA5" w14:textId="03A8419E"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767C6B">
              <w:rPr>
                <w:b/>
                <w:lang w:val="en-US"/>
              </w:rPr>
              <w:t>6</w:t>
            </w:r>
            <w:r w:rsidRPr="001B03EA">
              <w:rPr>
                <w:b/>
                <w:lang w:val="en-US"/>
              </w:rPr>
              <w:t xml:space="preserve"> </w:t>
            </w:r>
            <w:r w:rsidR="00966016">
              <w:rPr>
                <w:b/>
                <w:lang w:val="en-US"/>
              </w:rPr>
              <w:t>December</w:t>
            </w:r>
            <w:r w:rsidRPr="001B03EA">
              <w:rPr>
                <w:b/>
                <w:lang w:val="en-US"/>
              </w:rPr>
              <w:t xml:space="preserve"> 2016</w:t>
            </w:r>
          </w:p>
          <w:p w14:paraId="08F7747E" w14:textId="77777777" w:rsidR="00965932" w:rsidRPr="001B03EA" w:rsidRDefault="00965932" w:rsidP="00965932">
            <w:pPr>
              <w:jc w:val="both"/>
              <w:rPr>
                <w:b/>
              </w:rPr>
            </w:pPr>
          </w:p>
          <w:p w14:paraId="183CA984" w14:textId="77777777" w:rsidR="00965932" w:rsidRPr="001B03EA" w:rsidRDefault="00965932" w:rsidP="00965932">
            <w:pPr>
              <w:jc w:val="both"/>
            </w:pPr>
            <w:r w:rsidRPr="001B03EA">
              <w:rPr>
                <w:b/>
              </w:rPr>
              <w:t>Thirty-</w:t>
            </w:r>
            <w:r>
              <w:rPr>
                <w:b/>
              </w:rPr>
              <w:t>second</w:t>
            </w:r>
            <w:r w:rsidRPr="001B03EA">
              <w:rPr>
                <w:b/>
              </w:rPr>
              <w:t xml:space="preserve"> session</w:t>
            </w:r>
            <w:r w:rsidRPr="001B03EA">
              <w:t xml:space="preserve"> </w:t>
            </w:r>
          </w:p>
          <w:p w14:paraId="6A3FF914" w14:textId="77777777" w:rsidR="00965932" w:rsidRPr="001B03EA" w:rsidRDefault="00965932" w:rsidP="00965932">
            <w:pPr>
              <w:jc w:val="both"/>
            </w:pPr>
            <w:r w:rsidRPr="001B03EA">
              <w:t xml:space="preserve">Geneva, </w:t>
            </w:r>
            <w:r>
              <w:t>7-9</w:t>
            </w:r>
            <w:r w:rsidRPr="001B03EA">
              <w:t xml:space="preserve"> </w:t>
            </w:r>
            <w:r>
              <w:t xml:space="preserve">December </w:t>
            </w:r>
            <w:r w:rsidRPr="001B03EA">
              <w:t>2016</w:t>
            </w:r>
          </w:p>
          <w:p w14:paraId="33436316" w14:textId="79D5F908" w:rsidR="00965932" w:rsidRPr="001B03EA" w:rsidRDefault="00965932" w:rsidP="00965932">
            <w:pPr>
              <w:spacing w:before="40"/>
            </w:pPr>
            <w:r w:rsidRPr="001B03EA">
              <w:t xml:space="preserve">Item </w:t>
            </w:r>
            <w:r w:rsidR="003F67AF">
              <w:t>7</w:t>
            </w:r>
            <w:r w:rsidRPr="001B03EA">
              <w:t xml:space="preserve"> of the provisional agenda</w:t>
            </w:r>
          </w:p>
          <w:p w14:paraId="307FA076" w14:textId="4AB010E6" w:rsidR="0099001C" w:rsidRPr="003F67AF" w:rsidRDefault="003F67AF" w:rsidP="00965932">
            <w:pPr>
              <w:spacing w:line="240" w:lineRule="exact"/>
              <w:rPr>
                <w:b/>
              </w:rPr>
            </w:pPr>
            <w:r w:rsidRPr="003F67AF">
              <w:rPr>
                <w:b/>
              </w:rPr>
              <w:t>Programme of work for the biennium 2017–2018</w:t>
            </w:r>
            <w:bookmarkStart w:id="0" w:name="_GoBack"/>
            <w:bookmarkEnd w:id="0"/>
          </w:p>
        </w:tc>
      </w:tr>
    </w:tbl>
    <w:p w14:paraId="0E7FA8AD" w14:textId="3B661741" w:rsidR="009A4A60" w:rsidRDefault="009A4A60" w:rsidP="009A4A60">
      <w:pPr>
        <w:pStyle w:val="HChG"/>
      </w:pPr>
      <w:r>
        <w:tab/>
      </w:r>
      <w:r>
        <w:tab/>
        <w:t xml:space="preserve">Proposal to consider </w:t>
      </w:r>
      <w:proofErr w:type="spellStart"/>
      <w:r w:rsidRPr="00D0755E">
        <w:t>additivity</w:t>
      </w:r>
      <w:proofErr w:type="spellEnd"/>
      <w:r w:rsidRPr="00D0755E">
        <w:t xml:space="preserve"> for </w:t>
      </w:r>
      <w:r>
        <w:t xml:space="preserve">classification of mixtures and multi-constituent substances on a case-by-case basis, for </w:t>
      </w:r>
      <w:r w:rsidRPr="00D0755E">
        <w:t xml:space="preserve">any </w:t>
      </w:r>
      <w:r>
        <w:t>human health hazard class</w:t>
      </w:r>
    </w:p>
    <w:p w14:paraId="5276ADB8" w14:textId="58FFE87F" w:rsidR="009A4A60" w:rsidRPr="00D0755E" w:rsidRDefault="009A4A60" w:rsidP="009A4A60">
      <w:pPr>
        <w:pStyle w:val="H1G"/>
      </w:pPr>
      <w:r>
        <w:tab/>
      </w:r>
      <w:r>
        <w:tab/>
      </w:r>
      <w:r>
        <w:t>Trans</w:t>
      </w:r>
      <w:r w:rsidRPr="00D0755E">
        <w:t xml:space="preserve">mitted by </w:t>
      </w:r>
      <w:r>
        <w:t xml:space="preserve">the </w:t>
      </w:r>
      <w:r>
        <w:t xml:space="preserve">European Union </w:t>
      </w:r>
    </w:p>
    <w:p w14:paraId="67FEC52B" w14:textId="08A0FF45" w:rsidR="009A4A60" w:rsidRPr="00D0755E" w:rsidRDefault="009A4A60" w:rsidP="009A4A60">
      <w:pPr>
        <w:pStyle w:val="HChG"/>
      </w:pPr>
      <w:r>
        <w:tab/>
      </w:r>
      <w:r>
        <w:tab/>
      </w:r>
      <w:r w:rsidRPr="00D0755E">
        <w:t>Introduction</w:t>
      </w:r>
      <w:r>
        <w:t xml:space="preserve"> and background</w:t>
      </w:r>
    </w:p>
    <w:p w14:paraId="30599E9E" w14:textId="61D896AD" w:rsidR="009A4A60" w:rsidRDefault="009A4A60" w:rsidP="009A4A60">
      <w:pPr>
        <w:pStyle w:val="SingleTxtG"/>
      </w:pPr>
      <w:r>
        <w:t>1.</w:t>
      </w:r>
      <w:r>
        <w:tab/>
      </w:r>
      <w:r>
        <w:t xml:space="preserve">For several hazard classes in GHS, </w:t>
      </w:r>
      <w:proofErr w:type="spellStart"/>
      <w:r>
        <w:t>additivity</w:t>
      </w:r>
      <w:proofErr w:type="spellEnd"/>
      <w:r>
        <w:t xml:space="preserve"> should be considered in the classification of mixtures when the classification is based on ingredients which contribute to the hazardous property of the mixture. The </w:t>
      </w:r>
      <w:proofErr w:type="spellStart"/>
      <w:r>
        <w:t>additivity</w:t>
      </w:r>
      <w:proofErr w:type="spellEnd"/>
      <w:r>
        <w:t xml:space="preserve"> approach is explicitly mentioned in some chapters and should be used in the evaluation of the classification of mixtures for acute toxicity, skin corrosion/irritation (except in certain cases), serious eye damage/irritation (except in certain cases), respiratory irritation and narcotic effects (STOT SE category 3), aspiration hazard, and for short- and long-term aquatic toxicity.</w:t>
      </w:r>
    </w:p>
    <w:p w14:paraId="7926F1E1" w14:textId="6C873357" w:rsidR="009A4A60" w:rsidRDefault="009A4A60" w:rsidP="009A4A60">
      <w:pPr>
        <w:pStyle w:val="SingleTxtG"/>
      </w:pPr>
      <w:r>
        <w:t>2.</w:t>
      </w:r>
      <w:r>
        <w:tab/>
      </w:r>
      <w:r>
        <w:t xml:space="preserve">However, in certain cases </w:t>
      </w:r>
      <w:proofErr w:type="spellStart"/>
      <w:r>
        <w:t>additivity</w:t>
      </w:r>
      <w:proofErr w:type="spellEnd"/>
      <w:r>
        <w:t xml:space="preserve"> may be scientifically justified and could reasonably be assumed also for other health hazard classes. This could e.g. be the case when the mode of action (</w:t>
      </w:r>
      <w:proofErr w:type="spellStart"/>
      <w:r>
        <w:t>MoA</w:t>
      </w:r>
      <w:proofErr w:type="spellEnd"/>
      <w:r>
        <w:t xml:space="preserve">) of </w:t>
      </w:r>
      <w:proofErr w:type="gramStart"/>
      <w:r>
        <w:rPr>
          <w:color w:val="000000"/>
        </w:rPr>
        <w:t>a  substance</w:t>
      </w:r>
      <w:proofErr w:type="gramEnd"/>
      <w:r>
        <w:rPr>
          <w:color w:val="000000"/>
        </w:rPr>
        <w:t xml:space="preserve"> or mixture containing </w:t>
      </w:r>
      <w:r>
        <w:t xml:space="preserve">two substances is the same. Examples currently discussed in the EU where </w:t>
      </w:r>
      <w:proofErr w:type="spellStart"/>
      <w:r>
        <w:t>additivity</w:t>
      </w:r>
      <w:proofErr w:type="spellEnd"/>
      <w:r>
        <w:t xml:space="preserve"> is considered are the reproductive toxicity of anti-coagulant rodenticides (a group of substances affecting the same enzyme in the same way), reproductive toxicity of mixtures containing substances releasing boron ions, skin sensitisation by mixtures containing substances </w:t>
      </w:r>
      <w:proofErr w:type="gramStart"/>
      <w:r>
        <w:t>releasing  nickel</w:t>
      </w:r>
      <w:proofErr w:type="gramEnd"/>
      <w:r>
        <w:t xml:space="preserve"> ions, and carcinogenicity and mutagenicity of mixtures containing formaldehyde releasers. For the latter group of substances, in the EU, the sum of the levels of releasable formaldehyde from the different components in a mixture is used to derive the classification of the mixture.</w:t>
      </w:r>
    </w:p>
    <w:p w14:paraId="661A46D0" w14:textId="1EFC165B" w:rsidR="009A4A60" w:rsidRDefault="009A4A60" w:rsidP="009A4A60">
      <w:pPr>
        <w:pStyle w:val="SingleTxtG"/>
      </w:pPr>
      <w:r>
        <w:t>3.</w:t>
      </w:r>
      <w:r>
        <w:tab/>
      </w:r>
      <w:r>
        <w:t xml:space="preserve">Even if the </w:t>
      </w:r>
      <w:proofErr w:type="spellStart"/>
      <w:r>
        <w:t>MoA</w:t>
      </w:r>
      <w:proofErr w:type="spellEnd"/>
      <w:r>
        <w:t xml:space="preserve"> of substances in a mixture is different, there may be some cases where it is deemed appropriate to assume additive (or synergistic) effects. In other cases, </w:t>
      </w:r>
      <w:proofErr w:type="spellStart"/>
      <w:r>
        <w:t>add</w:t>
      </w:r>
      <w:r>
        <w:t>itivity</w:t>
      </w:r>
      <w:proofErr w:type="spellEnd"/>
      <w:r>
        <w:t xml:space="preserve"> may not be justified. </w:t>
      </w:r>
      <w:proofErr w:type="spellStart"/>
      <w:r>
        <w:t>Additivity</w:t>
      </w:r>
      <w:proofErr w:type="spellEnd"/>
      <w:r>
        <w:t xml:space="preserve"> may also be assumed in specific cases for specific target organ toxicity for substances with the same target organ, especially if the </w:t>
      </w:r>
      <w:proofErr w:type="spellStart"/>
      <w:r>
        <w:t>MoAs</w:t>
      </w:r>
      <w:proofErr w:type="spellEnd"/>
      <w:r>
        <w:t xml:space="preserve"> are similar. </w:t>
      </w:r>
    </w:p>
    <w:p w14:paraId="191B7FFE" w14:textId="61D9C892" w:rsidR="009A4A60" w:rsidRDefault="009A4A60" w:rsidP="009A4A60">
      <w:pPr>
        <w:pStyle w:val="SingleTxtG"/>
      </w:pPr>
      <w:r>
        <w:t>4.</w:t>
      </w:r>
      <w:r>
        <w:tab/>
      </w:r>
      <w:r>
        <w:t>Clearly, expert judgement is needed in all of these cases.</w:t>
      </w:r>
    </w:p>
    <w:p w14:paraId="4F09F25D" w14:textId="7AF066B2" w:rsidR="009A4A60" w:rsidRDefault="009A4A60" w:rsidP="009A4A60">
      <w:pPr>
        <w:pStyle w:val="SingleTxtG"/>
      </w:pPr>
      <w:r>
        <w:t>5.</w:t>
      </w:r>
      <w:r>
        <w:tab/>
      </w:r>
      <w:r>
        <w:t xml:space="preserve">Currently, the evaluator must take into account any relevant information about the potential synergistic effects among ingredients in a mixture according to 1.3.3.3, for any hazard. Likewise, potential additive effects should also be considered for any hazard. </w:t>
      </w:r>
    </w:p>
    <w:p w14:paraId="3DC8CC48" w14:textId="25DE598F" w:rsidR="009A4A60" w:rsidRPr="00DF50AA" w:rsidRDefault="009A4A60" w:rsidP="009A4A60">
      <w:pPr>
        <w:pStyle w:val="HChG"/>
      </w:pPr>
      <w:r>
        <w:lastRenderedPageBreak/>
        <w:tab/>
      </w:r>
      <w:r>
        <w:tab/>
      </w:r>
      <w:r w:rsidRPr="00DF50AA">
        <w:t>Proposal</w:t>
      </w:r>
    </w:p>
    <w:p w14:paraId="5B51C10B" w14:textId="2C6371CB" w:rsidR="009A4A60" w:rsidRDefault="009A4A60" w:rsidP="009A4A60">
      <w:pPr>
        <w:pStyle w:val="SingleTxtG"/>
      </w:pPr>
      <w:r>
        <w:t>6.</w:t>
      </w:r>
      <w:r>
        <w:tab/>
        <w:t>The S</w:t>
      </w:r>
      <w:r>
        <w:t>ub</w:t>
      </w:r>
      <w:r>
        <w:t>-C</w:t>
      </w:r>
      <w:r>
        <w:t xml:space="preserve">ommittee is invited to consider the scope of applicability of </w:t>
      </w:r>
      <w:proofErr w:type="spellStart"/>
      <w:r>
        <w:t>additivity</w:t>
      </w:r>
      <w:proofErr w:type="spellEnd"/>
      <w:r>
        <w:t xml:space="preserve">, including its limitations, and to explore whether it should be possible to apply </w:t>
      </w:r>
      <w:proofErr w:type="spellStart"/>
      <w:r>
        <w:t>additivity</w:t>
      </w:r>
      <w:proofErr w:type="spellEnd"/>
      <w:r>
        <w:t xml:space="preserve"> also to other human health hazard classes, for which </w:t>
      </w:r>
      <w:proofErr w:type="spellStart"/>
      <w:r>
        <w:t>additivity</w:t>
      </w:r>
      <w:proofErr w:type="spellEnd"/>
      <w:r>
        <w:t xml:space="preserve"> is currently not explicitly mentioned, and if so, whether such a provision should be included in the introductory part of GHS (e.g. in 1.3.3.2). </w:t>
      </w:r>
    </w:p>
    <w:p w14:paraId="4BA3B160" w14:textId="567D6E0C" w:rsidR="009A4A60" w:rsidRPr="009A4A60" w:rsidRDefault="009A4A60" w:rsidP="009A4A60">
      <w:pPr>
        <w:pStyle w:val="SingleTxtG"/>
        <w:spacing w:before="240" w:after="0"/>
        <w:jc w:val="center"/>
        <w:rPr>
          <w:u w:val="single"/>
        </w:rPr>
      </w:pPr>
      <w:r>
        <w:rPr>
          <w:u w:val="single"/>
        </w:rPr>
        <w:tab/>
      </w:r>
      <w:r>
        <w:rPr>
          <w:u w:val="single"/>
        </w:rPr>
        <w:tab/>
      </w:r>
      <w:r>
        <w:rPr>
          <w:u w:val="single"/>
        </w:rPr>
        <w:tab/>
      </w:r>
    </w:p>
    <w:p w14:paraId="59AACE86" w14:textId="58052143" w:rsidR="00965932" w:rsidRPr="00965932" w:rsidRDefault="00965932" w:rsidP="009A4A60">
      <w:pPr>
        <w:pStyle w:val="SingleTxtG"/>
        <w:rPr>
          <w:rFonts w:eastAsia="MS Mincho"/>
        </w:rPr>
      </w:pPr>
    </w:p>
    <w:sectPr w:rsidR="00965932" w:rsidRPr="00965932" w:rsidSect="0099001C">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8900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66706" w14:textId="77777777" w:rsidR="00740F71" w:rsidRDefault="00740F71"/>
  </w:endnote>
  <w:endnote w:type="continuationSeparator" w:id="0">
    <w:p w14:paraId="5F2C4DA0" w14:textId="77777777" w:rsidR="00740F71" w:rsidRDefault="00740F71"/>
  </w:endnote>
  <w:endnote w:type="continuationNotice" w:id="1">
    <w:p w14:paraId="5320D366" w14:textId="77777777" w:rsidR="00740F71" w:rsidRDefault="00740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9215F" w14:textId="77777777"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3F67AF">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81943" w14:textId="77777777"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767C6B">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87AD7" w14:textId="77777777" w:rsidR="00740F71" w:rsidRPr="000B175B" w:rsidRDefault="00740F71" w:rsidP="000B175B">
      <w:pPr>
        <w:tabs>
          <w:tab w:val="right" w:pos="2155"/>
        </w:tabs>
        <w:spacing w:after="80"/>
        <w:ind w:left="680"/>
        <w:rPr>
          <w:u w:val="single"/>
        </w:rPr>
      </w:pPr>
      <w:r>
        <w:rPr>
          <w:u w:val="single"/>
        </w:rPr>
        <w:tab/>
      </w:r>
    </w:p>
  </w:footnote>
  <w:footnote w:type="continuationSeparator" w:id="0">
    <w:p w14:paraId="4CE57735" w14:textId="77777777" w:rsidR="00740F71" w:rsidRPr="00FC68B7" w:rsidRDefault="00740F71" w:rsidP="00FC68B7">
      <w:pPr>
        <w:tabs>
          <w:tab w:val="left" w:pos="2155"/>
        </w:tabs>
        <w:spacing w:after="80"/>
        <w:ind w:left="680"/>
        <w:rPr>
          <w:u w:val="single"/>
        </w:rPr>
      </w:pPr>
      <w:r>
        <w:rPr>
          <w:u w:val="single"/>
        </w:rPr>
        <w:tab/>
      </w:r>
    </w:p>
  </w:footnote>
  <w:footnote w:type="continuationNotice" w:id="1">
    <w:p w14:paraId="199A7A55" w14:textId="77777777" w:rsidR="00740F71" w:rsidRDefault="00740F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C8B01" w14:textId="5869FAF2" w:rsidR="006A7757" w:rsidRPr="0099001C" w:rsidRDefault="006A7757" w:rsidP="00366CA7">
    <w:pPr>
      <w:pStyle w:val="Header"/>
    </w:pPr>
    <w:r w:rsidRPr="00CC65B7">
      <w:t>UN/SCEGHS/</w:t>
    </w:r>
    <w:r w:rsidR="00A8760B" w:rsidRPr="00CC65B7">
      <w:t>3</w:t>
    </w:r>
    <w:r w:rsidR="00CC65B7" w:rsidRPr="00CC65B7">
      <w:t>2</w:t>
    </w:r>
    <w:r w:rsidRPr="00CC65B7">
      <w:t>/INF.</w:t>
    </w:r>
    <w:r w:rsidR="009A4A60">
      <w:t>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2CF24" w14:textId="77777777" w:rsidR="006A7757" w:rsidRPr="0099001C" w:rsidRDefault="006A7757" w:rsidP="0099001C">
    <w:pPr>
      <w:pStyle w:val="Header"/>
      <w:jc w:val="right"/>
    </w:pPr>
    <w:r>
      <w:t>UN/SCEGHS/</w:t>
    </w:r>
    <w:r w:rsidR="00CC65B7">
      <w:t>32</w:t>
    </w:r>
    <w:r>
      <w:t>/INF.</w:t>
    </w:r>
    <w:r w:rsidR="00CC65B7">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uskin">
    <w15:presenceInfo w15:providerId="None" w15:userId="mruskin"/>
  </w15:person>
  <w15:person w15:author="Kathy Landkrohn">
    <w15:presenceInfo w15:providerId="Windows Live" w15:userId="076c7ad9b95d9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33B3D"/>
    <w:rsid w:val="00050F6B"/>
    <w:rsid w:val="00055C90"/>
    <w:rsid w:val="00072C8C"/>
    <w:rsid w:val="00081647"/>
    <w:rsid w:val="000931C0"/>
    <w:rsid w:val="000B175B"/>
    <w:rsid w:val="000B3A0F"/>
    <w:rsid w:val="000C6544"/>
    <w:rsid w:val="000D10AA"/>
    <w:rsid w:val="000E0415"/>
    <w:rsid w:val="000F6917"/>
    <w:rsid w:val="001220B8"/>
    <w:rsid w:val="00156F3C"/>
    <w:rsid w:val="00162BF7"/>
    <w:rsid w:val="001846A2"/>
    <w:rsid w:val="00190AEA"/>
    <w:rsid w:val="00196B81"/>
    <w:rsid w:val="001B4B04"/>
    <w:rsid w:val="001C6663"/>
    <w:rsid w:val="001C7895"/>
    <w:rsid w:val="001D26DF"/>
    <w:rsid w:val="001E47FD"/>
    <w:rsid w:val="00211E0B"/>
    <w:rsid w:val="002405A7"/>
    <w:rsid w:val="0025322D"/>
    <w:rsid w:val="00257E45"/>
    <w:rsid w:val="00262488"/>
    <w:rsid w:val="00263ACD"/>
    <w:rsid w:val="002D59D3"/>
    <w:rsid w:val="002F42AE"/>
    <w:rsid w:val="003107FA"/>
    <w:rsid w:val="003127A2"/>
    <w:rsid w:val="003229D8"/>
    <w:rsid w:val="0032550E"/>
    <w:rsid w:val="0033745A"/>
    <w:rsid w:val="0034626E"/>
    <w:rsid w:val="003642AF"/>
    <w:rsid w:val="00366CA7"/>
    <w:rsid w:val="0039277A"/>
    <w:rsid w:val="003972E0"/>
    <w:rsid w:val="003B3A99"/>
    <w:rsid w:val="003C2CC4"/>
    <w:rsid w:val="003C3936"/>
    <w:rsid w:val="003D4B23"/>
    <w:rsid w:val="003F1ED3"/>
    <w:rsid w:val="003F67AF"/>
    <w:rsid w:val="00421612"/>
    <w:rsid w:val="004325CB"/>
    <w:rsid w:val="00446DE4"/>
    <w:rsid w:val="00456CFB"/>
    <w:rsid w:val="00460DD9"/>
    <w:rsid w:val="00467F71"/>
    <w:rsid w:val="00476F28"/>
    <w:rsid w:val="00490A89"/>
    <w:rsid w:val="004A2135"/>
    <w:rsid w:val="004A41CA"/>
    <w:rsid w:val="004E7ED6"/>
    <w:rsid w:val="0050177E"/>
    <w:rsid w:val="00503228"/>
    <w:rsid w:val="00505384"/>
    <w:rsid w:val="00532EF8"/>
    <w:rsid w:val="005420F2"/>
    <w:rsid w:val="00552991"/>
    <w:rsid w:val="005B2C89"/>
    <w:rsid w:val="005B3DB3"/>
    <w:rsid w:val="005D0D1F"/>
    <w:rsid w:val="005E07AE"/>
    <w:rsid w:val="005E22FE"/>
    <w:rsid w:val="00611FC4"/>
    <w:rsid w:val="006174DD"/>
    <w:rsid w:val="006176FB"/>
    <w:rsid w:val="00627ED0"/>
    <w:rsid w:val="00640B26"/>
    <w:rsid w:val="00665595"/>
    <w:rsid w:val="00691F20"/>
    <w:rsid w:val="00693543"/>
    <w:rsid w:val="006A7392"/>
    <w:rsid w:val="006A7757"/>
    <w:rsid w:val="006E564B"/>
    <w:rsid w:val="006F2E94"/>
    <w:rsid w:val="007107B3"/>
    <w:rsid w:val="0071349F"/>
    <w:rsid w:val="00720DEB"/>
    <w:rsid w:val="0072632A"/>
    <w:rsid w:val="00733AAE"/>
    <w:rsid w:val="00740F71"/>
    <w:rsid w:val="00767C6B"/>
    <w:rsid w:val="007714FB"/>
    <w:rsid w:val="00781A60"/>
    <w:rsid w:val="007A0B22"/>
    <w:rsid w:val="007A1558"/>
    <w:rsid w:val="007B6BA5"/>
    <w:rsid w:val="007C3390"/>
    <w:rsid w:val="007C4F4B"/>
    <w:rsid w:val="007E2553"/>
    <w:rsid w:val="007E63BC"/>
    <w:rsid w:val="007F0B83"/>
    <w:rsid w:val="007F48EF"/>
    <w:rsid w:val="007F4FCD"/>
    <w:rsid w:val="007F6611"/>
    <w:rsid w:val="0081732C"/>
    <w:rsid w:val="008175E9"/>
    <w:rsid w:val="008242D7"/>
    <w:rsid w:val="00827E05"/>
    <w:rsid w:val="008311A3"/>
    <w:rsid w:val="00836AF7"/>
    <w:rsid w:val="0085288D"/>
    <w:rsid w:val="00871FD5"/>
    <w:rsid w:val="008979B1"/>
    <w:rsid w:val="008A6B25"/>
    <w:rsid w:val="008A6C4F"/>
    <w:rsid w:val="008B6E26"/>
    <w:rsid w:val="008B77B3"/>
    <w:rsid w:val="008E0E46"/>
    <w:rsid w:val="008E4C4C"/>
    <w:rsid w:val="00902B04"/>
    <w:rsid w:val="00907AD2"/>
    <w:rsid w:val="00911047"/>
    <w:rsid w:val="009614E7"/>
    <w:rsid w:val="00963CBA"/>
    <w:rsid w:val="009650E6"/>
    <w:rsid w:val="00965932"/>
    <w:rsid w:val="00966016"/>
    <w:rsid w:val="00974A8D"/>
    <w:rsid w:val="0099001C"/>
    <w:rsid w:val="00991261"/>
    <w:rsid w:val="009A4A60"/>
    <w:rsid w:val="009F3A17"/>
    <w:rsid w:val="009F3D53"/>
    <w:rsid w:val="00A04AB2"/>
    <w:rsid w:val="00A1427D"/>
    <w:rsid w:val="00A355AA"/>
    <w:rsid w:val="00A426FB"/>
    <w:rsid w:val="00A55FB2"/>
    <w:rsid w:val="00A72F22"/>
    <w:rsid w:val="00A748A6"/>
    <w:rsid w:val="00A80351"/>
    <w:rsid w:val="00A80459"/>
    <w:rsid w:val="00A805EB"/>
    <w:rsid w:val="00A8760B"/>
    <w:rsid w:val="00A879A4"/>
    <w:rsid w:val="00AA496B"/>
    <w:rsid w:val="00AB12AA"/>
    <w:rsid w:val="00AE71F3"/>
    <w:rsid w:val="00B30179"/>
    <w:rsid w:val="00B30E8F"/>
    <w:rsid w:val="00B33EC0"/>
    <w:rsid w:val="00B81E12"/>
    <w:rsid w:val="00B97139"/>
    <w:rsid w:val="00B972B4"/>
    <w:rsid w:val="00B97D28"/>
    <w:rsid w:val="00BA0B53"/>
    <w:rsid w:val="00BC0885"/>
    <w:rsid w:val="00BC74E9"/>
    <w:rsid w:val="00BD2146"/>
    <w:rsid w:val="00BE4F74"/>
    <w:rsid w:val="00BE618E"/>
    <w:rsid w:val="00C17699"/>
    <w:rsid w:val="00C1778D"/>
    <w:rsid w:val="00C41A28"/>
    <w:rsid w:val="00C463DD"/>
    <w:rsid w:val="00C6210B"/>
    <w:rsid w:val="00C745C3"/>
    <w:rsid w:val="00C945EB"/>
    <w:rsid w:val="00CC65B7"/>
    <w:rsid w:val="00CE4A8F"/>
    <w:rsid w:val="00D055EB"/>
    <w:rsid w:val="00D1582D"/>
    <w:rsid w:val="00D2031B"/>
    <w:rsid w:val="00D25FE2"/>
    <w:rsid w:val="00D30288"/>
    <w:rsid w:val="00D317BB"/>
    <w:rsid w:val="00D35D8F"/>
    <w:rsid w:val="00D43252"/>
    <w:rsid w:val="00D63881"/>
    <w:rsid w:val="00D67840"/>
    <w:rsid w:val="00D7387D"/>
    <w:rsid w:val="00D80BB0"/>
    <w:rsid w:val="00D978C6"/>
    <w:rsid w:val="00DA67AD"/>
    <w:rsid w:val="00DB5D0F"/>
    <w:rsid w:val="00DC3242"/>
    <w:rsid w:val="00DE7801"/>
    <w:rsid w:val="00DE7F20"/>
    <w:rsid w:val="00DF12F7"/>
    <w:rsid w:val="00DF2C64"/>
    <w:rsid w:val="00E01F96"/>
    <w:rsid w:val="00E02C81"/>
    <w:rsid w:val="00E04A75"/>
    <w:rsid w:val="00E06EAB"/>
    <w:rsid w:val="00E130AB"/>
    <w:rsid w:val="00E23C4E"/>
    <w:rsid w:val="00E31C87"/>
    <w:rsid w:val="00E53AE8"/>
    <w:rsid w:val="00E677EC"/>
    <w:rsid w:val="00E70DF5"/>
    <w:rsid w:val="00E7260F"/>
    <w:rsid w:val="00E80F5F"/>
    <w:rsid w:val="00E87921"/>
    <w:rsid w:val="00E96630"/>
    <w:rsid w:val="00EA264E"/>
    <w:rsid w:val="00EA3A41"/>
    <w:rsid w:val="00ED1541"/>
    <w:rsid w:val="00ED71D9"/>
    <w:rsid w:val="00ED7A2A"/>
    <w:rsid w:val="00EF1D7F"/>
    <w:rsid w:val="00EF358F"/>
    <w:rsid w:val="00F42451"/>
    <w:rsid w:val="00F53EDA"/>
    <w:rsid w:val="00F61B03"/>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32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90A89"/>
    <w:rPr>
      <w:sz w:val="16"/>
      <w:szCs w:val="16"/>
    </w:rPr>
  </w:style>
  <w:style w:type="paragraph" w:styleId="CommentText">
    <w:name w:val="annotation text"/>
    <w:basedOn w:val="Normal"/>
    <w:link w:val="CommentTextChar"/>
    <w:rsid w:val="00490A89"/>
    <w:pPr>
      <w:spacing w:line="240" w:lineRule="auto"/>
    </w:pPr>
  </w:style>
  <w:style w:type="character" w:customStyle="1" w:styleId="CommentTextChar">
    <w:name w:val="Comment Text Char"/>
    <w:basedOn w:val="DefaultParagraphFont"/>
    <w:link w:val="CommentText"/>
    <w:rsid w:val="00490A89"/>
    <w:rPr>
      <w:lang w:eastAsia="en-US"/>
    </w:rPr>
  </w:style>
  <w:style w:type="paragraph" w:styleId="CommentSubject">
    <w:name w:val="annotation subject"/>
    <w:basedOn w:val="CommentText"/>
    <w:next w:val="CommentText"/>
    <w:link w:val="CommentSubjectChar"/>
    <w:rsid w:val="00490A89"/>
    <w:rPr>
      <w:b/>
      <w:bCs/>
    </w:rPr>
  </w:style>
  <w:style w:type="character" w:customStyle="1" w:styleId="CommentSubjectChar">
    <w:name w:val="Comment Subject Char"/>
    <w:basedOn w:val="CommentTextChar"/>
    <w:link w:val="CommentSubject"/>
    <w:rsid w:val="00490A89"/>
    <w:rPr>
      <w:b/>
      <w:bCs/>
      <w:lang w:eastAsia="en-US"/>
    </w:rPr>
  </w:style>
  <w:style w:type="paragraph" w:styleId="BalloonText">
    <w:name w:val="Balloon Text"/>
    <w:basedOn w:val="Normal"/>
    <w:link w:val="BalloonTextChar"/>
    <w:rsid w:val="00490A8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90A8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90A89"/>
    <w:rPr>
      <w:sz w:val="16"/>
      <w:szCs w:val="16"/>
    </w:rPr>
  </w:style>
  <w:style w:type="paragraph" w:styleId="CommentText">
    <w:name w:val="annotation text"/>
    <w:basedOn w:val="Normal"/>
    <w:link w:val="CommentTextChar"/>
    <w:rsid w:val="00490A89"/>
    <w:pPr>
      <w:spacing w:line="240" w:lineRule="auto"/>
    </w:pPr>
  </w:style>
  <w:style w:type="character" w:customStyle="1" w:styleId="CommentTextChar">
    <w:name w:val="Comment Text Char"/>
    <w:basedOn w:val="DefaultParagraphFont"/>
    <w:link w:val="CommentText"/>
    <w:rsid w:val="00490A89"/>
    <w:rPr>
      <w:lang w:eastAsia="en-US"/>
    </w:rPr>
  </w:style>
  <w:style w:type="paragraph" w:styleId="CommentSubject">
    <w:name w:val="annotation subject"/>
    <w:basedOn w:val="CommentText"/>
    <w:next w:val="CommentText"/>
    <w:link w:val="CommentSubjectChar"/>
    <w:rsid w:val="00490A89"/>
    <w:rPr>
      <w:b/>
      <w:bCs/>
    </w:rPr>
  </w:style>
  <w:style w:type="character" w:customStyle="1" w:styleId="CommentSubjectChar">
    <w:name w:val="Comment Subject Char"/>
    <w:basedOn w:val="CommentTextChar"/>
    <w:link w:val="CommentSubject"/>
    <w:rsid w:val="00490A89"/>
    <w:rPr>
      <w:b/>
      <w:bCs/>
      <w:lang w:eastAsia="en-US"/>
    </w:rPr>
  </w:style>
  <w:style w:type="paragraph" w:styleId="BalloonText">
    <w:name w:val="Balloon Text"/>
    <w:basedOn w:val="Normal"/>
    <w:link w:val="BalloonTextChar"/>
    <w:rsid w:val="00490A8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90A8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EB8ED-F343-47EE-9FDC-3FA52157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12</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2016-12-06T16:25:00Z</cp:lastPrinted>
  <dcterms:created xsi:type="dcterms:W3CDTF">2016-12-06T16:11:00Z</dcterms:created>
  <dcterms:modified xsi:type="dcterms:W3CDTF">2016-12-06T16:25:00Z</dcterms:modified>
</cp:coreProperties>
</file>