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25C1" w:rsidTr="000216CC">
        <w:trPr>
          <w:trHeight w:val="851"/>
        </w:trPr>
        <w:tc>
          <w:tcPr>
            <w:tcW w:w="1259" w:type="dxa"/>
            <w:tcBorders>
              <w:top w:val="nil"/>
              <w:left w:val="nil"/>
              <w:bottom w:val="single" w:sz="4" w:space="0" w:color="auto"/>
              <w:right w:val="nil"/>
            </w:tcBorders>
            <w:shd w:val="clear" w:color="auto" w:fill="auto"/>
          </w:tcPr>
          <w:p w:rsidR="00446DE4" w:rsidRPr="00E425C1"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425C1"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E425C1" w:rsidRDefault="00FC215C" w:rsidP="00FC215C">
            <w:pPr>
              <w:jc w:val="right"/>
              <w:rPr>
                <w:b/>
                <w:sz w:val="40"/>
                <w:szCs w:val="40"/>
              </w:rPr>
            </w:pPr>
            <w:r w:rsidRPr="00E425C1">
              <w:rPr>
                <w:b/>
                <w:sz w:val="40"/>
                <w:szCs w:val="40"/>
              </w:rPr>
              <w:t>UN/SCETDG/</w:t>
            </w:r>
            <w:r w:rsidR="00E63DE8" w:rsidRPr="00E425C1">
              <w:rPr>
                <w:b/>
                <w:sz w:val="40"/>
                <w:szCs w:val="40"/>
              </w:rPr>
              <w:t>50</w:t>
            </w:r>
            <w:r w:rsidRPr="00E425C1">
              <w:rPr>
                <w:b/>
                <w:sz w:val="40"/>
                <w:szCs w:val="40"/>
              </w:rPr>
              <w:t>/INF.</w:t>
            </w:r>
            <w:r w:rsidR="00F77729" w:rsidRPr="00E425C1">
              <w:rPr>
                <w:b/>
                <w:sz w:val="40"/>
                <w:szCs w:val="40"/>
              </w:rPr>
              <w:t>35</w:t>
            </w:r>
          </w:p>
          <w:p w:rsidR="00FC215C" w:rsidRPr="00E425C1" w:rsidRDefault="00FC215C" w:rsidP="00FC215C">
            <w:pPr>
              <w:jc w:val="right"/>
              <w:rPr>
                <w:b/>
                <w:sz w:val="40"/>
                <w:szCs w:val="40"/>
              </w:rPr>
            </w:pPr>
            <w:r w:rsidRPr="00E425C1">
              <w:rPr>
                <w:b/>
                <w:sz w:val="40"/>
                <w:szCs w:val="40"/>
              </w:rPr>
              <w:t>UN/SCEGHS/</w:t>
            </w:r>
            <w:r w:rsidR="00E63DE8" w:rsidRPr="00E425C1">
              <w:rPr>
                <w:b/>
                <w:sz w:val="40"/>
                <w:szCs w:val="40"/>
              </w:rPr>
              <w:t>32</w:t>
            </w:r>
            <w:r w:rsidRPr="00E425C1">
              <w:rPr>
                <w:b/>
                <w:sz w:val="40"/>
                <w:szCs w:val="40"/>
              </w:rPr>
              <w:t>/INF.</w:t>
            </w:r>
            <w:r w:rsidR="00F77729" w:rsidRPr="00E425C1">
              <w:rPr>
                <w:b/>
                <w:sz w:val="40"/>
                <w:szCs w:val="40"/>
              </w:rPr>
              <w:t>20</w:t>
            </w:r>
          </w:p>
          <w:p w:rsidR="000216CC" w:rsidRPr="00E425C1" w:rsidRDefault="000216CC" w:rsidP="00497711">
            <w:pPr>
              <w:jc w:val="right"/>
            </w:pPr>
          </w:p>
        </w:tc>
      </w:tr>
    </w:tbl>
    <w:p w:rsidR="000019B8" w:rsidRPr="00E425C1"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E425C1" w:rsidTr="00165735">
        <w:tc>
          <w:tcPr>
            <w:tcW w:w="9645" w:type="dxa"/>
            <w:gridSpan w:val="2"/>
            <w:tcMar>
              <w:top w:w="142" w:type="dxa"/>
              <w:left w:w="108" w:type="dxa"/>
              <w:bottom w:w="142" w:type="dxa"/>
              <w:right w:w="108" w:type="dxa"/>
            </w:tcMar>
          </w:tcPr>
          <w:p w:rsidR="00645A0B" w:rsidRPr="00E425C1" w:rsidRDefault="00645A0B" w:rsidP="00F77729">
            <w:pPr>
              <w:tabs>
                <w:tab w:val="right" w:pos="9214"/>
              </w:tabs>
            </w:pPr>
            <w:r w:rsidRPr="00E425C1">
              <w:rPr>
                <w:b/>
                <w:sz w:val="24"/>
                <w:szCs w:val="24"/>
              </w:rPr>
              <w:t>Committee of Experts on the Transport of Dangerous Goods</w:t>
            </w:r>
            <w:r w:rsidRPr="00E425C1">
              <w:rPr>
                <w:b/>
                <w:sz w:val="24"/>
                <w:szCs w:val="24"/>
              </w:rPr>
              <w:tab/>
            </w:r>
            <w:r w:rsidRPr="00E425C1">
              <w:rPr>
                <w:b/>
                <w:sz w:val="24"/>
                <w:szCs w:val="24"/>
              </w:rPr>
              <w:br/>
              <w:t>and on the Globally Harmonized System of Classification</w:t>
            </w:r>
            <w:r w:rsidRPr="00E425C1">
              <w:rPr>
                <w:b/>
                <w:sz w:val="24"/>
                <w:szCs w:val="24"/>
              </w:rPr>
              <w:br/>
              <w:t>and Labelling of Chemicals</w:t>
            </w:r>
            <w:r w:rsidRPr="00E425C1">
              <w:rPr>
                <w:b/>
              </w:rPr>
              <w:tab/>
            </w:r>
            <w:r w:rsidR="00F77729" w:rsidRPr="00E425C1">
              <w:rPr>
                <w:b/>
                <w:sz w:val="18"/>
                <w:szCs w:val="24"/>
              </w:rPr>
              <w:t>22</w:t>
            </w:r>
            <w:r w:rsidR="00955109" w:rsidRPr="00E425C1">
              <w:rPr>
                <w:b/>
                <w:sz w:val="18"/>
                <w:szCs w:val="24"/>
              </w:rPr>
              <w:t xml:space="preserve"> </w:t>
            </w:r>
            <w:r w:rsidR="00F77729" w:rsidRPr="00E425C1">
              <w:rPr>
                <w:b/>
                <w:sz w:val="18"/>
                <w:szCs w:val="24"/>
              </w:rPr>
              <w:t xml:space="preserve">November </w:t>
            </w:r>
            <w:r w:rsidR="00F64C95" w:rsidRPr="00E425C1">
              <w:rPr>
                <w:b/>
                <w:sz w:val="18"/>
                <w:szCs w:val="24"/>
              </w:rPr>
              <w:t>2016</w:t>
            </w:r>
          </w:p>
        </w:tc>
      </w:tr>
      <w:tr w:rsidR="00645A0B" w:rsidRPr="00E425C1" w:rsidTr="00165735">
        <w:tc>
          <w:tcPr>
            <w:tcW w:w="4652" w:type="dxa"/>
            <w:tcMar>
              <w:top w:w="57" w:type="dxa"/>
              <w:left w:w="108" w:type="dxa"/>
              <w:bottom w:w="0" w:type="dxa"/>
              <w:right w:w="108" w:type="dxa"/>
            </w:tcMar>
            <w:vAlign w:val="center"/>
          </w:tcPr>
          <w:p w:rsidR="00645A0B" w:rsidRPr="00E425C1" w:rsidRDefault="00645A0B" w:rsidP="00165735">
            <w:pPr>
              <w:spacing w:before="120"/>
              <w:rPr>
                <w:b/>
              </w:rPr>
            </w:pPr>
            <w:r w:rsidRPr="00E425C1">
              <w:rPr>
                <w:b/>
              </w:rPr>
              <w:t xml:space="preserve">Sub-Committee of Experts on the </w:t>
            </w:r>
            <w:r w:rsidRPr="00E425C1">
              <w:rPr>
                <w:b/>
              </w:rPr>
              <w:br/>
              <w:t xml:space="preserve">Transport of Dangerous Goods </w:t>
            </w:r>
          </w:p>
        </w:tc>
        <w:tc>
          <w:tcPr>
            <w:tcW w:w="4993" w:type="dxa"/>
            <w:tcMar>
              <w:top w:w="57" w:type="dxa"/>
              <w:left w:w="108" w:type="dxa"/>
              <w:bottom w:w="0" w:type="dxa"/>
              <w:right w:w="108" w:type="dxa"/>
            </w:tcMar>
            <w:vAlign w:val="center"/>
          </w:tcPr>
          <w:p w:rsidR="00645A0B" w:rsidRPr="00E425C1" w:rsidRDefault="00645A0B" w:rsidP="00165735">
            <w:pPr>
              <w:spacing w:before="120"/>
              <w:rPr>
                <w:b/>
              </w:rPr>
            </w:pPr>
            <w:r w:rsidRPr="00E425C1">
              <w:rPr>
                <w:b/>
              </w:rPr>
              <w:t>Sub-Committee of Experts on the Globally Harmonized System of Classification and Labelling of Chemicals</w:t>
            </w:r>
          </w:p>
        </w:tc>
      </w:tr>
      <w:tr w:rsidR="00645A0B" w:rsidRPr="00E425C1" w:rsidTr="00165735">
        <w:tc>
          <w:tcPr>
            <w:tcW w:w="4652" w:type="dxa"/>
            <w:tcMar>
              <w:top w:w="57" w:type="dxa"/>
              <w:left w:w="108" w:type="dxa"/>
              <w:bottom w:w="0" w:type="dxa"/>
              <w:right w:w="108" w:type="dxa"/>
            </w:tcMar>
          </w:tcPr>
          <w:p w:rsidR="00645A0B" w:rsidRPr="00E425C1" w:rsidRDefault="00E63DE8" w:rsidP="00F64C95">
            <w:pPr>
              <w:spacing w:before="120"/>
              <w:ind w:left="34" w:hanging="34"/>
              <w:rPr>
                <w:b/>
              </w:rPr>
            </w:pPr>
            <w:r w:rsidRPr="00E425C1">
              <w:rPr>
                <w:b/>
              </w:rPr>
              <w:t>Fiftieth</w:t>
            </w:r>
            <w:r w:rsidR="00645A0B" w:rsidRPr="00E425C1">
              <w:rPr>
                <w:b/>
              </w:rPr>
              <w:t xml:space="preserve"> session</w:t>
            </w:r>
          </w:p>
        </w:tc>
        <w:tc>
          <w:tcPr>
            <w:tcW w:w="4993" w:type="dxa"/>
            <w:tcMar>
              <w:top w:w="57" w:type="dxa"/>
              <w:left w:w="108" w:type="dxa"/>
              <w:bottom w:w="0" w:type="dxa"/>
              <w:right w:w="108" w:type="dxa"/>
            </w:tcMar>
          </w:tcPr>
          <w:p w:rsidR="00645A0B" w:rsidRPr="00E425C1" w:rsidRDefault="00E63DE8" w:rsidP="00E63DE8">
            <w:pPr>
              <w:spacing w:before="120"/>
              <w:ind w:left="34" w:hanging="34"/>
              <w:rPr>
                <w:b/>
              </w:rPr>
            </w:pPr>
            <w:r w:rsidRPr="00E425C1">
              <w:rPr>
                <w:b/>
              </w:rPr>
              <w:t xml:space="preserve">Thirty-second session </w:t>
            </w:r>
          </w:p>
        </w:tc>
      </w:tr>
      <w:tr w:rsidR="00645A0B" w:rsidRPr="00E425C1" w:rsidTr="00165735">
        <w:tc>
          <w:tcPr>
            <w:tcW w:w="4652" w:type="dxa"/>
            <w:tcMar>
              <w:top w:w="28" w:type="dxa"/>
              <w:left w:w="108" w:type="dxa"/>
              <w:bottom w:w="0" w:type="dxa"/>
              <w:right w:w="108" w:type="dxa"/>
            </w:tcMar>
          </w:tcPr>
          <w:p w:rsidR="00645A0B" w:rsidRPr="00E425C1" w:rsidRDefault="00645A0B" w:rsidP="00EA48C4">
            <w:pPr>
              <w:tabs>
                <w:tab w:val="left" w:pos="0"/>
                <w:tab w:val="left" w:pos="6361"/>
                <w:tab w:val="left" w:pos="6939"/>
              </w:tabs>
              <w:spacing w:before="40"/>
              <w:ind w:left="34" w:hanging="34"/>
              <w:outlineLvl w:val="0"/>
              <w:rPr>
                <w:bCs/>
              </w:rPr>
            </w:pPr>
            <w:r w:rsidRPr="00E425C1">
              <w:rPr>
                <w:bCs/>
              </w:rPr>
              <w:t xml:space="preserve">Geneva, </w:t>
            </w:r>
            <w:r w:rsidR="00E63DE8" w:rsidRPr="00E425C1">
              <w:rPr>
                <w:bCs/>
              </w:rPr>
              <w:t xml:space="preserve">28 </w:t>
            </w:r>
            <w:r w:rsidRPr="00E425C1">
              <w:t xml:space="preserve">– </w:t>
            </w:r>
            <w:r w:rsidR="00F64C95" w:rsidRPr="00E425C1">
              <w:t>6</w:t>
            </w:r>
            <w:r w:rsidR="00904EBC" w:rsidRPr="00E425C1">
              <w:t xml:space="preserve"> </w:t>
            </w:r>
            <w:r w:rsidR="00E63DE8" w:rsidRPr="00E425C1">
              <w:t xml:space="preserve">December </w:t>
            </w:r>
            <w:r w:rsidR="00F64C95" w:rsidRPr="00E425C1">
              <w:t>2016</w:t>
            </w:r>
          </w:p>
          <w:p w:rsidR="00645A0B" w:rsidRPr="00E425C1" w:rsidRDefault="00645A0B" w:rsidP="00EA48C4">
            <w:pPr>
              <w:spacing w:before="40"/>
              <w:ind w:left="34" w:hanging="34"/>
            </w:pPr>
            <w:r w:rsidRPr="00E425C1">
              <w:t xml:space="preserve">Item </w:t>
            </w:r>
            <w:r w:rsidR="00F77729" w:rsidRPr="00E425C1">
              <w:t>7 (c)</w:t>
            </w:r>
            <w:r w:rsidRPr="00E425C1">
              <w:t xml:space="preserve"> of the provisional agenda</w:t>
            </w:r>
          </w:p>
          <w:p w:rsidR="00645A0B" w:rsidRPr="00E425C1" w:rsidRDefault="00F77729" w:rsidP="00F77729">
            <w:pPr>
              <w:spacing w:before="40"/>
              <w:rPr>
                <w:b/>
                <w:bCs/>
              </w:rPr>
            </w:pPr>
            <w:r w:rsidRPr="00E425C1">
              <w:rPr>
                <w:b/>
              </w:rPr>
              <w:t>Issues relating to the Globally Harmonized System of Classification and Labelling of Chemicals: classification criteria for flammable gases</w:t>
            </w:r>
          </w:p>
        </w:tc>
        <w:tc>
          <w:tcPr>
            <w:tcW w:w="4993" w:type="dxa"/>
            <w:tcMar>
              <w:top w:w="28" w:type="dxa"/>
              <w:left w:w="108" w:type="dxa"/>
              <w:bottom w:w="0" w:type="dxa"/>
              <w:right w:w="108" w:type="dxa"/>
            </w:tcMar>
          </w:tcPr>
          <w:p w:rsidR="00E63DE8" w:rsidRPr="00E425C1" w:rsidRDefault="00E63DE8" w:rsidP="00E63DE8">
            <w:pPr>
              <w:jc w:val="both"/>
            </w:pPr>
            <w:r w:rsidRPr="00E425C1">
              <w:t>Geneva, 7– 9 (morning) December  2016</w:t>
            </w:r>
          </w:p>
          <w:p w:rsidR="00E63DE8" w:rsidRPr="00E425C1" w:rsidRDefault="00E63DE8" w:rsidP="00E63DE8">
            <w:pPr>
              <w:spacing w:before="40"/>
            </w:pPr>
            <w:r w:rsidRPr="00E425C1">
              <w:t xml:space="preserve">Item </w:t>
            </w:r>
            <w:r w:rsidR="00F77729" w:rsidRPr="00E425C1">
              <w:t>2 (b)</w:t>
            </w:r>
            <w:r w:rsidRPr="00E425C1">
              <w:t xml:space="preserve"> of the provisional agenda</w:t>
            </w:r>
          </w:p>
          <w:p w:rsidR="00645A0B" w:rsidRPr="00E425C1" w:rsidRDefault="00F77729" w:rsidP="00165735">
            <w:pPr>
              <w:spacing w:before="40"/>
              <w:rPr>
                <w:b/>
                <w:bCs/>
              </w:rPr>
            </w:pPr>
            <w:r w:rsidRPr="00E425C1">
              <w:rPr>
                <w:b/>
              </w:rPr>
              <w:t xml:space="preserve">Classification criteria and related hazard communication: work of the TDG Sub-Committee on matters of interest to the GHS Sub-Committee </w:t>
            </w:r>
          </w:p>
        </w:tc>
      </w:tr>
    </w:tbl>
    <w:p w:rsidR="00F77729" w:rsidRPr="00E425C1" w:rsidRDefault="008B65FB" w:rsidP="00F77729">
      <w:pPr>
        <w:pStyle w:val="HChG"/>
        <w:rPr>
          <w:lang w:val="en-GB"/>
        </w:rPr>
      </w:pPr>
      <w:r w:rsidRPr="00E425C1">
        <w:rPr>
          <w:rFonts w:eastAsia="MS Mincho"/>
          <w:lang w:val="en-GB" w:eastAsia="ja-JP"/>
        </w:rPr>
        <w:tab/>
      </w:r>
      <w:r w:rsidRPr="00E425C1">
        <w:rPr>
          <w:rFonts w:eastAsia="MS Mincho"/>
          <w:lang w:val="en-GB" w:eastAsia="ja-JP"/>
        </w:rPr>
        <w:tab/>
      </w:r>
      <w:r w:rsidR="00F77729" w:rsidRPr="00E425C1">
        <w:rPr>
          <w:rFonts w:eastAsia="MS Mincho"/>
          <w:lang w:val="en-GB" w:eastAsia="ja-JP"/>
        </w:rPr>
        <w:t xml:space="preserve">Proposed correction to </w:t>
      </w:r>
      <w:r w:rsidR="00F77729" w:rsidRPr="00E425C1">
        <w:rPr>
          <w:lang w:val="en-GB"/>
        </w:rPr>
        <w:t xml:space="preserve">document ST/SG/AC.10/C.3/2016/58-ST/SG/AC.10/C.4/2016/12  </w:t>
      </w:r>
    </w:p>
    <w:p w:rsidR="00F77729" w:rsidRPr="00E425C1" w:rsidRDefault="00F77729" w:rsidP="00F77729">
      <w:pPr>
        <w:pStyle w:val="H1G"/>
        <w:rPr>
          <w:rFonts w:eastAsia="MS Mincho"/>
        </w:rPr>
      </w:pPr>
      <w:r w:rsidRPr="00E425C1">
        <w:rPr>
          <w:rFonts w:eastAsia="MS Mincho"/>
        </w:rPr>
        <w:tab/>
      </w:r>
      <w:r w:rsidRPr="00E425C1">
        <w:rPr>
          <w:rFonts w:eastAsia="MS Mincho"/>
        </w:rPr>
        <w:tab/>
        <w:t>Transmitted by the European Industrial Gases Association (EIGA)</w:t>
      </w:r>
    </w:p>
    <w:p w:rsidR="00F77729" w:rsidRPr="00E425C1" w:rsidRDefault="00F77729" w:rsidP="00F77729">
      <w:pPr>
        <w:pStyle w:val="SingleTxtG"/>
        <w:rPr>
          <w:lang w:val="en-GB"/>
        </w:rPr>
      </w:pPr>
      <w:r w:rsidRPr="00E425C1">
        <w:rPr>
          <w:lang w:val="en-GB"/>
        </w:rPr>
        <w:t>1.</w:t>
      </w:r>
      <w:r w:rsidRPr="00E425C1">
        <w:rPr>
          <w:lang w:val="en-GB"/>
        </w:rPr>
        <w:tab/>
        <w:t xml:space="preserve">This document contains a proposal for a correction that affects only the amendments proposed for chapter 2.2 of the GHS. </w:t>
      </w:r>
    </w:p>
    <w:p w:rsidR="00F77729" w:rsidRPr="00E425C1" w:rsidRDefault="00F77729" w:rsidP="00F77729">
      <w:pPr>
        <w:pStyle w:val="SingleTxtG"/>
        <w:rPr>
          <w:rFonts w:eastAsia="MS Mincho"/>
          <w:lang w:val="en-GB"/>
        </w:rPr>
      </w:pPr>
      <w:r w:rsidRPr="00E425C1">
        <w:rPr>
          <w:rFonts w:eastAsia="MS Mincho"/>
          <w:lang w:val="en-GB"/>
        </w:rPr>
        <w:t>2.</w:t>
      </w:r>
      <w:r w:rsidRPr="00E425C1">
        <w:rPr>
          <w:rFonts w:eastAsia="MS Mincho"/>
          <w:lang w:val="en-GB"/>
        </w:rPr>
        <w:tab/>
        <w:t>Section 2.2.5 of the current GHS (Rev.6) gives an example of calculation of the flammability of a mixture according to calculation method described in ISO 10156:2010. However, the parameters in this example were still those coming from ISO 10156:1996. Therefore, EIGA supplied to the experts of Belgium and Japan the corrections to that example when using the parameters from ISO10156:2010.</w:t>
      </w:r>
    </w:p>
    <w:p w:rsidR="00F77729" w:rsidRPr="00E425C1" w:rsidRDefault="00F77729" w:rsidP="00F77729">
      <w:pPr>
        <w:pStyle w:val="SingleTxtG"/>
        <w:rPr>
          <w:rFonts w:eastAsia="MS Mincho"/>
          <w:lang w:val="en-GB"/>
        </w:rPr>
      </w:pPr>
      <w:r w:rsidRPr="00E425C1">
        <w:rPr>
          <w:rFonts w:eastAsia="MS Mincho"/>
          <w:lang w:val="en-GB"/>
        </w:rPr>
        <w:t>3.</w:t>
      </w:r>
      <w:r w:rsidRPr="00E425C1">
        <w:rPr>
          <w:rFonts w:eastAsia="MS Mincho"/>
          <w:lang w:val="en-GB"/>
        </w:rPr>
        <w:tab/>
        <w:t>Unfortunately, the nitrogen equivalent 85.2% was left unchanged in line 3:</w:t>
      </w:r>
    </w:p>
    <w:p w:rsidR="00F77729" w:rsidRPr="00E425C1" w:rsidRDefault="00F77729" w:rsidP="00E425C1">
      <w:pPr>
        <w:pStyle w:val="SingleTxtG"/>
        <w:ind w:left="1701"/>
        <w:rPr>
          <w:lang w:val="en-GB"/>
        </w:rPr>
      </w:pPr>
      <w:r w:rsidRPr="00E425C1">
        <w:rPr>
          <w:lang w:val="en-GB"/>
        </w:rPr>
        <w:t>“Adjust the sum of the contents to 100%:</w:t>
      </w:r>
    </w:p>
    <w:p w:rsidR="00F77729" w:rsidRPr="00E425C1" w:rsidRDefault="00EC48D1" w:rsidP="00E425C1">
      <w:pPr>
        <w:pStyle w:val="SingleTxtG"/>
        <w:ind w:left="1701"/>
        <w:rPr>
          <w:sz w:val="18"/>
          <w:szCs w:val="18"/>
          <w:lang w:val="en-GB"/>
        </w:rPr>
      </w:pPr>
      <w:r w:rsidRPr="003566D2">
        <w:rPr>
          <w:color w:val="FF0000"/>
          <w:position w:val="-22"/>
          <w:sz w:val="18"/>
          <w:szCs w:val="18"/>
          <w:lang w:val="en-GB"/>
        </w:rPr>
        <w:object w:dxaOrig="6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0pt;height:25.5pt" o:ole="" fillcolor="window">
            <v:imagedata r:id="rId9" o:title=""/>
          </v:shape>
          <o:OLEObject Type="Embed" ProgID="Equation.3" ShapeID="_x0000_i1031" DrawAspect="Content" ObjectID="_1541313023" r:id="rId10"/>
        </w:object>
      </w:r>
      <w:r w:rsidR="00F77729" w:rsidRPr="00E425C1">
        <w:rPr>
          <w:sz w:val="18"/>
          <w:szCs w:val="18"/>
          <w:lang w:val="en-GB"/>
        </w:rPr>
        <w:t xml:space="preserve"> × [2%(H</w:t>
      </w:r>
      <w:r w:rsidR="00F77729" w:rsidRPr="00E425C1">
        <w:rPr>
          <w:sz w:val="18"/>
          <w:szCs w:val="18"/>
          <w:vertAlign w:val="subscript"/>
          <w:lang w:val="en-GB"/>
        </w:rPr>
        <w:t>2</w:t>
      </w:r>
      <w:r w:rsidR="00F77729" w:rsidRPr="00E425C1">
        <w:rPr>
          <w:sz w:val="18"/>
          <w:szCs w:val="18"/>
          <w:lang w:val="en-GB"/>
        </w:rPr>
        <w:t>) + 6%(CH</w:t>
      </w:r>
      <w:r w:rsidR="00F77729" w:rsidRPr="00E425C1">
        <w:rPr>
          <w:sz w:val="18"/>
          <w:szCs w:val="18"/>
          <w:vertAlign w:val="subscript"/>
          <w:lang w:val="en-GB"/>
        </w:rPr>
        <w:t>4</w:t>
      </w:r>
      <w:r w:rsidR="00F77729" w:rsidRPr="00E425C1">
        <w:rPr>
          <w:sz w:val="18"/>
          <w:szCs w:val="18"/>
          <w:lang w:val="en-GB"/>
        </w:rPr>
        <w:t>) + 73.35%(N</w:t>
      </w:r>
      <w:r w:rsidR="00F77729" w:rsidRPr="00E425C1">
        <w:rPr>
          <w:sz w:val="18"/>
          <w:szCs w:val="18"/>
          <w:vertAlign w:val="subscript"/>
          <w:lang w:val="en-GB"/>
        </w:rPr>
        <w:t>2</w:t>
      </w:r>
      <w:r w:rsidR="00F77729" w:rsidRPr="00E425C1">
        <w:rPr>
          <w:sz w:val="18"/>
          <w:szCs w:val="18"/>
          <w:lang w:val="en-GB"/>
        </w:rPr>
        <w:t>)] = 2.46%(H</w:t>
      </w:r>
      <w:r w:rsidR="00F77729" w:rsidRPr="00E425C1">
        <w:rPr>
          <w:sz w:val="18"/>
          <w:szCs w:val="18"/>
          <w:vertAlign w:val="subscript"/>
          <w:lang w:val="en-GB"/>
        </w:rPr>
        <w:t>2</w:t>
      </w:r>
      <w:r w:rsidR="00F77729" w:rsidRPr="00E425C1">
        <w:rPr>
          <w:sz w:val="18"/>
          <w:szCs w:val="18"/>
          <w:lang w:val="en-GB"/>
        </w:rPr>
        <w:t>)</w:t>
      </w:r>
      <w:r w:rsidR="00F77729" w:rsidRPr="00E425C1">
        <w:rPr>
          <w:sz w:val="18"/>
          <w:szCs w:val="18"/>
          <w:vertAlign w:val="subscript"/>
          <w:lang w:val="en-GB"/>
        </w:rPr>
        <w:t xml:space="preserve"> </w:t>
      </w:r>
      <w:r w:rsidR="00F77729" w:rsidRPr="00E425C1">
        <w:rPr>
          <w:sz w:val="18"/>
          <w:szCs w:val="18"/>
          <w:lang w:val="en-GB"/>
        </w:rPr>
        <w:t>+ 7.37%(CH</w:t>
      </w:r>
      <w:r w:rsidR="00F77729" w:rsidRPr="00E425C1">
        <w:rPr>
          <w:sz w:val="18"/>
          <w:szCs w:val="18"/>
          <w:vertAlign w:val="subscript"/>
          <w:lang w:val="en-GB"/>
        </w:rPr>
        <w:t>4</w:t>
      </w:r>
      <w:r w:rsidR="00F77729" w:rsidRPr="00E425C1">
        <w:rPr>
          <w:sz w:val="18"/>
          <w:szCs w:val="18"/>
          <w:lang w:val="en-GB"/>
        </w:rPr>
        <w:t>) + 85.2%(N</w:t>
      </w:r>
      <w:r w:rsidR="00F77729" w:rsidRPr="00E425C1">
        <w:rPr>
          <w:sz w:val="18"/>
          <w:szCs w:val="18"/>
          <w:vertAlign w:val="subscript"/>
          <w:lang w:val="en-GB"/>
        </w:rPr>
        <w:t>2</w:t>
      </w:r>
      <w:r w:rsidR="00F77729" w:rsidRPr="00E425C1">
        <w:rPr>
          <w:sz w:val="18"/>
          <w:szCs w:val="18"/>
          <w:lang w:val="en-GB"/>
        </w:rPr>
        <w:t>)”</w:t>
      </w:r>
      <w:bookmarkStart w:id="0" w:name="_GoBack"/>
      <w:bookmarkEnd w:id="0"/>
    </w:p>
    <w:p w:rsidR="00F77729" w:rsidRPr="00E425C1" w:rsidRDefault="00F77729" w:rsidP="00E425C1">
      <w:pPr>
        <w:pStyle w:val="SingleTxtG"/>
        <w:ind w:left="1701"/>
        <w:rPr>
          <w:rFonts w:eastAsia="MS Mincho"/>
          <w:lang w:val="en-GB"/>
        </w:rPr>
      </w:pPr>
      <w:r w:rsidRPr="00E425C1">
        <w:rPr>
          <w:rFonts w:eastAsia="MS Mincho"/>
          <w:lang w:val="en-GB"/>
        </w:rPr>
        <w:t>The correct value of the equivalent nitrogen with the parameters of IS01056:2010</w:t>
      </w:r>
      <w:r w:rsidR="00E425C1" w:rsidRPr="00E425C1">
        <w:rPr>
          <w:rFonts w:eastAsia="MS Mincho"/>
          <w:lang w:val="en-GB"/>
        </w:rPr>
        <w:t xml:space="preserve"> is </w:t>
      </w:r>
      <w:r w:rsidRPr="00E425C1">
        <w:rPr>
          <w:rFonts w:eastAsia="MS Mincho"/>
          <w:lang w:val="en-GB"/>
        </w:rPr>
        <w:t>90</w:t>
      </w:r>
      <w:proofErr w:type="gramStart"/>
      <w:r w:rsidRPr="00E425C1">
        <w:rPr>
          <w:rFonts w:eastAsia="MS Mincho"/>
          <w:lang w:val="en-GB"/>
        </w:rPr>
        <w:t>,17</w:t>
      </w:r>
      <w:proofErr w:type="gramEnd"/>
      <w:r w:rsidRPr="00E425C1">
        <w:rPr>
          <w:rFonts w:eastAsia="MS Mincho"/>
          <w:lang w:val="en-GB"/>
        </w:rPr>
        <w:t>% and the summation should read:</w:t>
      </w:r>
    </w:p>
    <w:p w:rsidR="00F77729" w:rsidRPr="00E425C1" w:rsidRDefault="00F77729" w:rsidP="00E425C1">
      <w:pPr>
        <w:pStyle w:val="SingleTxtG"/>
        <w:ind w:left="1701"/>
        <w:rPr>
          <w:sz w:val="18"/>
          <w:szCs w:val="18"/>
          <w:lang w:val="en-GB"/>
        </w:rPr>
      </w:pPr>
      <w:r w:rsidRPr="00E425C1">
        <w:rPr>
          <w:color w:val="FF0000"/>
          <w:position w:val="-24"/>
          <w:sz w:val="18"/>
          <w:szCs w:val="18"/>
          <w:lang w:val="en-GB"/>
        </w:rPr>
        <w:object w:dxaOrig="639" w:dyaOrig="620">
          <v:shape id="_x0000_i1026" type="#_x0000_t75" style="width:31.5pt;height:27pt" o:ole="" fillcolor="window">
            <v:imagedata r:id="rId11" o:title=""/>
          </v:shape>
          <o:OLEObject Type="Embed" ProgID="Equation.3" ShapeID="_x0000_i1026" DrawAspect="Content" ObjectID="_1541313024" r:id="rId12"/>
        </w:object>
      </w:r>
      <w:r w:rsidRPr="00E425C1">
        <w:rPr>
          <w:sz w:val="18"/>
          <w:szCs w:val="18"/>
          <w:lang w:val="en-GB"/>
        </w:rPr>
        <w:t xml:space="preserve"> × [2%(H</w:t>
      </w:r>
      <w:r w:rsidRPr="00E425C1">
        <w:rPr>
          <w:sz w:val="18"/>
          <w:szCs w:val="18"/>
          <w:vertAlign w:val="subscript"/>
          <w:lang w:val="en-GB"/>
        </w:rPr>
        <w:t>2</w:t>
      </w:r>
      <w:r w:rsidRPr="00E425C1">
        <w:rPr>
          <w:sz w:val="18"/>
          <w:szCs w:val="18"/>
          <w:lang w:val="en-GB"/>
        </w:rPr>
        <w:t>) + 6%(CH</w:t>
      </w:r>
      <w:r w:rsidRPr="00E425C1">
        <w:rPr>
          <w:sz w:val="18"/>
          <w:szCs w:val="18"/>
          <w:vertAlign w:val="subscript"/>
          <w:lang w:val="en-GB"/>
        </w:rPr>
        <w:t>4</w:t>
      </w:r>
      <w:r w:rsidRPr="00E425C1">
        <w:rPr>
          <w:sz w:val="18"/>
          <w:szCs w:val="18"/>
          <w:lang w:val="en-GB"/>
        </w:rPr>
        <w:t>) + 73.35%(N</w:t>
      </w:r>
      <w:r w:rsidRPr="00E425C1">
        <w:rPr>
          <w:sz w:val="18"/>
          <w:szCs w:val="18"/>
          <w:vertAlign w:val="subscript"/>
          <w:lang w:val="en-GB"/>
        </w:rPr>
        <w:t>2</w:t>
      </w:r>
      <w:r w:rsidRPr="00E425C1">
        <w:rPr>
          <w:sz w:val="18"/>
          <w:szCs w:val="18"/>
          <w:lang w:val="en-GB"/>
        </w:rPr>
        <w:t>)] = 2.46%(H</w:t>
      </w:r>
      <w:r w:rsidRPr="00E425C1">
        <w:rPr>
          <w:sz w:val="18"/>
          <w:szCs w:val="18"/>
          <w:vertAlign w:val="subscript"/>
          <w:lang w:val="en-GB"/>
        </w:rPr>
        <w:t>2</w:t>
      </w:r>
      <w:r w:rsidRPr="00E425C1">
        <w:rPr>
          <w:sz w:val="18"/>
          <w:szCs w:val="18"/>
          <w:lang w:val="en-GB"/>
        </w:rPr>
        <w:t>)</w:t>
      </w:r>
      <w:r w:rsidRPr="00E425C1">
        <w:rPr>
          <w:sz w:val="18"/>
          <w:szCs w:val="18"/>
          <w:vertAlign w:val="subscript"/>
          <w:lang w:val="en-GB"/>
        </w:rPr>
        <w:t xml:space="preserve"> </w:t>
      </w:r>
      <w:r w:rsidRPr="00E425C1">
        <w:rPr>
          <w:sz w:val="18"/>
          <w:szCs w:val="18"/>
          <w:lang w:val="en-GB"/>
        </w:rPr>
        <w:t>+ 7.37%(CH</w:t>
      </w:r>
      <w:r w:rsidRPr="00E425C1">
        <w:rPr>
          <w:sz w:val="18"/>
          <w:szCs w:val="18"/>
          <w:vertAlign w:val="subscript"/>
          <w:lang w:val="en-GB"/>
        </w:rPr>
        <w:t>4</w:t>
      </w:r>
      <w:r w:rsidRPr="00E425C1">
        <w:rPr>
          <w:sz w:val="18"/>
          <w:szCs w:val="18"/>
          <w:lang w:val="en-GB"/>
        </w:rPr>
        <w:t xml:space="preserve">) + </w:t>
      </w:r>
      <w:r w:rsidRPr="00E425C1">
        <w:rPr>
          <w:b/>
          <w:sz w:val="18"/>
          <w:szCs w:val="18"/>
          <w:lang w:val="en-GB"/>
        </w:rPr>
        <w:t>90,17</w:t>
      </w:r>
      <w:r w:rsidRPr="00E425C1">
        <w:rPr>
          <w:sz w:val="18"/>
          <w:szCs w:val="18"/>
          <w:lang w:val="en-GB"/>
        </w:rPr>
        <w:t>%(N</w:t>
      </w:r>
      <w:r w:rsidRPr="00E425C1">
        <w:rPr>
          <w:sz w:val="18"/>
          <w:szCs w:val="18"/>
          <w:vertAlign w:val="subscript"/>
          <w:lang w:val="en-GB"/>
        </w:rPr>
        <w:t>2</w:t>
      </w:r>
      <w:r w:rsidRPr="00E425C1">
        <w:rPr>
          <w:sz w:val="18"/>
          <w:szCs w:val="18"/>
          <w:lang w:val="en-GB"/>
        </w:rPr>
        <w:t>)</w:t>
      </w:r>
    </w:p>
    <w:p w:rsidR="00F77729" w:rsidRPr="00E425C1" w:rsidRDefault="00E425C1" w:rsidP="00F77729">
      <w:pPr>
        <w:pStyle w:val="SingleTxtG"/>
        <w:rPr>
          <w:rFonts w:eastAsia="MS Mincho"/>
          <w:lang w:val="en-GB"/>
        </w:rPr>
      </w:pPr>
      <w:r w:rsidRPr="00E425C1">
        <w:rPr>
          <w:lang w:val="en-GB"/>
        </w:rPr>
        <w:tab/>
      </w:r>
      <w:r w:rsidR="00F77729" w:rsidRPr="00E425C1">
        <w:rPr>
          <w:lang w:val="en-GB"/>
        </w:rPr>
        <w:t>This correction has no influence on the remaining of the example that remains valid.</w:t>
      </w:r>
    </w:p>
    <w:p w:rsidR="00F77729" w:rsidRPr="00E425C1" w:rsidRDefault="00F77729" w:rsidP="00F77729">
      <w:pPr>
        <w:pStyle w:val="SingleTxtG"/>
        <w:rPr>
          <w:rFonts w:eastAsia="MS Mincho"/>
          <w:lang w:val="en-GB"/>
        </w:rPr>
      </w:pPr>
      <w:r w:rsidRPr="00E425C1">
        <w:rPr>
          <w:rFonts w:eastAsia="MS Mincho"/>
          <w:lang w:val="en-GB"/>
        </w:rPr>
        <w:t>4.</w:t>
      </w:r>
      <w:r w:rsidRPr="00E425C1">
        <w:rPr>
          <w:rFonts w:eastAsia="MS Mincho"/>
          <w:lang w:val="en-GB"/>
        </w:rPr>
        <w:tab/>
        <w:t xml:space="preserve">ISO standards are routinely reviewed or confirmed every five years. The parameters used for the calculation methods in ISO 10156 are determined on the basis of laboratory test with a safety factor to take into account the variability of the test results. One can anticipate that at future reviews of the standard, new parameters will be adopted in ISO 10156 based on more recent laboratory tests and would require new adjustments of the example. Furthermore the standard is being revised and in its next edition ISO 10156:2017 will include an additional calculation method to determine the </w:t>
      </w:r>
      <w:r w:rsidR="00E425C1" w:rsidRPr="00E425C1">
        <w:rPr>
          <w:rFonts w:eastAsia="MS Mincho"/>
          <w:lang w:val="en-GB"/>
        </w:rPr>
        <w:t>lower flammability limit (</w:t>
      </w:r>
      <w:r w:rsidRPr="00E425C1">
        <w:rPr>
          <w:rFonts w:eastAsia="MS Mincho"/>
          <w:lang w:val="en-GB"/>
        </w:rPr>
        <w:t>LFL</w:t>
      </w:r>
      <w:r w:rsidR="00E425C1" w:rsidRPr="00E425C1">
        <w:rPr>
          <w:rFonts w:eastAsia="MS Mincho"/>
          <w:lang w:val="en-GB"/>
        </w:rPr>
        <w:t>)</w:t>
      </w:r>
      <w:r w:rsidRPr="00E425C1">
        <w:rPr>
          <w:rFonts w:eastAsia="MS Mincho"/>
          <w:lang w:val="en-GB"/>
        </w:rPr>
        <w:t xml:space="preserve"> of flammable mixtures. This new calculation method will enable to differentiate flammable gas mixtures between categories 1A and 1B. It would then be logical to add a second example to illustrate this new calculation method. </w:t>
      </w:r>
    </w:p>
    <w:p w:rsidR="00F77729" w:rsidRPr="00E425C1" w:rsidRDefault="00F77729" w:rsidP="00F77729">
      <w:pPr>
        <w:pStyle w:val="SingleTxtG"/>
        <w:rPr>
          <w:rFonts w:eastAsia="MS Mincho"/>
          <w:lang w:val="en-GB"/>
        </w:rPr>
      </w:pPr>
      <w:r w:rsidRPr="00E425C1">
        <w:rPr>
          <w:rFonts w:eastAsia="MS Mincho"/>
          <w:lang w:val="en-GB"/>
        </w:rPr>
        <w:lastRenderedPageBreak/>
        <w:t>5.</w:t>
      </w:r>
      <w:r w:rsidRPr="00E425C1">
        <w:rPr>
          <w:rFonts w:eastAsia="MS Mincho"/>
          <w:lang w:val="en-GB"/>
        </w:rPr>
        <w:tab/>
        <w:t>EIGA questions the benefit to have calculation example(s) in chapter 2.2. The examples do not prevent formulators to have to rely on the standard itself to make their classifications.  EIGA proposes to delete section 2.2.5.</w:t>
      </w:r>
    </w:p>
    <w:p w:rsidR="00F77729" w:rsidRPr="00E425C1" w:rsidRDefault="00F77729" w:rsidP="00E425C1">
      <w:pPr>
        <w:pStyle w:val="SingleTxtG"/>
        <w:rPr>
          <w:lang w:val="en-GB"/>
        </w:rPr>
      </w:pPr>
      <w:r w:rsidRPr="00E425C1">
        <w:rPr>
          <w:rFonts w:eastAsia="MS Mincho"/>
          <w:lang w:val="en-GB"/>
        </w:rPr>
        <w:t xml:space="preserve">6. </w:t>
      </w:r>
      <w:r w:rsidRPr="00E425C1">
        <w:rPr>
          <w:lang w:val="en-GB"/>
        </w:rPr>
        <w:t xml:space="preserve"> If the deletion of the section 2.2.5 is accepted by the sub-committee, EIGA proposes that consequentially section 2.4.4.2 with the calculation example for “Oxidising gases” be deleted, for the same reasons.</w:t>
      </w:r>
    </w:p>
    <w:p w:rsidR="00F77729" w:rsidRPr="00E425C1" w:rsidRDefault="00F77729" w:rsidP="00F77729">
      <w:pPr>
        <w:ind w:left="1134"/>
      </w:pPr>
    </w:p>
    <w:p w:rsidR="00F77729" w:rsidRPr="00E425C1" w:rsidRDefault="00F77729" w:rsidP="00F77729">
      <w:pPr>
        <w:ind w:left="1134"/>
        <w:rPr>
          <w:b/>
          <w:sz w:val="24"/>
          <w:szCs w:val="24"/>
        </w:rPr>
      </w:pPr>
      <w:r w:rsidRPr="00E425C1">
        <w:rPr>
          <w:b/>
          <w:sz w:val="24"/>
          <w:szCs w:val="24"/>
        </w:rPr>
        <w:t>Proposals</w:t>
      </w:r>
    </w:p>
    <w:p w:rsidR="00F77729" w:rsidRPr="00E425C1" w:rsidRDefault="00F77729" w:rsidP="00F77729">
      <w:pPr>
        <w:ind w:left="1134"/>
        <w:rPr>
          <w:b/>
          <w:sz w:val="24"/>
          <w:szCs w:val="24"/>
        </w:rPr>
      </w:pPr>
    </w:p>
    <w:p w:rsidR="00F77729" w:rsidRPr="00E425C1" w:rsidRDefault="00F77729" w:rsidP="00F77729">
      <w:pPr>
        <w:ind w:left="1134"/>
      </w:pPr>
      <w:r w:rsidRPr="00E425C1">
        <w:rPr>
          <w:rFonts w:eastAsia="MS Mincho"/>
        </w:rPr>
        <w:t xml:space="preserve">7. </w:t>
      </w:r>
      <w:r w:rsidRPr="00E425C1">
        <w:t xml:space="preserve"> </w:t>
      </w:r>
      <w:r w:rsidRPr="00E425C1">
        <w:rPr>
          <w:b/>
        </w:rPr>
        <w:t>Proposal 1a</w:t>
      </w:r>
      <w:r w:rsidRPr="00E425C1">
        <w:t>: Delete 2.2.5 for the reasons explained above.</w:t>
      </w:r>
    </w:p>
    <w:p w:rsidR="00F77729" w:rsidRPr="00E425C1" w:rsidRDefault="00F77729" w:rsidP="00F77729">
      <w:pPr>
        <w:ind w:left="1134"/>
      </w:pPr>
    </w:p>
    <w:p w:rsidR="00F77729" w:rsidRPr="00E425C1" w:rsidRDefault="00F77729" w:rsidP="00F77729">
      <w:pPr>
        <w:ind w:left="1134"/>
      </w:pPr>
      <w:r w:rsidRPr="00E425C1">
        <w:t xml:space="preserve">8.  </w:t>
      </w:r>
      <w:r w:rsidRPr="00E425C1">
        <w:rPr>
          <w:b/>
        </w:rPr>
        <w:t>Proposal 1b</w:t>
      </w:r>
      <w:r w:rsidRPr="00E425C1">
        <w:t>: Delete 2.4.4.2 as a consequence to1a and for the same reasons.</w:t>
      </w:r>
    </w:p>
    <w:p w:rsidR="00F77729" w:rsidRPr="00E425C1" w:rsidRDefault="00F77729" w:rsidP="00F77729">
      <w:pPr>
        <w:ind w:left="1134"/>
      </w:pPr>
    </w:p>
    <w:p w:rsidR="00F77729" w:rsidRPr="00E425C1" w:rsidRDefault="00F77729" w:rsidP="00F77729">
      <w:pPr>
        <w:ind w:left="1134"/>
      </w:pPr>
      <w:r w:rsidRPr="00E425C1">
        <w:t xml:space="preserve">9.  </w:t>
      </w:r>
      <w:r w:rsidRPr="00E425C1">
        <w:rPr>
          <w:b/>
        </w:rPr>
        <w:t>Proposal 2:</w:t>
      </w:r>
      <w:r w:rsidRPr="00E425C1">
        <w:t xml:space="preserve"> If proposals 1a and 1b are not accepted, correct 2.2.5 line 3 as outlined above.</w:t>
      </w:r>
    </w:p>
    <w:p w:rsidR="00E425C1" w:rsidRPr="00E425C1" w:rsidRDefault="00E425C1" w:rsidP="00E425C1">
      <w:pPr>
        <w:spacing w:before="240"/>
        <w:ind w:left="1134" w:right="1134"/>
        <w:jc w:val="center"/>
        <w:rPr>
          <w:u w:val="single"/>
        </w:rPr>
      </w:pPr>
      <w:r w:rsidRPr="00E425C1">
        <w:rPr>
          <w:u w:val="single"/>
        </w:rPr>
        <w:tab/>
      </w:r>
      <w:r w:rsidRPr="00E425C1">
        <w:rPr>
          <w:u w:val="single"/>
        </w:rPr>
        <w:tab/>
      </w:r>
      <w:r w:rsidRPr="00E425C1">
        <w:rPr>
          <w:u w:val="single"/>
        </w:rPr>
        <w:tab/>
      </w:r>
    </w:p>
    <w:sectPr w:rsidR="00E425C1" w:rsidRPr="00E425C1" w:rsidSect="0049771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A4" w:rsidRDefault="001A02A4"/>
  </w:endnote>
  <w:endnote w:type="continuationSeparator" w:id="0">
    <w:p w:rsidR="001A02A4" w:rsidRDefault="001A02A4"/>
  </w:endnote>
  <w:endnote w:type="continuationNotice" w:id="1">
    <w:p w:rsidR="001A02A4" w:rsidRDefault="001A0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3566D2">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E425C1">
      <w:rPr>
        <w:b/>
        <w:noProof/>
        <w:sz w:val="18"/>
      </w:rPr>
      <w:t>3</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EC48D1">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recycle_English" style="position:absolute;margin-left:405.4pt;margin-top:-6.25pt;width:73.25pt;height:18.15pt;z-index:251657728;visibility:visible">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A4" w:rsidRPr="000B175B" w:rsidRDefault="001A02A4" w:rsidP="000B175B">
      <w:pPr>
        <w:tabs>
          <w:tab w:val="right" w:pos="2155"/>
        </w:tabs>
        <w:spacing w:after="80"/>
        <w:ind w:left="680"/>
        <w:rPr>
          <w:u w:val="single"/>
        </w:rPr>
      </w:pPr>
      <w:r>
        <w:rPr>
          <w:u w:val="single"/>
        </w:rPr>
        <w:tab/>
      </w:r>
    </w:p>
  </w:footnote>
  <w:footnote w:type="continuationSeparator" w:id="0">
    <w:p w:rsidR="001A02A4" w:rsidRPr="00FC68B7" w:rsidRDefault="001A02A4" w:rsidP="00FC68B7">
      <w:pPr>
        <w:tabs>
          <w:tab w:val="left" w:pos="2155"/>
        </w:tabs>
        <w:spacing w:after="80"/>
        <w:ind w:left="680"/>
        <w:rPr>
          <w:u w:val="single"/>
        </w:rPr>
      </w:pPr>
      <w:r>
        <w:rPr>
          <w:u w:val="single"/>
        </w:rPr>
        <w:tab/>
      </w:r>
    </w:p>
  </w:footnote>
  <w:footnote w:type="continuationNotice" w:id="1">
    <w:p w:rsidR="001A02A4" w:rsidRDefault="001A0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FB" w:rsidRPr="00E425C1" w:rsidRDefault="00DE236F">
    <w:pPr>
      <w:pStyle w:val="Header"/>
      <w:rPr>
        <w:lang w:val="nl-NL"/>
      </w:rPr>
    </w:pPr>
    <w:r w:rsidRPr="00E425C1">
      <w:rPr>
        <w:lang w:val="nl-NL"/>
      </w:rPr>
      <w:t>UN/SCETDG/</w:t>
    </w:r>
    <w:r w:rsidR="005D1BB4" w:rsidRPr="00E425C1">
      <w:rPr>
        <w:lang w:val="nl-NL"/>
      </w:rPr>
      <w:t>50</w:t>
    </w:r>
    <w:r w:rsidRPr="00E425C1">
      <w:rPr>
        <w:lang w:val="nl-NL"/>
      </w:rPr>
      <w:t>/INF.</w:t>
    </w:r>
    <w:r w:rsidR="00E425C1" w:rsidRPr="00E425C1">
      <w:rPr>
        <w:lang w:val="nl-NL"/>
      </w:rPr>
      <w:t>35</w:t>
    </w:r>
  </w:p>
  <w:p w:rsidR="00DE236F" w:rsidRPr="00B5392B" w:rsidRDefault="00DE236F">
    <w:pPr>
      <w:pStyle w:val="Header"/>
      <w:rPr>
        <w:lang w:val="nl-NL"/>
      </w:rPr>
    </w:pPr>
    <w:r w:rsidRPr="00E425C1">
      <w:rPr>
        <w:lang w:val="nl-NL"/>
      </w:rPr>
      <w:t>UN/SCEGHS/</w:t>
    </w:r>
    <w:r w:rsidR="005D1BB4" w:rsidRPr="00E425C1">
      <w:rPr>
        <w:lang w:val="nl-NL"/>
      </w:rPr>
      <w:t>32</w:t>
    </w:r>
    <w:r w:rsidRPr="00E425C1">
      <w:rPr>
        <w:lang w:val="nl-NL"/>
      </w:rPr>
      <w:t>/INF.</w:t>
    </w:r>
    <w:r w:rsidR="00E425C1" w:rsidRPr="00E425C1">
      <w:rPr>
        <w:lang w:val="nl-NL"/>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Pr="000216CC" w:rsidRDefault="00DE236F" w:rsidP="000216CC">
    <w:pPr>
      <w:pStyle w:val="Header"/>
      <w:jc w:val="right"/>
    </w:pPr>
    <w:r w:rsidRPr="00843AB2">
      <w:rPr>
        <w:highlight w:val="yellow"/>
      </w:rPr>
      <w:t>UN/SCETDG/</w:t>
    </w:r>
    <w:r w:rsidR="00D477C4">
      <w:rPr>
        <w:highlight w:val="yellow"/>
      </w:rPr>
      <w:t>49</w:t>
    </w:r>
    <w:r w:rsidRPr="00843AB2">
      <w:rPr>
        <w:highlight w:val="yellow"/>
      </w:rPr>
      <w:t>/</w:t>
    </w:r>
    <w:proofErr w:type="spellStart"/>
    <w:r w:rsidRPr="00843AB2">
      <w:rPr>
        <w:highlight w:val="yellow"/>
      </w:rPr>
      <w:t>INF.</w:t>
    </w:r>
    <w:r w:rsidR="00843AB2" w:rsidRPr="00843AB2">
      <w:rPr>
        <w:highlight w:val="yellow"/>
      </w:rPr>
      <w:t>xx</w:t>
    </w:r>
    <w:proofErr w:type="spellEnd"/>
    <w:r w:rsidRPr="00843AB2">
      <w:rPr>
        <w:highlight w:val="yellow"/>
      </w:rPr>
      <w:br/>
      <w:t>UN/SCEGHS/</w:t>
    </w:r>
    <w:r w:rsidR="00D477C4">
      <w:rPr>
        <w:highlight w:val="yellow"/>
      </w:rPr>
      <w:t>31</w:t>
    </w:r>
    <w:r w:rsidRPr="00843AB2">
      <w:rPr>
        <w:highlight w:val="yellow"/>
      </w:rPr>
      <w:t>/</w:t>
    </w:r>
    <w:proofErr w:type="spellStart"/>
    <w:r w:rsidRPr="00843AB2">
      <w:rPr>
        <w:highlight w:val="yellow"/>
      </w:rPr>
      <w:t>INF.</w:t>
    </w:r>
    <w:r w:rsidR="00843AB2" w:rsidRPr="00843AB2">
      <w:rPr>
        <w:highlight w:val="yellow"/>
      </w:rPr>
      <w:t>xx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6F" w:rsidRDefault="00DE236F" w:rsidP="00796F36">
    <w:pPr>
      <w:pStyle w:val="Header"/>
      <w:pBdr>
        <w:bottom w:val="none" w:sz="0" w:space="0" w:color="auto"/>
      </w:pBdr>
    </w:pPr>
  </w:p>
  <w:p w:rsidR="00DE236F" w:rsidRDefault="00DE2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5">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6">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76AE4"/>
    <w:multiLevelType w:val="hybridMultilevel"/>
    <w:tmpl w:val="80C6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1"/>
  </w:num>
  <w:num w:numId="13">
    <w:abstractNumId w:val="10"/>
  </w:num>
  <w:num w:numId="14">
    <w:abstractNumId w:val="22"/>
  </w:num>
  <w:num w:numId="15">
    <w:abstractNumId w:val="25"/>
  </w:num>
  <w:num w:numId="16">
    <w:abstractNumId w:val="16"/>
  </w:num>
  <w:num w:numId="17">
    <w:abstractNumId w:val="20"/>
  </w:num>
  <w:num w:numId="18">
    <w:abstractNumId w:val="24"/>
  </w:num>
  <w:num w:numId="19">
    <w:abstractNumId w:val="15"/>
  </w:num>
  <w:num w:numId="20">
    <w:abstractNumId w:val="23"/>
  </w:num>
  <w:num w:numId="21">
    <w:abstractNumId w:val="14"/>
  </w:num>
  <w:num w:numId="22">
    <w:abstractNumId w:val="18"/>
  </w:num>
  <w:num w:numId="23">
    <w:abstractNumId w:val="26"/>
  </w:num>
  <w:num w:numId="24">
    <w:abstractNumId w:val="13"/>
  </w:num>
  <w:num w:numId="25">
    <w:abstractNumId w:val="17"/>
  </w:num>
  <w:num w:numId="26">
    <w:abstractNumId w:val="12"/>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6CC"/>
    <w:rsid w:val="000019B8"/>
    <w:rsid w:val="00006FAE"/>
    <w:rsid w:val="000133C5"/>
    <w:rsid w:val="00017D24"/>
    <w:rsid w:val="000216CC"/>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461A"/>
    <w:rsid w:val="00115303"/>
    <w:rsid w:val="00117787"/>
    <w:rsid w:val="00117D0D"/>
    <w:rsid w:val="00121EB7"/>
    <w:rsid w:val="00131B10"/>
    <w:rsid w:val="00131D42"/>
    <w:rsid w:val="00133C50"/>
    <w:rsid w:val="001406F4"/>
    <w:rsid w:val="001633FB"/>
    <w:rsid w:val="00163A1B"/>
    <w:rsid w:val="00165735"/>
    <w:rsid w:val="00167786"/>
    <w:rsid w:val="00181019"/>
    <w:rsid w:val="001835BF"/>
    <w:rsid w:val="00184B86"/>
    <w:rsid w:val="001A02A4"/>
    <w:rsid w:val="001B35EE"/>
    <w:rsid w:val="001B4B04"/>
    <w:rsid w:val="001B6B72"/>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76CF"/>
    <w:rsid w:val="002A0BD2"/>
    <w:rsid w:val="002A5B17"/>
    <w:rsid w:val="002B067A"/>
    <w:rsid w:val="002B1514"/>
    <w:rsid w:val="002B1CDA"/>
    <w:rsid w:val="002C7F25"/>
    <w:rsid w:val="002D5A85"/>
    <w:rsid w:val="002D5C7D"/>
    <w:rsid w:val="002E35BB"/>
    <w:rsid w:val="002F68FD"/>
    <w:rsid w:val="003107FA"/>
    <w:rsid w:val="00315D73"/>
    <w:rsid w:val="00316FF9"/>
    <w:rsid w:val="00321716"/>
    <w:rsid w:val="003229D8"/>
    <w:rsid w:val="00327D0A"/>
    <w:rsid w:val="003517C3"/>
    <w:rsid w:val="00355502"/>
    <w:rsid w:val="003566D2"/>
    <w:rsid w:val="00356BC7"/>
    <w:rsid w:val="00357A20"/>
    <w:rsid w:val="00372F06"/>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73D6"/>
    <w:rsid w:val="004C39D0"/>
    <w:rsid w:val="004C4F1A"/>
    <w:rsid w:val="004C6D6D"/>
    <w:rsid w:val="004E0C5D"/>
    <w:rsid w:val="004F4240"/>
    <w:rsid w:val="004F77CD"/>
    <w:rsid w:val="00507CF1"/>
    <w:rsid w:val="00522177"/>
    <w:rsid w:val="00527910"/>
    <w:rsid w:val="005420F2"/>
    <w:rsid w:val="00542505"/>
    <w:rsid w:val="005475D4"/>
    <w:rsid w:val="00555CDB"/>
    <w:rsid w:val="00561B6D"/>
    <w:rsid w:val="00562D45"/>
    <w:rsid w:val="0056615B"/>
    <w:rsid w:val="00567DFB"/>
    <w:rsid w:val="00571DAA"/>
    <w:rsid w:val="0058129D"/>
    <w:rsid w:val="00590144"/>
    <w:rsid w:val="0059682C"/>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6107D"/>
    <w:rsid w:val="00864251"/>
    <w:rsid w:val="00871FD5"/>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701ED"/>
    <w:rsid w:val="00984471"/>
    <w:rsid w:val="00985F37"/>
    <w:rsid w:val="009879EA"/>
    <w:rsid w:val="009908A5"/>
    <w:rsid w:val="0099124E"/>
    <w:rsid w:val="00991261"/>
    <w:rsid w:val="009953D5"/>
    <w:rsid w:val="009A1D29"/>
    <w:rsid w:val="009C6394"/>
    <w:rsid w:val="009D0E2A"/>
    <w:rsid w:val="009D0F0E"/>
    <w:rsid w:val="009D1AAE"/>
    <w:rsid w:val="009D5E19"/>
    <w:rsid w:val="009D634E"/>
    <w:rsid w:val="009E1560"/>
    <w:rsid w:val="009F0F06"/>
    <w:rsid w:val="009F4FC5"/>
    <w:rsid w:val="00A1427D"/>
    <w:rsid w:val="00A235F1"/>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B176D"/>
    <w:rsid w:val="00BB3B28"/>
    <w:rsid w:val="00BC74E9"/>
    <w:rsid w:val="00BE1FF8"/>
    <w:rsid w:val="00BE50CA"/>
    <w:rsid w:val="00BE618E"/>
    <w:rsid w:val="00C0263F"/>
    <w:rsid w:val="00C03B44"/>
    <w:rsid w:val="00C13A85"/>
    <w:rsid w:val="00C218A4"/>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E130AB"/>
    <w:rsid w:val="00E1679E"/>
    <w:rsid w:val="00E239A0"/>
    <w:rsid w:val="00E34E58"/>
    <w:rsid w:val="00E36838"/>
    <w:rsid w:val="00E36C10"/>
    <w:rsid w:val="00E40B76"/>
    <w:rsid w:val="00E42461"/>
    <w:rsid w:val="00E425C1"/>
    <w:rsid w:val="00E4443D"/>
    <w:rsid w:val="00E52EB0"/>
    <w:rsid w:val="00E54352"/>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48D1"/>
    <w:rsid w:val="00EC755A"/>
    <w:rsid w:val="00ED3508"/>
    <w:rsid w:val="00ED3F6F"/>
    <w:rsid w:val="00ED7A2A"/>
    <w:rsid w:val="00EE4D59"/>
    <w:rsid w:val="00EE73C3"/>
    <w:rsid w:val="00EF1D7F"/>
    <w:rsid w:val="00EF4AAC"/>
    <w:rsid w:val="00F01C57"/>
    <w:rsid w:val="00F03FA2"/>
    <w:rsid w:val="00F05283"/>
    <w:rsid w:val="00F07537"/>
    <w:rsid w:val="00F07E12"/>
    <w:rsid w:val="00F1200D"/>
    <w:rsid w:val="00F30A8A"/>
    <w:rsid w:val="00F34267"/>
    <w:rsid w:val="00F3574D"/>
    <w:rsid w:val="00F40295"/>
    <w:rsid w:val="00F40E75"/>
    <w:rsid w:val="00F412D3"/>
    <w:rsid w:val="00F444E3"/>
    <w:rsid w:val="00F5087E"/>
    <w:rsid w:val="00F51BAB"/>
    <w:rsid w:val="00F535BE"/>
    <w:rsid w:val="00F54674"/>
    <w:rsid w:val="00F64C95"/>
    <w:rsid w:val="00F75E96"/>
    <w:rsid w:val="00F77729"/>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5F41-28FA-4FEF-8189-A88E5C8C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17</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Garcia-Couto</cp:lastModifiedBy>
  <cp:revision>8</cp:revision>
  <cp:lastPrinted>2014-03-14T07:40:00Z</cp:lastPrinted>
  <dcterms:created xsi:type="dcterms:W3CDTF">2015-08-13T10:02:00Z</dcterms:created>
  <dcterms:modified xsi:type="dcterms:W3CDTF">2016-11-22T08:44:00Z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