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80207" w:rsidTr="00A94D8E">
        <w:trPr>
          <w:cantSplit/>
          <w:trHeight w:hRule="exact" w:val="851"/>
        </w:trPr>
        <w:tc>
          <w:tcPr>
            <w:tcW w:w="1276" w:type="dxa"/>
            <w:tcBorders>
              <w:bottom w:val="single" w:sz="4" w:space="0" w:color="auto"/>
            </w:tcBorders>
            <w:shd w:val="clear" w:color="auto" w:fill="auto"/>
            <w:vAlign w:val="bottom"/>
          </w:tcPr>
          <w:p w:rsidR="00B56E9C" w:rsidRPr="00180207" w:rsidRDefault="00B56E9C" w:rsidP="00391F3F">
            <w:pPr>
              <w:spacing w:after="80"/>
              <w:jc w:val="right"/>
            </w:pPr>
          </w:p>
        </w:tc>
        <w:tc>
          <w:tcPr>
            <w:tcW w:w="2268" w:type="dxa"/>
            <w:tcBorders>
              <w:bottom w:val="single" w:sz="4" w:space="0" w:color="auto"/>
            </w:tcBorders>
            <w:shd w:val="clear" w:color="auto" w:fill="auto"/>
            <w:vAlign w:val="bottom"/>
          </w:tcPr>
          <w:p w:rsidR="00B56E9C" w:rsidRPr="00180207" w:rsidRDefault="00B56E9C" w:rsidP="00391F3F">
            <w:pPr>
              <w:spacing w:after="80" w:line="300" w:lineRule="exact"/>
              <w:rPr>
                <w:b/>
                <w:sz w:val="24"/>
                <w:szCs w:val="24"/>
              </w:rPr>
            </w:pPr>
            <w:r w:rsidRPr="00180207">
              <w:rPr>
                <w:sz w:val="28"/>
                <w:szCs w:val="28"/>
              </w:rPr>
              <w:t>United Nations</w:t>
            </w:r>
          </w:p>
        </w:tc>
        <w:tc>
          <w:tcPr>
            <w:tcW w:w="6095" w:type="dxa"/>
            <w:gridSpan w:val="2"/>
            <w:tcBorders>
              <w:bottom w:val="single" w:sz="4" w:space="0" w:color="auto"/>
            </w:tcBorders>
            <w:shd w:val="clear" w:color="auto" w:fill="auto"/>
            <w:vAlign w:val="bottom"/>
          </w:tcPr>
          <w:p w:rsidR="00B56E9C" w:rsidRPr="00180207" w:rsidRDefault="00A5166C" w:rsidP="00391F3F">
            <w:pPr>
              <w:jc w:val="right"/>
            </w:pPr>
            <w:r w:rsidRPr="00180207">
              <w:rPr>
                <w:sz w:val="40"/>
              </w:rPr>
              <w:t>ECE</w:t>
            </w:r>
            <w:r w:rsidRPr="00180207">
              <w:t>/</w:t>
            </w:r>
            <w:r w:rsidR="00663FDF">
              <w:t>ADN/</w:t>
            </w:r>
            <w:r w:rsidR="006170C1">
              <w:t>36</w:t>
            </w:r>
            <w:r w:rsidR="00DA5BD4">
              <w:t>/Add.1</w:t>
            </w:r>
          </w:p>
        </w:tc>
      </w:tr>
      <w:tr w:rsidR="00B56E9C" w:rsidRPr="00180207" w:rsidTr="00A94D8E">
        <w:trPr>
          <w:cantSplit/>
          <w:trHeight w:hRule="exact" w:val="2835"/>
        </w:trPr>
        <w:tc>
          <w:tcPr>
            <w:tcW w:w="1276" w:type="dxa"/>
            <w:tcBorders>
              <w:top w:val="single" w:sz="4" w:space="0" w:color="auto"/>
              <w:bottom w:val="single" w:sz="12" w:space="0" w:color="auto"/>
            </w:tcBorders>
            <w:shd w:val="clear" w:color="auto" w:fill="auto"/>
          </w:tcPr>
          <w:p w:rsidR="00B56E9C" w:rsidRPr="00180207" w:rsidRDefault="00D327E0" w:rsidP="00EC5D02">
            <w:pPr>
              <w:spacing w:before="120"/>
              <w:jc w:val="both"/>
            </w:pPr>
            <w:r w:rsidRPr="00180207">
              <w:rPr>
                <w:noProof/>
                <w:lang w:val="en-US"/>
              </w:rPr>
              <w:drawing>
                <wp:inline distT="0" distB="0" distL="0" distR="0" wp14:anchorId="1ED83359" wp14:editId="6736971A">
                  <wp:extent cx="714375" cy="590550"/>
                  <wp:effectExtent l="0" t="0" r="952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80207" w:rsidRDefault="00D773DF" w:rsidP="00EC5D02">
            <w:pPr>
              <w:spacing w:before="120" w:line="420" w:lineRule="exact"/>
              <w:jc w:val="both"/>
              <w:rPr>
                <w:sz w:val="40"/>
                <w:szCs w:val="40"/>
              </w:rPr>
            </w:pPr>
            <w:r w:rsidRPr="00180207">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180207" w:rsidRDefault="00A5166C" w:rsidP="00EC5D02">
            <w:pPr>
              <w:spacing w:before="240" w:line="240" w:lineRule="exact"/>
              <w:jc w:val="both"/>
            </w:pPr>
            <w:r w:rsidRPr="00180207">
              <w:t>Distr.: General</w:t>
            </w:r>
          </w:p>
          <w:p w:rsidR="00A5166C" w:rsidRPr="00180207" w:rsidRDefault="00FC02DD" w:rsidP="00EC5D02">
            <w:pPr>
              <w:spacing w:line="240" w:lineRule="exact"/>
              <w:jc w:val="both"/>
            </w:pPr>
            <w:r>
              <w:t>30</w:t>
            </w:r>
            <w:r w:rsidR="00457824" w:rsidRPr="00180207">
              <w:t xml:space="preserve"> </w:t>
            </w:r>
            <w:r w:rsidR="00DA5BD4">
              <w:t>August</w:t>
            </w:r>
            <w:r w:rsidR="00A5166C" w:rsidRPr="00180207">
              <w:t xml:space="preserve"> 201</w:t>
            </w:r>
            <w:r w:rsidR="00663FDF">
              <w:t>6</w:t>
            </w:r>
          </w:p>
          <w:p w:rsidR="00A5166C" w:rsidRPr="00180207" w:rsidRDefault="00A5166C" w:rsidP="00EC5D02">
            <w:pPr>
              <w:spacing w:line="240" w:lineRule="exact"/>
              <w:jc w:val="both"/>
            </w:pPr>
            <w:r w:rsidRPr="00180207">
              <w:t>English</w:t>
            </w:r>
          </w:p>
          <w:p w:rsidR="00A5166C" w:rsidRPr="00180207" w:rsidRDefault="00A5166C" w:rsidP="00EC5D02">
            <w:pPr>
              <w:spacing w:line="240" w:lineRule="exact"/>
              <w:jc w:val="both"/>
            </w:pPr>
            <w:r w:rsidRPr="00180207">
              <w:t>Original: English and French</w:t>
            </w:r>
          </w:p>
        </w:tc>
      </w:tr>
    </w:tbl>
    <w:p w:rsidR="00A5166C" w:rsidRPr="00180207" w:rsidRDefault="00A5166C" w:rsidP="00EC5D02">
      <w:pPr>
        <w:spacing w:before="120"/>
        <w:jc w:val="both"/>
        <w:rPr>
          <w:b/>
          <w:sz w:val="28"/>
          <w:szCs w:val="28"/>
        </w:rPr>
      </w:pPr>
      <w:r w:rsidRPr="00180207">
        <w:rPr>
          <w:b/>
          <w:sz w:val="28"/>
          <w:szCs w:val="28"/>
        </w:rPr>
        <w:t>Economic Commission for Europe</w:t>
      </w:r>
    </w:p>
    <w:p w:rsidR="00663FDF" w:rsidRDefault="00663FDF" w:rsidP="00E15DE0">
      <w:pPr>
        <w:spacing w:before="120"/>
        <w:rPr>
          <w:b/>
          <w:bCs/>
        </w:rPr>
      </w:pPr>
      <w:r w:rsidRPr="00663FDF">
        <w:rPr>
          <w:b/>
          <w:bCs/>
        </w:rPr>
        <w:t xml:space="preserve">Administrative Committee of the European Agreement </w:t>
      </w:r>
      <w:r w:rsidRPr="00663FDF">
        <w:rPr>
          <w:b/>
          <w:bCs/>
        </w:rPr>
        <w:br/>
        <w:t>Concerning the International Carriage of Dangerous</w:t>
      </w:r>
      <w:r w:rsidRPr="00663FDF">
        <w:rPr>
          <w:b/>
          <w:bCs/>
        </w:rPr>
        <w:br/>
        <w:t>Goods by Inland Waterways (ADN)</w:t>
      </w:r>
    </w:p>
    <w:p w:rsidR="00663FDF" w:rsidRDefault="00FC3F7C" w:rsidP="00EC5D02">
      <w:pPr>
        <w:pStyle w:val="HChG"/>
        <w:jc w:val="both"/>
      </w:pPr>
      <w:r w:rsidRPr="00180207">
        <w:tab/>
      </w:r>
      <w:r w:rsidRPr="00180207">
        <w:tab/>
      </w:r>
      <w:r w:rsidR="00663FDF" w:rsidRPr="002879B6">
        <w:t xml:space="preserve">European Agreement </w:t>
      </w:r>
      <w:r w:rsidR="00663FDF">
        <w:t>c</w:t>
      </w:r>
      <w:r w:rsidR="00663FDF" w:rsidRPr="002879B6">
        <w:t xml:space="preserve">oncerning </w:t>
      </w:r>
      <w:r w:rsidR="00663FDF">
        <w:t>t</w:t>
      </w:r>
      <w:r w:rsidR="00663FDF" w:rsidRPr="002879B6">
        <w:t xml:space="preserve">he International Carriage </w:t>
      </w:r>
      <w:r w:rsidR="00663FDF">
        <w:t>o</w:t>
      </w:r>
      <w:r w:rsidR="00663FDF" w:rsidRPr="002879B6">
        <w:t xml:space="preserve">f Dangerous Goods </w:t>
      </w:r>
      <w:r w:rsidR="00663FDF">
        <w:t xml:space="preserve">by Inland Waterways </w:t>
      </w:r>
      <w:r w:rsidR="00D51730" w:rsidRPr="00D86818">
        <w:rPr>
          <w:bCs/>
          <w:lang w:val="en-US"/>
        </w:rPr>
        <w:t>(ADN)</w:t>
      </w:r>
      <w:r w:rsidR="00D51730" w:rsidRPr="00F3317B">
        <w:rPr>
          <w:b w:val="0"/>
          <w:lang w:val="en-US"/>
        </w:rPr>
        <w:t xml:space="preserve"> </w:t>
      </w:r>
      <w:r w:rsidR="00D51730">
        <w:rPr>
          <w:rStyle w:val="FootnoteReference"/>
          <w:b w:val="0"/>
          <w:lang w:val="en-US"/>
        </w:rPr>
        <w:footnoteReference w:id="2"/>
      </w:r>
    </w:p>
    <w:p w:rsidR="00FC3F7C" w:rsidRDefault="00663FDF" w:rsidP="00EC5D02">
      <w:pPr>
        <w:pStyle w:val="HChG"/>
        <w:jc w:val="both"/>
      </w:pPr>
      <w:r>
        <w:tab/>
      </w:r>
      <w:r>
        <w:tab/>
      </w:r>
      <w:r w:rsidRPr="002879B6">
        <w:t xml:space="preserve">Draft amendments to </w:t>
      </w:r>
      <w:r>
        <w:t>the Regulations annexed to ADN</w:t>
      </w:r>
    </w:p>
    <w:p w:rsidR="00FD7987" w:rsidRPr="00531307" w:rsidRDefault="00FD7987" w:rsidP="00FD7987">
      <w:pPr>
        <w:pStyle w:val="H23G"/>
      </w:pPr>
      <w:r w:rsidRPr="00531307">
        <w:tab/>
      </w:r>
      <w:r w:rsidRPr="00531307">
        <w:tab/>
        <w:t>Addendum</w:t>
      </w:r>
    </w:p>
    <w:p w:rsidR="007973DE" w:rsidRPr="006644B5" w:rsidRDefault="007973DE" w:rsidP="007973DE">
      <w:pPr>
        <w:pStyle w:val="H23G"/>
      </w:pPr>
      <w:r w:rsidRPr="006644B5">
        <w:tab/>
      </w:r>
      <w:r w:rsidRPr="006644B5">
        <w:tab/>
        <w:t>Chapter 1.1</w:t>
      </w:r>
    </w:p>
    <w:p w:rsidR="007973DE" w:rsidRDefault="007973DE" w:rsidP="007973DE">
      <w:pPr>
        <w:pStyle w:val="SingleTxtG"/>
      </w:pPr>
      <w:r w:rsidRPr="0083728C">
        <w:t>1.1.3.10 (b)</w:t>
      </w:r>
      <w:r w:rsidRPr="0083728C">
        <w:tab/>
        <w:t>In the Note after subparagraph (i), replace “ISO 9001:2008” by “ISO 9001</w:t>
      </w:r>
      <w:r>
        <w:t>”.</w:t>
      </w:r>
    </w:p>
    <w:p w:rsidR="007973DE" w:rsidRDefault="007973DE" w:rsidP="007973DE">
      <w:pPr>
        <w:pStyle w:val="H23G"/>
      </w:pPr>
      <w:r w:rsidRPr="0083728C">
        <w:tab/>
      </w:r>
      <w:r w:rsidRPr="0083728C">
        <w:tab/>
        <w:t>Chapter 1.2</w:t>
      </w:r>
    </w:p>
    <w:p w:rsidR="007973DE" w:rsidRDefault="007973DE" w:rsidP="007973DE">
      <w:pPr>
        <w:pStyle w:val="SingleTxtG"/>
      </w:pPr>
      <w:r w:rsidRPr="0083728C">
        <w:t>1.2.1</w:t>
      </w:r>
      <w:r w:rsidRPr="0083728C">
        <w:tab/>
        <w:t xml:space="preserve">In the amendment to the definition of “Aerosol or aerosol dispenser” in </w:t>
      </w:r>
      <w:r w:rsidRPr="008C2065">
        <w:t xml:space="preserve">document ECE/ADN/36, delete </w:t>
      </w:r>
      <w:r w:rsidRPr="0083728C">
        <w:t>“</w:t>
      </w:r>
      <w:r w:rsidRPr="0083728C">
        <w:rPr>
          <w:iCs/>
        </w:rPr>
        <w:t>and replace “6.2.6 of ADR” by “6.2.4 of ADR”</w:t>
      </w:r>
      <w:r w:rsidRPr="0083728C">
        <w:t>”.</w:t>
      </w:r>
    </w:p>
    <w:p w:rsidR="007973DE" w:rsidRDefault="007973DE" w:rsidP="007973DE">
      <w:pPr>
        <w:pStyle w:val="SingleTxtG"/>
      </w:pPr>
      <w:r w:rsidRPr="0083728C">
        <w:t>1.2.1</w:t>
      </w:r>
      <w:r w:rsidRPr="0083728C">
        <w:tab/>
        <w:t>The amendment to the definition of “Recycled plastics material” does not apply to the English text.</w:t>
      </w:r>
    </w:p>
    <w:p w:rsidR="007973DE" w:rsidRDefault="007973DE" w:rsidP="007973DE">
      <w:pPr>
        <w:pStyle w:val="SingleTxtG"/>
      </w:pPr>
      <w:r>
        <w:t>1.2.1</w:t>
      </w:r>
      <w:r>
        <w:tab/>
        <w:t>In the definition of “T</w:t>
      </w:r>
      <w:r w:rsidRPr="00295BC5">
        <w:t>ypes of protection”, replace “IEC 60079-7:2006” by “IEC 60079-7:2015”.</w:t>
      </w:r>
    </w:p>
    <w:p w:rsidR="007973DE" w:rsidRPr="0083728C" w:rsidRDefault="007973DE" w:rsidP="007973DE">
      <w:pPr>
        <w:pStyle w:val="H23G"/>
      </w:pPr>
      <w:r w:rsidRPr="0083728C">
        <w:tab/>
      </w:r>
      <w:r w:rsidRPr="0083728C">
        <w:tab/>
        <w:t>Chapter 1.6</w:t>
      </w:r>
    </w:p>
    <w:p w:rsidR="007973DE" w:rsidRPr="0083728C" w:rsidRDefault="007973DE" w:rsidP="007973DE">
      <w:pPr>
        <w:pStyle w:val="SingleTxtG"/>
      </w:pPr>
      <w:r w:rsidRPr="0083728C">
        <w:t>1.6.1.30</w:t>
      </w:r>
      <w:r w:rsidRPr="0083728C">
        <w:tab/>
        <w:t>Amend to read as follows:</w:t>
      </w:r>
    </w:p>
    <w:p w:rsidR="007973DE" w:rsidRDefault="007973DE" w:rsidP="007973DE">
      <w:pPr>
        <w:pStyle w:val="SingleTxtG"/>
        <w:rPr>
          <w:lang w:bidi="en-GB"/>
        </w:rPr>
      </w:pPr>
      <w:r w:rsidRPr="0083728C">
        <w:t>“1.6.1.30</w:t>
      </w:r>
      <w:r w:rsidRPr="0083728C">
        <w:tab/>
      </w:r>
      <w:r w:rsidRPr="0083728C">
        <w:rPr>
          <w:lang w:bidi="en-GB"/>
        </w:rPr>
        <w:t>Labels which meet the requirements of 5.2.2.2.1.1 applicable up to 31 December 2014, may continue to be used until 30 June 2019.</w:t>
      </w:r>
      <w:r>
        <w:rPr>
          <w:lang w:bidi="en-GB"/>
        </w:rPr>
        <w:t>”.</w:t>
      </w:r>
    </w:p>
    <w:p w:rsidR="007973DE" w:rsidRPr="0083728C" w:rsidRDefault="007973DE" w:rsidP="007973DE">
      <w:pPr>
        <w:tabs>
          <w:tab w:val="left" w:pos="1418"/>
          <w:tab w:val="left" w:pos="1843"/>
        </w:tabs>
        <w:spacing w:before="120" w:after="120"/>
        <w:ind w:left="1134" w:right="1134"/>
        <w:jc w:val="both"/>
      </w:pPr>
      <w:r w:rsidRPr="0083728C">
        <w:t>1.6.1</w:t>
      </w:r>
      <w:r w:rsidRPr="0083728C">
        <w:tab/>
        <w:t>Add the following transitional measure:</w:t>
      </w:r>
    </w:p>
    <w:p w:rsidR="007973DE" w:rsidRDefault="007973DE" w:rsidP="007973DE">
      <w:pPr>
        <w:pStyle w:val="SingleTxtG"/>
      </w:pPr>
      <w:r w:rsidRPr="0083728C">
        <w:t>“1.6.1.43</w:t>
      </w:r>
      <w:r w:rsidRPr="0083728C">
        <w:tab/>
        <w:t>Vehicles registered or brought into service before 1 July 2017, as defined in special provisions 240, 385 and 669 of Chapter 3.3, and their equipment intended for use during carriage, which conform to the requirements of AD</w:t>
      </w:r>
      <w:r>
        <w:t>N</w:t>
      </w:r>
      <w:r w:rsidRPr="0083728C">
        <w:t xml:space="preserve"> applicable until 31 December </w:t>
      </w:r>
      <w:r w:rsidRPr="0083728C">
        <w:lastRenderedPageBreak/>
        <w:t>2016 but containing lithium cells and batteries which do not conform to the requirement of 2.2.9.1.7 may continue to be carried as a load in accordance with the requirements of special provision 666 of Chapter 3.3.”.</w:t>
      </w:r>
    </w:p>
    <w:p w:rsidR="007973DE" w:rsidRPr="0083728C" w:rsidRDefault="007973DE" w:rsidP="007973DE">
      <w:pPr>
        <w:pStyle w:val="H23G"/>
      </w:pPr>
      <w:r w:rsidRPr="0083728C">
        <w:tab/>
      </w:r>
      <w:r w:rsidRPr="0083728C">
        <w:tab/>
        <w:t>Chapter 2.1</w:t>
      </w:r>
    </w:p>
    <w:p w:rsidR="007973DE" w:rsidRDefault="007973DE" w:rsidP="007973DE">
      <w:pPr>
        <w:pStyle w:val="SingleTxtG"/>
      </w:pPr>
      <w:r w:rsidRPr="00531307">
        <w:rPr>
          <w:lang w:val="en-US"/>
        </w:rPr>
        <w:t>2.1.1.2</w:t>
      </w:r>
      <w:r w:rsidRPr="00531307">
        <w:rPr>
          <w:b/>
          <w:bCs/>
          <w:lang w:val="en-US"/>
        </w:rPr>
        <w:tab/>
      </w:r>
      <w:r w:rsidRPr="00531307">
        <w:rPr>
          <w:b/>
          <w:bCs/>
          <w:lang w:val="en-US"/>
        </w:rPr>
        <w:tab/>
      </w:r>
      <w:r w:rsidRPr="0083728C">
        <w:t>The amendment does not apply to the English text.</w:t>
      </w:r>
    </w:p>
    <w:p w:rsidR="007973DE" w:rsidRDefault="007973DE" w:rsidP="007973DE">
      <w:pPr>
        <w:pStyle w:val="SingleTxtG"/>
      </w:pPr>
      <w:r w:rsidRPr="00531307">
        <w:rPr>
          <w:lang w:val="en-US"/>
        </w:rPr>
        <w:t>2.1.4.2 (e)</w:t>
      </w:r>
      <w:r w:rsidRPr="00531307">
        <w:rPr>
          <w:b/>
          <w:bCs/>
          <w:lang w:val="en-US"/>
        </w:rPr>
        <w:tab/>
      </w:r>
      <w:r w:rsidRPr="0083728C">
        <w:t>The amendment does not apply to the English text.</w:t>
      </w:r>
    </w:p>
    <w:p w:rsidR="007973DE" w:rsidRPr="0083728C" w:rsidRDefault="007973DE" w:rsidP="007973DE">
      <w:pPr>
        <w:pStyle w:val="H23G"/>
      </w:pPr>
      <w:r w:rsidRPr="0083728C">
        <w:tab/>
      </w:r>
      <w:r w:rsidRPr="0083728C">
        <w:tab/>
        <w:t>Chapter 2.2</w:t>
      </w:r>
    </w:p>
    <w:p w:rsidR="007973DE" w:rsidRDefault="007973DE" w:rsidP="007973DE">
      <w:pPr>
        <w:pStyle w:val="SingleTxtG"/>
      </w:pPr>
      <w:r w:rsidRPr="0083728C">
        <w:t>2.2.1.1.5</w:t>
      </w:r>
      <w:r w:rsidRPr="0083728C">
        <w:tab/>
        <w:t>The amendment does not apply to the English text.</w:t>
      </w:r>
    </w:p>
    <w:p w:rsidR="007973DE" w:rsidRDefault="007973DE" w:rsidP="007973DE">
      <w:pPr>
        <w:pStyle w:val="SingleTxtG"/>
      </w:pPr>
      <w:r w:rsidRPr="0083728C">
        <w:t>2.2.1.4</w:t>
      </w:r>
      <w:r w:rsidRPr="0083728C">
        <w:tab/>
      </w:r>
      <w:r w:rsidRPr="0083728C">
        <w:tab/>
        <w:t>The amendments do not apply to the English text.</w:t>
      </w:r>
    </w:p>
    <w:p w:rsidR="007973DE" w:rsidRDefault="007973DE" w:rsidP="007973DE">
      <w:pPr>
        <w:pStyle w:val="SingleTxtG"/>
      </w:pPr>
      <w:r w:rsidRPr="0083728C">
        <w:t>2.2.2.1.7 (c) and (d)</w:t>
      </w:r>
      <w:r w:rsidRPr="0083728C">
        <w:tab/>
        <w:t>The amendment does not apply to the English text.</w:t>
      </w:r>
    </w:p>
    <w:p w:rsidR="007973DE" w:rsidRPr="00531307" w:rsidRDefault="007973DE" w:rsidP="007973DE">
      <w:pPr>
        <w:pStyle w:val="SingleTxtG"/>
        <w:rPr>
          <w:lang w:val="en-US"/>
        </w:rPr>
      </w:pPr>
      <w:r w:rsidRPr="00531307">
        <w:rPr>
          <w:lang w:val="en-US"/>
        </w:rPr>
        <w:t>2.2.2.3</w:t>
      </w:r>
      <w:r w:rsidRPr="00531307">
        <w:rPr>
          <w:lang w:val="en-US"/>
        </w:rPr>
        <w:tab/>
      </w:r>
      <w:r w:rsidRPr="00531307">
        <w:rPr>
          <w:lang w:val="en-US"/>
        </w:rPr>
        <w:tab/>
        <w:t xml:space="preserve">In the table for “Other articles containing gas under pressure”, for </w:t>
      </w:r>
      <w:r>
        <w:rPr>
          <w:lang w:val="en-US"/>
        </w:rPr>
        <w:t>6F, add the following new rows:</w:t>
      </w:r>
    </w:p>
    <w:tbl>
      <w:tblPr>
        <w:tblW w:w="0" w:type="auto"/>
        <w:tblInd w:w="1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7"/>
        <w:gridCol w:w="708"/>
        <w:gridCol w:w="6663"/>
      </w:tblGrid>
      <w:tr w:rsidR="007973DE" w:rsidRPr="00A669C6" w:rsidTr="00A3378A">
        <w:trPr>
          <w:cantSplit/>
          <w:trHeight w:val="40"/>
        </w:trPr>
        <w:tc>
          <w:tcPr>
            <w:tcW w:w="567" w:type="dxa"/>
          </w:tcPr>
          <w:p w:rsidR="007973DE" w:rsidRPr="0083728C" w:rsidRDefault="007973DE" w:rsidP="00A3378A">
            <w:pPr>
              <w:spacing w:before="20" w:after="20"/>
              <w:rPr>
                <w:sz w:val="18"/>
                <w:szCs w:val="18"/>
              </w:rPr>
            </w:pPr>
          </w:p>
        </w:tc>
        <w:tc>
          <w:tcPr>
            <w:tcW w:w="708" w:type="dxa"/>
          </w:tcPr>
          <w:p w:rsidR="007973DE" w:rsidRPr="00531307" w:rsidRDefault="007973DE" w:rsidP="00A3378A">
            <w:pPr>
              <w:spacing w:before="20" w:after="20"/>
              <w:rPr>
                <w:sz w:val="18"/>
                <w:szCs w:val="18"/>
              </w:rPr>
            </w:pPr>
            <w:r w:rsidRPr="00531307">
              <w:rPr>
                <w:sz w:val="18"/>
                <w:szCs w:val="18"/>
              </w:rPr>
              <w:t>3529</w:t>
            </w:r>
          </w:p>
        </w:tc>
        <w:tc>
          <w:tcPr>
            <w:tcW w:w="6663" w:type="dxa"/>
          </w:tcPr>
          <w:p w:rsidR="007973DE" w:rsidRPr="0083728C" w:rsidRDefault="007973DE" w:rsidP="00A3378A">
            <w:pPr>
              <w:spacing w:before="20" w:after="20"/>
              <w:ind w:left="164" w:hanging="164"/>
              <w:rPr>
                <w:sz w:val="18"/>
                <w:szCs w:val="18"/>
              </w:rPr>
            </w:pPr>
            <w:r w:rsidRPr="0083728C">
              <w:rPr>
                <w:sz w:val="18"/>
                <w:szCs w:val="18"/>
              </w:rPr>
              <w:t>ENGINE, INTERNAL COMBUSTION, FLAMMABLE GAS POWERED</w:t>
            </w:r>
          </w:p>
        </w:tc>
      </w:tr>
      <w:tr w:rsidR="007973DE" w:rsidRPr="00A669C6" w:rsidTr="00A3378A">
        <w:trPr>
          <w:cantSplit/>
          <w:trHeight w:val="40"/>
        </w:trPr>
        <w:tc>
          <w:tcPr>
            <w:tcW w:w="567" w:type="dxa"/>
          </w:tcPr>
          <w:p w:rsidR="007973DE" w:rsidRPr="0083728C" w:rsidRDefault="007973DE" w:rsidP="00A3378A">
            <w:pPr>
              <w:spacing w:before="20" w:after="20"/>
              <w:rPr>
                <w:sz w:val="18"/>
                <w:szCs w:val="18"/>
              </w:rPr>
            </w:pPr>
          </w:p>
        </w:tc>
        <w:tc>
          <w:tcPr>
            <w:tcW w:w="708" w:type="dxa"/>
          </w:tcPr>
          <w:p w:rsidR="007973DE" w:rsidRPr="00531307" w:rsidRDefault="007973DE" w:rsidP="00A3378A">
            <w:pPr>
              <w:spacing w:before="20" w:after="20"/>
              <w:rPr>
                <w:sz w:val="18"/>
                <w:szCs w:val="18"/>
              </w:rPr>
            </w:pPr>
            <w:r w:rsidRPr="00531307">
              <w:rPr>
                <w:sz w:val="18"/>
                <w:szCs w:val="18"/>
              </w:rPr>
              <w:t>3529</w:t>
            </w:r>
          </w:p>
        </w:tc>
        <w:tc>
          <w:tcPr>
            <w:tcW w:w="6663" w:type="dxa"/>
          </w:tcPr>
          <w:p w:rsidR="007973DE" w:rsidRPr="0083728C" w:rsidRDefault="007973DE" w:rsidP="00A3378A">
            <w:pPr>
              <w:spacing w:before="20" w:after="20"/>
              <w:ind w:left="164" w:hanging="164"/>
              <w:rPr>
                <w:sz w:val="18"/>
                <w:szCs w:val="18"/>
              </w:rPr>
            </w:pPr>
            <w:r w:rsidRPr="0083728C">
              <w:rPr>
                <w:sz w:val="18"/>
                <w:szCs w:val="18"/>
              </w:rPr>
              <w:t>ENGINE, FUEL CELL, FLAMMABLE GAS POWERED</w:t>
            </w:r>
          </w:p>
        </w:tc>
      </w:tr>
      <w:tr w:rsidR="007973DE" w:rsidRPr="00A669C6" w:rsidTr="00A3378A">
        <w:trPr>
          <w:cantSplit/>
          <w:trHeight w:val="40"/>
        </w:trPr>
        <w:tc>
          <w:tcPr>
            <w:tcW w:w="567" w:type="dxa"/>
          </w:tcPr>
          <w:p w:rsidR="007973DE" w:rsidRPr="0083728C" w:rsidRDefault="007973DE" w:rsidP="00A3378A">
            <w:pPr>
              <w:spacing w:before="20" w:after="20"/>
              <w:rPr>
                <w:sz w:val="18"/>
                <w:szCs w:val="18"/>
              </w:rPr>
            </w:pPr>
          </w:p>
        </w:tc>
        <w:tc>
          <w:tcPr>
            <w:tcW w:w="708" w:type="dxa"/>
          </w:tcPr>
          <w:p w:rsidR="007973DE" w:rsidRPr="00531307" w:rsidRDefault="007973DE" w:rsidP="00A3378A">
            <w:pPr>
              <w:spacing w:before="20" w:after="20"/>
              <w:rPr>
                <w:sz w:val="18"/>
                <w:szCs w:val="18"/>
              </w:rPr>
            </w:pPr>
            <w:r w:rsidRPr="00531307">
              <w:rPr>
                <w:sz w:val="18"/>
                <w:szCs w:val="18"/>
              </w:rPr>
              <w:t>3529</w:t>
            </w:r>
          </w:p>
        </w:tc>
        <w:tc>
          <w:tcPr>
            <w:tcW w:w="6663" w:type="dxa"/>
          </w:tcPr>
          <w:p w:rsidR="007973DE" w:rsidRPr="0083728C" w:rsidRDefault="007973DE" w:rsidP="00A3378A">
            <w:pPr>
              <w:spacing w:before="20" w:after="20"/>
              <w:ind w:left="164" w:hanging="164"/>
              <w:rPr>
                <w:sz w:val="18"/>
                <w:szCs w:val="18"/>
              </w:rPr>
            </w:pPr>
            <w:r w:rsidRPr="0083728C">
              <w:rPr>
                <w:sz w:val="18"/>
                <w:szCs w:val="18"/>
              </w:rPr>
              <w:t>MACHINERY, INTERNAL COMBUSTION, FLAMMABLE GAS POWERED</w:t>
            </w:r>
          </w:p>
        </w:tc>
      </w:tr>
      <w:tr w:rsidR="007973DE" w:rsidRPr="00A669C6" w:rsidTr="00A3378A">
        <w:trPr>
          <w:cantSplit/>
          <w:trHeight w:val="40"/>
        </w:trPr>
        <w:tc>
          <w:tcPr>
            <w:tcW w:w="567" w:type="dxa"/>
          </w:tcPr>
          <w:p w:rsidR="007973DE" w:rsidRPr="0083728C" w:rsidRDefault="007973DE" w:rsidP="00A3378A">
            <w:pPr>
              <w:spacing w:before="20" w:after="20"/>
              <w:rPr>
                <w:sz w:val="18"/>
                <w:szCs w:val="18"/>
              </w:rPr>
            </w:pPr>
          </w:p>
        </w:tc>
        <w:tc>
          <w:tcPr>
            <w:tcW w:w="708" w:type="dxa"/>
          </w:tcPr>
          <w:p w:rsidR="007973DE" w:rsidRPr="00531307" w:rsidRDefault="007973DE" w:rsidP="00A3378A">
            <w:pPr>
              <w:spacing w:before="20" w:after="20"/>
              <w:rPr>
                <w:sz w:val="18"/>
                <w:szCs w:val="18"/>
              </w:rPr>
            </w:pPr>
            <w:r w:rsidRPr="00531307">
              <w:rPr>
                <w:sz w:val="18"/>
                <w:szCs w:val="18"/>
              </w:rPr>
              <w:t>3529</w:t>
            </w:r>
          </w:p>
        </w:tc>
        <w:tc>
          <w:tcPr>
            <w:tcW w:w="6663" w:type="dxa"/>
          </w:tcPr>
          <w:p w:rsidR="007973DE" w:rsidRPr="0083728C" w:rsidRDefault="007973DE" w:rsidP="00A3378A">
            <w:pPr>
              <w:spacing w:before="20" w:after="20"/>
              <w:ind w:left="164" w:hanging="164"/>
              <w:rPr>
                <w:sz w:val="18"/>
                <w:szCs w:val="18"/>
              </w:rPr>
            </w:pPr>
            <w:r w:rsidRPr="0083728C">
              <w:rPr>
                <w:sz w:val="18"/>
                <w:szCs w:val="18"/>
              </w:rPr>
              <w:t>MACHINERY, FUEL CELL, FLAMMABLE GAS POWERED</w:t>
            </w:r>
          </w:p>
        </w:tc>
      </w:tr>
    </w:tbl>
    <w:p w:rsidR="007973DE" w:rsidRPr="0083728C" w:rsidRDefault="007973DE" w:rsidP="007973DE">
      <w:pPr>
        <w:pStyle w:val="SingleTxtG"/>
        <w:spacing w:before="120" w:line="240" w:lineRule="auto"/>
      </w:pPr>
      <w:r w:rsidRPr="0083728C">
        <w:t>2.2.3.3</w:t>
      </w:r>
      <w:r w:rsidRPr="0083728C">
        <w:tab/>
      </w:r>
      <w:r w:rsidRPr="0083728C">
        <w:tab/>
        <w:t>For “F3 articles”, at the end add the new following entries:</w:t>
      </w:r>
    </w:p>
    <w:p w:rsidR="007973DE" w:rsidRPr="0083728C" w:rsidRDefault="007973DE" w:rsidP="007973DE">
      <w:pPr>
        <w:pStyle w:val="SingleTxtG"/>
        <w:spacing w:line="240" w:lineRule="auto"/>
        <w:rPr>
          <w:rFonts w:eastAsia="Calibri"/>
        </w:rPr>
      </w:pPr>
      <w:r w:rsidRPr="0083728C">
        <w:rPr>
          <w:rFonts w:eastAsia="Calibri"/>
        </w:rPr>
        <w:t>“3528</w:t>
      </w:r>
      <w:r w:rsidRPr="0083728C">
        <w:rPr>
          <w:rFonts w:eastAsia="Calibri"/>
        </w:rPr>
        <w:tab/>
        <w:t>ENGINE, INTERNAL COMBUSTION, FLAMMABLE LIQUID POWERED or</w:t>
      </w:r>
    </w:p>
    <w:p w:rsidR="007973DE" w:rsidRPr="0083728C" w:rsidRDefault="007973DE" w:rsidP="007973DE">
      <w:pPr>
        <w:pStyle w:val="SingleTxtG"/>
        <w:spacing w:line="240" w:lineRule="auto"/>
        <w:rPr>
          <w:rFonts w:eastAsia="Calibri"/>
        </w:rPr>
      </w:pPr>
      <w:r w:rsidRPr="0083728C">
        <w:rPr>
          <w:rFonts w:eastAsia="Calibri"/>
        </w:rPr>
        <w:t>3528</w:t>
      </w:r>
      <w:r w:rsidRPr="0083728C">
        <w:rPr>
          <w:rFonts w:eastAsia="Calibri"/>
        </w:rPr>
        <w:tab/>
        <w:t>ENGINE, FUEL CELL, FLAMMABLE LIQUID POWERED or</w:t>
      </w:r>
    </w:p>
    <w:p w:rsidR="007973DE" w:rsidRPr="0083728C" w:rsidRDefault="007973DE" w:rsidP="007973DE">
      <w:pPr>
        <w:pStyle w:val="SingleTxtG"/>
        <w:rPr>
          <w:rFonts w:eastAsia="Calibri"/>
        </w:rPr>
      </w:pPr>
      <w:r w:rsidRPr="0083728C">
        <w:rPr>
          <w:rFonts w:eastAsia="Calibri"/>
        </w:rPr>
        <w:t>3528</w:t>
      </w:r>
      <w:r w:rsidRPr="0083728C">
        <w:rPr>
          <w:rFonts w:eastAsia="Calibri"/>
        </w:rPr>
        <w:tab/>
        <w:t>MACHINERY, INTERNAL COMBUSTION, FLAMMABLE LIQUID POWERED or</w:t>
      </w:r>
    </w:p>
    <w:p w:rsidR="007973DE" w:rsidRDefault="007973DE" w:rsidP="007973DE">
      <w:pPr>
        <w:pStyle w:val="SingleTxtG"/>
        <w:rPr>
          <w:rFonts w:eastAsia="Calibri"/>
        </w:rPr>
      </w:pPr>
      <w:r w:rsidRPr="0083728C">
        <w:rPr>
          <w:rFonts w:eastAsia="Calibri"/>
        </w:rPr>
        <w:t>3528</w:t>
      </w:r>
      <w:r w:rsidRPr="0083728C">
        <w:rPr>
          <w:rFonts w:eastAsia="Calibri"/>
        </w:rPr>
        <w:tab/>
        <w:t>MACHINERY, FUEL CELL, FLAMMABLE LIQUID POWERED”.</w:t>
      </w:r>
    </w:p>
    <w:p w:rsidR="007973DE" w:rsidRDefault="007973DE" w:rsidP="007973DE">
      <w:pPr>
        <w:pStyle w:val="SingleTxtG"/>
      </w:pPr>
      <w:r w:rsidRPr="0083728C">
        <w:t>2.2.43.1.2</w:t>
      </w:r>
      <w:r w:rsidRPr="0083728C">
        <w:tab/>
        <w:t>The amendment does not apply to the English text.</w:t>
      </w:r>
    </w:p>
    <w:p w:rsidR="007973DE" w:rsidRDefault="007973DE" w:rsidP="007973DE">
      <w:pPr>
        <w:pStyle w:val="SingleTxtG"/>
      </w:pPr>
      <w:r w:rsidRPr="0083728C">
        <w:t>2.2.52.1.6</w:t>
      </w:r>
      <w:r w:rsidRPr="0083728C">
        <w:tab/>
        <w:t>In the third sentence, replace “in one packaging” by “in one package</w:t>
      </w:r>
      <w:r>
        <w:t>”.</w:t>
      </w:r>
    </w:p>
    <w:p w:rsidR="007973DE" w:rsidRPr="0083728C" w:rsidRDefault="007973DE" w:rsidP="007973DE">
      <w:pPr>
        <w:tabs>
          <w:tab w:val="left" w:pos="1418"/>
          <w:tab w:val="left" w:pos="1843"/>
        </w:tabs>
        <w:spacing w:before="120" w:after="120"/>
        <w:ind w:left="1134" w:right="1134"/>
        <w:jc w:val="both"/>
      </w:pPr>
      <w:r w:rsidRPr="0083728C">
        <w:t>2.2.61.1.14</w:t>
      </w:r>
      <w:r w:rsidRPr="0083728C">
        <w:tab/>
        <w:t>Amend to read as follows:</w:t>
      </w:r>
    </w:p>
    <w:p w:rsidR="007973DE" w:rsidRDefault="007973DE" w:rsidP="007973DE">
      <w:pPr>
        <w:pStyle w:val="SingleTxtG"/>
      </w:pPr>
      <w:r w:rsidRPr="0083728C">
        <w:t>“2.2.61.1.14</w:t>
      </w:r>
      <w:r w:rsidRPr="0083728C">
        <w:tab/>
        <w:t>Substances, solutions and mixtures, with the exception of substances and preparations used as pesticides, which are not classified as acute toxic category 1, 2 or 3 according to Regulation (EC) No 1272/2008</w:t>
      </w:r>
      <w:r w:rsidRPr="0083728C">
        <w:rPr>
          <w:b/>
          <w:vertAlign w:val="superscript"/>
        </w:rPr>
        <w:t>3</w:t>
      </w:r>
      <w:r w:rsidRPr="0083728C">
        <w:t>, may be considered as substances not belonging to class 6.1.</w:t>
      </w:r>
      <w:r>
        <w:t>”.</w:t>
      </w:r>
    </w:p>
    <w:p w:rsidR="007973DE" w:rsidRPr="0083728C" w:rsidRDefault="007973DE" w:rsidP="007973DE">
      <w:pPr>
        <w:pStyle w:val="SingleTxtG"/>
      </w:pPr>
      <w:r w:rsidRPr="00A44C79">
        <w:rPr>
          <w:lang w:val="fr-FR"/>
        </w:rPr>
        <w:t>________</w:t>
      </w:r>
    </w:p>
    <w:p w:rsidR="007973DE" w:rsidRPr="00935E45" w:rsidRDefault="007973DE" w:rsidP="007973DE">
      <w:pPr>
        <w:pStyle w:val="SingleTxtG"/>
        <w:rPr>
          <w:i/>
        </w:rPr>
      </w:pPr>
      <w:r w:rsidRPr="00935E45">
        <w:rPr>
          <w:b/>
          <w:i/>
          <w:vertAlign w:val="superscript"/>
        </w:rPr>
        <w:t>3</w:t>
      </w:r>
      <w:r w:rsidRPr="00935E45">
        <w:rPr>
          <w:i/>
        </w:rP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7973DE" w:rsidRDefault="007973DE" w:rsidP="007973DE">
      <w:pPr>
        <w:pStyle w:val="SingleTxtG"/>
      </w:pPr>
      <w:r w:rsidRPr="0083728C">
        <w:t>Delete footnote 4. Renumber subsequent footnotes accordingly.</w:t>
      </w:r>
    </w:p>
    <w:p w:rsidR="007973DE" w:rsidRDefault="007973DE" w:rsidP="007973DE">
      <w:pPr>
        <w:pStyle w:val="SingleTxtG"/>
        <w:rPr>
          <w:lang w:val="en-US"/>
        </w:rPr>
      </w:pPr>
      <w:r w:rsidRPr="00531307">
        <w:rPr>
          <w:lang w:val="en-US"/>
        </w:rPr>
        <w:t>2.2.7.2.4.1.5 (b) Replace “2.2.7.2.4.5.1” by “2.2.7.2.4.5.2”.</w:t>
      </w:r>
    </w:p>
    <w:p w:rsidR="007973DE" w:rsidRPr="0083728C" w:rsidRDefault="007973DE" w:rsidP="00FC02DD">
      <w:pPr>
        <w:pStyle w:val="SingleTxtG"/>
        <w:keepNext/>
        <w:keepLines/>
      </w:pPr>
      <w:r w:rsidRPr="0083728C">
        <w:lastRenderedPageBreak/>
        <w:t>2.2.8.1.9</w:t>
      </w:r>
      <w:r w:rsidRPr="0083728C">
        <w:tab/>
        <w:t>Amend to read as follows:</w:t>
      </w:r>
    </w:p>
    <w:p w:rsidR="007973DE" w:rsidRPr="0083728C" w:rsidRDefault="007973DE" w:rsidP="00FC02DD">
      <w:pPr>
        <w:pStyle w:val="SingleTxtG"/>
        <w:keepNext/>
        <w:keepLines/>
      </w:pPr>
      <w:r w:rsidRPr="0083728C">
        <w:t>“2.2.8.1.9</w:t>
      </w:r>
      <w:r w:rsidRPr="0083728C">
        <w:tab/>
        <w:t>Substances, solutions and mixtures, which are not classified as corrosive to skin or metal of category 1 according to Regulation (EC) No 1272/2008</w:t>
      </w:r>
      <w:r w:rsidRPr="0083728C">
        <w:rPr>
          <w:b/>
          <w:vertAlign w:val="superscript"/>
        </w:rPr>
        <w:t>3</w:t>
      </w:r>
      <w:r w:rsidRPr="0083728C">
        <w:t xml:space="preserve"> may be considered as substances not belonging to Class 8.”.</w:t>
      </w:r>
    </w:p>
    <w:p w:rsidR="007973DE" w:rsidRPr="0083728C" w:rsidRDefault="007973DE" w:rsidP="007973DE">
      <w:pPr>
        <w:pStyle w:val="SingleTxtG"/>
      </w:pPr>
      <w:r w:rsidRPr="0083728C">
        <w:t>The note remains unchanged.</w:t>
      </w:r>
    </w:p>
    <w:p w:rsidR="007973DE" w:rsidRPr="0083728C" w:rsidRDefault="007973DE" w:rsidP="007973DE">
      <w:pPr>
        <w:pStyle w:val="SingleTxtG"/>
      </w:pPr>
      <w:r w:rsidRPr="00A44C79">
        <w:rPr>
          <w:lang w:val="fr-FR"/>
        </w:rPr>
        <w:t>________</w:t>
      </w:r>
    </w:p>
    <w:p w:rsidR="007973DE" w:rsidRDefault="007973DE" w:rsidP="007973DE">
      <w:pPr>
        <w:pStyle w:val="SingleTxtG"/>
        <w:rPr>
          <w:i/>
        </w:rPr>
      </w:pPr>
      <w:r w:rsidRPr="00935E45">
        <w:rPr>
          <w:b/>
          <w:i/>
          <w:vertAlign w:val="superscript"/>
        </w:rPr>
        <w:t>3</w:t>
      </w:r>
      <w:r w:rsidRPr="00935E45">
        <w:rPr>
          <w:i/>
        </w:rP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7973DE" w:rsidRDefault="007973DE" w:rsidP="007973DE">
      <w:pPr>
        <w:pStyle w:val="SingleTxtG"/>
        <w:rPr>
          <w:lang w:val="en-US"/>
        </w:rPr>
      </w:pPr>
      <w:r w:rsidRPr="00531307">
        <w:rPr>
          <w:lang w:val="en-US"/>
        </w:rPr>
        <w:t xml:space="preserve">2.2.9.1.2 </w:t>
      </w:r>
      <w:r w:rsidRPr="00531307">
        <w:rPr>
          <w:lang w:val="en-US"/>
        </w:rPr>
        <w:tab/>
        <w:t>For subdivision M11, add “and articles” after “substances”.</w:t>
      </w:r>
    </w:p>
    <w:p w:rsidR="007973DE" w:rsidRPr="0083728C" w:rsidRDefault="007973DE" w:rsidP="007973DE">
      <w:pPr>
        <w:pStyle w:val="SingleTxtG"/>
        <w:tabs>
          <w:tab w:val="left" w:pos="2410"/>
        </w:tabs>
      </w:pPr>
      <w:r w:rsidRPr="0083728C">
        <w:t>2.2.9.1.10.3</w:t>
      </w:r>
      <w:r w:rsidRPr="0083728C">
        <w:tab/>
        <w:t>In the heading and in subparagraph (a), renumber the reference to the footnote after “1272/2008/EC” as 3. Footnote 3 reads as follows:</w:t>
      </w:r>
    </w:p>
    <w:p w:rsidR="007973DE" w:rsidRPr="00935E45" w:rsidRDefault="007973DE" w:rsidP="007973DE">
      <w:pPr>
        <w:pStyle w:val="SingleTxtG"/>
        <w:rPr>
          <w:i/>
        </w:rPr>
      </w:pPr>
      <w:r w:rsidRPr="00935E45">
        <w:rPr>
          <w:i/>
        </w:rPr>
        <w:t>“</w:t>
      </w:r>
      <w:r w:rsidRPr="00935E45">
        <w:rPr>
          <w:b/>
          <w:i/>
          <w:vertAlign w:val="superscript"/>
        </w:rPr>
        <w:t>3</w:t>
      </w:r>
      <w:r w:rsidRPr="00935E45">
        <w:rPr>
          <w:i/>
        </w:rP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7973DE" w:rsidRPr="0083728C" w:rsidRDefault="007973DE" w:rsidP="007973DE">
      <w:pPr>
        <w:pStyle w:val="SingleTxtG"/>
      </w:pPr>
      <w:r w:rsidRPr="0083728C">
        <w:t>At the end of paragraph (a), delete: “or, if still relevant according to the said Regulation, risk phrase(s) R50, R50/53 or R51/53 according to the Directives 67/548/EEC</w:t>
      </w:r>
      <w:r w:rsidRPr="0083728C">
        <w:rPr>
          <w:vertAlign w:val="superscript"/>
        </w:rPr>
        <w:t>3</w:t>
      </w:r>
      <w:r w:rsidRPr="0083728C">
        <w:t xml:space="preserve"> or 1999/45/EC</w:t>
      </w:r>
      <w:r w:rsidRPr="0083728C">
        <w:rPr>
          <w:vertAlign w:val="superscript"/>
        </w:rPr>
        <w:t>4</w:t>
      </w:r>
      <w:r w:rsidRPr="0083728C">
        <w:t>”.</w:t>
      </w:r>
    </w:p>
    <w:p w:rsidR="007973DE" w:rsidRDefault="007973DE" w:rsidP="007973DE">
      <w:pPr>
        <w:pStyle w:val="SingleTxtG"/>
        <w:tabs>
          <w:tab w:val="left" w:pos="2694"/>
        </w:tabs>
      </w:pPr>
      <w:r w:rsidRPr="003A40BC">
        <w:t>2.2.9.1.10.3 (b)</w:t>
      </w:r>
      <w:r w:rsidRPr="003A40BC">
        <w:tab/>
        <w:t>Amend the end to read as follows: “…if it does not have to be assigned such a category according to the said Regulation.”.</w:t>
      </w:r>
    </w:p>
    <w:p w:rsidR="007973DE" w:rsidRPr="00531307" w:rsidRDefault="007973DE" w:rsidP="007973DE">
      <w:pPr>
        <w:pStyle w:val="SingleTxtG"/>
        <w:rPr>
          <w:lang w:val="en-US"/>
        </w:rPr>
      </w:pPr>
      <w:r w:rsidRPr="00531307">
        <w:rPr>
          <w:lang w:val="en-US"/>
        </w:rPr>
        <w:t xml:space="preserve">2.2.9.3 </w:t>
      </w:r>
      <w:r w:rsidRPr="00531307">
        <w:rPr>
          <w:lang w:val="en-US"/>
        </w:rPr>
        <w:tab/>
      </w:r>
      <w:r w:rsidRPr="0083728C">
        <w:t>For “</w:t>
      </w:r>
      <w:r w:rsidRPr="00531307">
        <w:rPr>
          <w:lang w:val="en-US"/>
        </w:rPr>
        <w:t xml:space="preserve">M11”, replace “substances or articles” by “substances and articles”. In the right box, in the introductory sentence add “and articles” after “only substances”. Add </w:t>
      </w:r>
      <w:r>
        <w:rPr>
          <w:lang w:val="en-US"/>
        </w:rPr>
        <w:t>the following new entries:</w:t>
      </w:r>
    </w:p>
    <w:p w:rsidR="007973DE" w:rsidRPr="00531307" w:rsidRDefault="007973DE" w:rsidP="007973DE">
      <w:pPr>
        <w:pStyle w:val="SingleTxtG"/>
        <w:rPr>
          <w:lang w:val="en-US"/>
        </w:rPr>
      </w:pPr>
      <w:r w:rsidRPr="00531307">
        <w:rPr>
          <w:lang w:val="en-US"/>
        </w:rPr>
        <w:t xml:space="preserve">“3530 ENGINE, INTERNAL COMBUSTION or </w:t>
      </w:r>
    </w:p>
    <w:p w:rsidR="007973DE" w:rsidRDefault="007973DE" w:rsidP="007973DE">
      <w:pPr>
        <w:pStyle w:val="SingleTxtG"/>
        <w:rPr>
          <w:lang w:val="en-US"/>
        </w:rPr>
      </w:pPr>
      <w:r w:rsidRPr="00531307">
        <w:rPr>
          <w:lang w:val="en-US"/>
        </w:rPr>
        <w:t>3530 MACHINERY, INTERNAL COMBUSTION”.</w:t>
      </w:r>
    </w:p>
    <w:p w:rsidR="007973DE" w:rsidRPr="0083728C" w:rsidRDefault="007973DE" w:rsidP="007973DE">
      <w:pPr>
        <w:pStyle w:val="H23G"/>
      </w:pPr>
      <w:r w:rsidRPr="0083728C">
        <w:tab/>
      </w:r>
      <w:r w:rsidRPr="0083728C">
        <w:tab/>
        <w:t>Chapter 2.3</w:t>
      </w:r>
    </w:p>
    <w:p w:rsidR="007973DE" w:rsidRDefault="007973DE" w:rsidP="007973DE">
      <w:pPr>
        <w:pStyle w:val="SingleTxtG"/>
      </w:pPr>
      <w:r w:rsidRPr="0083728C">
        <w:t>2.3.1.4</w:t>
      </w:r>
      <w:r w:rsidRPr="0083728C">
        <w:tab/>
      </w:r>
      <w:r w:rsidRPr="0083728C">
        <w:tab/>
        <w:t>In the figure, in the text corresponding to “Fig. 1 to 3”, replace “iron plate” by “lead plate”.</w:t>
      </w:r>
    </w:p>
    <w:p w:rsidR="007973DE" w:rsidRPr="0083728C" w:rsidRDefault="007973DE" w:rsidP="007973DE">
      <w:pPr>
        <w:pStyle w:val="H23G"/>
      </w:pPr>
      <w:r w:rsidRPr="0083728C">
        <w:tab/>
      </w:r>
      <w:r w:rsidRPr="0083728C">
        <w:tab/>
        <w:t>Chapter 3.2</w:t>
      </w:r>
      <w:r>
        <w:t>, T</w:t>
      </w:r>
      <w:r w:rsidRPr="0083728C">
        <w:t>able A</w:t>
      </w:r>
    </w:p>
    <w:p w:rsidR="007973DE" w:rsidRDefault="007973DE" w:rsidP="007973DE">
      <w:pPr>
        <w:pStyle w:val="SingleTxtG"/>
      </w:pPr>
      <w:r w:rsidRPr="0083728C">
        <w:t>For UN numbers 1133, 1139, 1169, 1197, 1210, 1263, 1266, 1286, 1287, 1306, 1866, 1993 and 1999, for each first entry for packing group III, in column (6), delete “640E”.</w:t>
      </w:r>
    </w:p>
    <w:p w:rsidR="007973DE" w:rsidRDefault="007973DE" w:rsidP="007973DE">
      <w:pPr>
        <w:pStyle w:val="SingleTxtG"/>
        <w:rPr>
          <w:lang w:val="en-US"/>
        </w:rPr>
      </w:pPr>
      <w:r w:rsidRPr="00531307">
        <w:rPr>
          <w:lang w:val="en-US"/>
        </w:rPr>
        <w:t>For UN Nos. 1361 and 3088, packing group III, in column (6) insert “665”.</w:t>
      </w:r>
    </w:p>
    <w:p w:rsidR="007973DE" w:rsidRDefault="007973DE" w:rsidP="007973DE">
      <w:pPr>
        <w:pStyle w:val="SingleTxtG"/>
        <w:rPr>
          <w:lang w:val="en-US"/>
        </w:rPr>
      </w:pPr>
      <w:r w:rsidRPr="00531307">
        <w:rPr>
          <w:lang w:val="en-US"/>
        </w:rPr>
        <w:t>UN No. 2022</w:t>
      </w:r>
      <w:r>
        <w:rPr>
          <w:lang w:val="en-US"/>
        </w:rPr>
        <w:tab/>
      </w:r>
      <w:r>
        <w:rPr>
          <w:lang w:val="en-US"/>
        </w:rPr>
        <w:tab/>
      </w:r>
      <w:r w:rsidRPr="00531307">
        <w:rPr>
          <w:lang w:val="en-US"/>
        </w:rPr>
        <w:t xml:space="preserve">The amendment does not apply to the English </w:t>
      </w:r>
      <w:r>
        <w:rPr>
          <w:lang w:val="en-US"/>
        </w:rPr>
        <w:t>text</w:t>
      </w:r>
      <w:r w:rsidRPr="00531307">
        <w:rPr>
          <w:lang w:val="en-US"/>
        </w:rPr>
        <w:t>.</w:t>
      </w:r>
    </w:p>
    <w:p w:rsidR="007973DE" w:rsidRDefault="007973DE" w:rsidP="007973DE">
      <w:pPr>
        <w:pStyle w:val="SingleTxtG"/>
      </w:pPr>
      <w:r w:rsidRPr="0083728C">
        <w:t>For UN Nos. 3166, 3171, 3528, 3529 and 3530, in column (6), insert “669”.</w:t>
      </w:r>
    </w:p>
    <w:p w:rsidR="007973DE" w:rsidRDefault="007973DE" w:rsidP="007973DE">
      <w:pPr>
        <w:pStyle w:val="SingleTxtG"/>
      </w:pPr>
      <w:r w:rsidRPr="0083728C">
        <w:t>For UN No. 3528, in column (3b), insert “F3”.</w:t>
      </w:r>
    </w:p>
    <w:p w:rsidR="007973DE" w:rsidRDefault="007973DE" w:rsidP="007973DE">
      <w:pPr>
        <w:pStyle w:val="SingleTxtG"/>
      </w:pPr>
      <w:r w:rsidRPr="0083728C">
        <w:t>For UN No. 3529, in column (3b), insert “6F”.</w:t>
      </w:r>
    </w:p>
    <w:p w:rsidR="007973DE" w:rsidRDefault="007973DE" w:rsidP="007973DE">
      <w:pPr>
        <w:pStyle w:val="SingleTxtG"/>
      </w:pPr>
      <w:r w:rsidRPr="0083728C">
        <w:t>For UN No. 3530, in column (3b), insert “M11”.</w:t>
      </w:r>
    </w:p>
    <w:p w:rsidR="007973DE" w:rsidRPr="0083728C" w:rsidRDefault="007973DE" w:rsidP="007973DE">
      <w:pPr>
        <w:pStyle w:val="H23G"/>
      </w:pPr>
      <w:r w:rsidRPr="0083728C">
        <w:lastRenderedPageBreak/>
        <w:tab/>
      </w:r>
      <w:r w:rsidRPr="0083728C">
        <w:tab/>
        <w:t xml:space="preserve">Chapter </w:t>
      </w:r>
      <w:r>
        <w:t>3</w:t>
      </w:r>
      <w:r w:rsidRPr="0083728C">
        <w:t>.3</w:t>
      </w:r>
    </w:p>
    <w:p w:rsidR="007973DE" w:rsidRDefault="007973DE" w:rsidP="007973DE">
      <w:pPr>
        <w:pStyle w:val="SingleTxtG"/>
      </w:pPr>
      <w:r w:rsidRPr="0083728C">
        <w:t>Special provision 342 (b)</w:t>
      </w:r>
      <w:r w:rsidRPr="0083728C">
        <w:tab/>
        <w:t>The amendment does not apply to the English text.</w:t>
      </w:r>
    </w:p>
    <w:p w:rsidR="007973DE" w:rsidRDefault="007973DE" w:rsidP="007973DE">
      <w:pPr>
        <w:pStyle w:val="SingleTxtG"/>
      </w:pPr>
      <w:r w:rsidRPr="00531307">
        <w:rPr>
          <w:lang w:val="en-US"/>
        </w:rPr>
        <w:t>S</w:t>
      </w:r>
      <w:r w:rsidRPr="0083728C">
        <w:t>pecial provision 369</w:t>
      </w:r>
      <w:r w:rsidRPr="0083728C">
        <w:tab/>
        <w:t>Replace “2.2.7.2.3.6” by “2.2.7.2.3.5”.</w:t>
      </w:r>
    </w:p>
    <w:p w:rsidR="007973DE" w:rsidRDefault="007973DE" w:rsidP="007973DE">
      <w:pPr>
        <w:pStyle w:val="SingleTxtG"/>
      </w:pPr>
      <w:r w:rsidRPr="0083728C">
        <w:t>Special provision 373 (a)</w:t>
      </w:r>
      <w:r w:rsidRPr="0083728C">
        <w:tab/>
        <w:t>In the Note after subparagraph (iii), replace “ISO 9001:2008” by “ISO 9001”.</w:t>
      </w:r>
    </w:p>
    <w:p w:rsidR="007973DE" w:rsidRDefault="007973DE" w:rsidP="007973DE">
      <w:pPr>
        <w:pStyle w:val="SingleTxtG"/>
      </w:pPr>
      <w:r w:rsidRPr="00531307">
        <w:rPr>
          <w:lang w:val="en-US"/>
        </w:rPr>
        <w:t>S</w:t>
      </w:r>
      <w:r w:rsidRPr="0083728C">
        <w:t>pecial provision 376, at the end, add the following new sentence: “In this case the cells and batteries are assigned to transport category 0.”.</w:t>
      </w:r>
    </w:p>
    <w:p w:rsidR="007973DE" w:rsidRDefault="007973DE" w:rsidP="007973DE">
      <w:pPr>
        <w:pStyle w:val="SingleTxtG"/>
      </w:pPr>
      <w:r w:rsidRPr="0083728C">
        <w:t>Special provision 528</w:t>
      </w:r>
      <w:r w:rsidRPr="0083728C">
        <w:tab/>
        <w:t>Replace “articles of Class 4.1” by “substances of Class 4.1”.</w:t>
      </w:r>
    </w:p>
    <w:p w:rsidR="007973DE" w:rsidRDefault="007973DE" w:rsidP="007973DE">
      <w:pPr>
        <w:pStyle w:val="SingleTxtG"/>
      </w:pPr>
      <w:r w:rsidRPr="0083728C">
        <w:t>Special provision 531</w:t>
      </w:r>
      <w:r w:rsidRPr="0083728C">
        <w:tab/>
        <w:t>After “Class 4.1”, insert “(UN Nos. 2555, 2556 or 2557)”.</w:t>
      </w:r>
    </w:p>
    <w:p w:rsidR="007973DE" w:rsidRDefault="007973DE" w:rsidP="007973DE">
      <w:pPr>
        <w:pStyle w:val="SingleTxtG"/>
        <w:rPr>
          <w:lang w:val="en-US"/>
        </w:rPr>
      </w:pPr>
      <w:r w:rsidRPr="0083728C">
        <w:t>Special p</w:t>
      </w:r>
      <w:r>
        <w:t>rovision 545</w:t>
      </w:r>
      <w:r w:rsidRPr="0083728C">
        <w:tab/>
        <w:t xml:space="preserve">The </w:t>
      </w:r>
      <w:r w:rsidRPr="00531307">
        <w:rPr>
          <w:lang w:val="en-US"/>
        </w:rPr>
        <w:t>amendment does not apply to the English text.</w:t>
      </w:r>
    </w:p>
    <w:p w:rsidR="007973DE" w:rsidRDefault="007973DE" w:rsidP="007973DE">
      <w:pPr>
        <w:pStyle w:val="SingleTxtG"/>
      </w:pPr>
      <w:r w:rsidRPr="0083728C">
        <w:t>Special provision 592</w:t>
      </w:r>
      <w:r w:rsidRPr="0083728C">
        <w:tab/>
        <w:t>The amendment does not apply to the English text.</w:t>
      </w:r>
    </w:p>
    <w:p w:rsidR="007973DE" w:rsidRPr="0083728C" w:rsidRDefault="007973DE" w:rsidP="007973DE">
      <w:pPr>
        <w:pStyle w:val="SingleTxtG"/>
      </w:pPr>
      <w:r w:rsidRPr="0083728C">
        <w:t>Special provision 636 (b)</w:t>
      </w:r>
      <w:r w:rsidRPr="0083728C">
        <w:tab/>
        <w:t>Amend the text before subparagraph (i) to read as follows:</w:t>
      </w:r>
    </w:p>
    <w:p w:rsidR="007973DE" w:rsidRPr="0083728C" w:rsidRDefault="007973DE" w:rsidP="007973DE">
      <w:pPr>
        <w:pStyle w:val="SingleTxtG"/>
        <w:rPr>
          <w:rFonts w:eastAsia="MS Mincho"/>
          <w:lang w:eastAsia="nl-NL"/>
        </w:rPr>
      </w:pPr>
      <w:r w:rsidRPr="0083728C">
        <w:rPr>
          <w:rFonts w:eastAsia="MS Mincho"/>
          <w:lang w:eastAsia="nl-NL"/>
        </w:rPr>
        <w:t>“(b)</w:t>
      </w:r>
      <w:r w:rsidRPr="0083728C">
        <w:rPr>
          <w:rFonts w:eastAsia="MS Mincho"/>
          <w:lang w:eastAsia="nl-NL"/>
        </w:rPr>
        <w:tab/>
        <w:t>Up to the intermediate processing facility:</w:t>
      </w:r>
    </w:p>
    <w:p w:rsidR="007973DE" w:rsidRPr="0083728C" w:rsidRDefault="007973DE" w:rsidP="007973DE">
      <w:pPr>
        <w:pStyle w:val="Bullet1G"/>
        <w:numPr>
          <w:ilvl w:val="0"/>
          <w:numId w:val="47"/>
        </w:numPr>
        <w:tabs>
          <w:tab w:val="left" w:pos="708"/>
        </w:tabs>
        <w:suppressAutoHyphens w:val="0"/>
        <w:spacing w:line="240" w:lineRule="auto"/>
        <w:rPr>
          <w:rFonts w:eastAsia="MS Mincho"/>
          <w:lang w:eastAsia="nl-NL"/>
        </w:rPr>
      </w:pPr>
      <w:r w:rsidRPr="0083728C">
        <w:rPr>
          <w:rFonts w:eastAsia="MS Mincho"/>
          <w:lang w:eastAsia="nl-NL"/>
        </w:rPr>
        <w:t>lithium cells and batteries with a gross mass of not more than 500 g each or lithium ion cells with a Watt-hour rating of not more than 20 Wh, lithium ion batteries with a Watt-hour rating of not more than 100 Wh, lithium metal cells with a lithium content of not more than 1 g and lithium metal batteries with an aggregate lithium content of not more than 2 g, not contained in equipment, collected and handed over for carriage for sorting, disposal or recycling; as well as</w:t>
      </w:r>
    </w:p>
    <w:p w:rsidR="007973DE" w:rsidRPr="0083728C" w:rsidRDefault="007973DE" w:rsidP="007973DE">
      <w:pPr>
        <w:pStyle w:val="Bullet1G"/>
        <w:numPr>
          <w:ilvl w:val="0"/>
          <w:numId w:val="47"/>
        </w:numPr>
        <w:tabs>
          <w:tab w:val="left" w:pos="708"/>
        </w:tabs>
        <w:suppressAutoHyphens w:val="0"/>
        <w:spacing w:line="240" w:lineRule="auto"/>
        <w:rPr>
          <w:rFonts w:eastAsia="MS Mincho"/>
          <w:lang w:eastAsia="nl-NL"/>
        </w:rPr>
      </w:pPr>
      <w:r w:rsidRPr="0083728C">
        <w:rPr>
          <w:rFonts w:eastAsia="MS Mincho"/>
          <w:lang w:eastAsia="nl-NL"/>
        </w:rPr>
        <w:t>lithium cells and batteries contained in equipment from private households collected and handed over for carriage for depollution, dismantling, recycling or disposal.</w:t>
      </w:r>
    </w:p>
    <w:p w:rsidR="007973DE" w:rsidRPr="0083728C" w:rsidRDefault="007973DE" w:rsidP="007973DE">
      <w:pPr>
        <w:pStyle w:val="SingleTxtG"/>
        <w:ind w:left="2127"/>
        <w:rPr>
          <w:rFonts w:eastAsia="MS Mincho"/>
          <w:i/>
          <w:lang w:eastAsia="nl-NL"/>
        </w:rPr>
      </w:pPr>
      <w:r w:rsidRPr="0083728C">
        <w:rPr>
          <w:rFonts w:eastAsia="MS Mincho"/>
          <w:b/>
          <w:i/>
          <w:lang w:eastAsia="nl-NL"/>
        </w:rPr>
        <w:t>NOTE:</w:t>
      </w:r>
      <w:r w:rsidRPr="0083728C">
        <w:rPr>
          <w:rFonts w:eastAsia="MS Mincho"/>
          <w:b/>
          <w:i/>
          <w:lang w:eastAsia="nl-NL"/>
        </w:rPr>
        <w:tab/>
      </w:r>
      <w:r w:rsidRPr="0083728C">
        <w:rPr>
          <w:rFonts w:eastAsia="MS Mincho"/>
          <w:i/>
          <w:lang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
    <w:p w:rsidR="007973DE" w:rsidRDefault="007973DE" w:rsidP="007973DE">
      <w:pPr>
        <w:pStyle w:val="SingleTxtG"/>
        <w:ind w:left="1701"/>
        <w:rPr>
          <w:rFonts w:eastAsia="MS Mincho"/>
          <w:lang w:eastAsia="nl-NL"/>
        </w:rPr>
      </w:pPr>
      <w:r w:rsidRPr="0083728C">
        <w:rPr>
          <w:rFonts w:eastAsia="MS Mincho"/>
          <w:lang w:eastAsia="nl-NL"/>
        </w:rPr>
        <w:t>are not subject to the other provisions of ADN including special provision 376 and paragraph 2.2.9.1.7, if they meet the following conditions:”.</w:t>
      </w:r>
    </w:p>
    <w:p w:rsidR="007973DE" w:rsidRPr="0083728C" w:rsidRDefault="007973DE" w:rsidP="007973DE">
      <w:pPr>
        <w:pStyle w:val="SingleTxtG"/>
        <w:rPr>
          <w:rFonts w:eastAsia="MS Mincho"/>
          <w:u w:val="single"/>
          <w:lang w:eastAsia="nl-NL"/>
        </w:rPr>
      </w:pPr>
      <w:r w:rsidRPr="0083728C">
        <w:t>Special provision 636 (b)</w:t>
      </w:r>
      <w:r w:rsidRPr="0083728C">
        <w:tab/>
        <w:t>Amend subparagraph (iii) to read as follows:</w:t>
      </w:r>
    </w:p>
    <w:p w:rsidR="007973DE" w:rsidRPr="0083728C" w:rsidRDefault="007973DE" w:rsidP="007973DE">
      <w:pPr>
        <w:pStyle w:val="SingleTxtG"/>
        <w:ind w:left="1701" w:hanging="567"/>
        <w:rPr>
          <w:rFonts w:eastAsia="MS Mincho"/>
          <w:lang w:eastAsia="nl-NL"/>
        </w:rPr>
      </w:pPr>
      <w:r w:rsidRPr="0083728C">
        <w:rPr>
          <w:rFonts w:eastAsia="MS Mincho"/>
          <w:i/>
          <w:lang w:eastAsia="nl-NL"/>
        </w:rPr>
        <w:t>“</w:t>
      </w:r>
      <w:r w:rsidRPr="0083728C">
        <w:rPr>
          <w:rFonts w:eastAsia="MS Mincho"/>
          <w:lang w:eastAsia="nl-NL"/>
        </w:rPr>
        <w:t>(iii)</w:t>
      </w:r>
      <w:r w:rsidRPr="0083728C">
        <w:rPr>
          <w:rFonts w:eastAsia="MS Mincho"/>
          <w:lang w:eastAsia="nl-NL"/>
        </w:rPr>
        <w:tab/>
        <w:t>Packages are marked “LITHIUM BATTERIES FOR DISPOSAL” or “LITHIUM BATTERIES FOR RECYCLING” as appropriate.</w:t>
      </w:r>
    </w:p>
    <w:p w:rsidR="007973DE" w:rsidRDefault="007973DE" w:rsidP="007973DE">
      <w:pPr>
        <w:pStyle w:val="SingleTxtG"/>
        <w:ind w:left="1701"/>
        <w:rPr>
          <w:rFonts w:eastAsia="MS Mincho"/>
          <w:lang w:eastAsia="nl-NL"/>
        </w:rPr>
      </w:pPr>
      <w:r w:rsidRPr="0083728C">
        <w:rPr>
          <w:rFonts w:eastAsia="MS Mincho"/>
          <w:lang w:eastAsia="nl-NL"/>
        </w:rPr>
        <w:t>If equipment containing lithium cells or batteries is carried unpackaged or on pallets in accordance with packing instruction P 909 (3) of 4.1.4.1 of ADR, this mark may alternatively be affixed to the external surface of the vehicles or containers.”.</w:t>
      </w:r>
    </w:p>
    <w:p w:rsidR="007973DE" w:rsidRPr="00825170" w:rsidRDefault="007973DE" w:rsidP="007973DE">
      <w:pPr>
        <w:pStyle w:val="SingleTxtG"/>
      </w:pPr>
      <w:r w:rsidRPr="0083728C">
        <w:t>Add the following new special provision</w:t>
      </w:r>
      <w:r>
        <w:t>s</w:t>
      </w:r>
      <w:r w:rsidRPr="0083728C">
        <w:t>:</w:t>
      </w:r>
    </w:p>
    <w:p w:rsidR="007973DE" w:rsidRDefault="007973DE" w:rsidP="007973DE">
      <w:pPr>
        <w:pStyle w:val="SingleTxtG"/>
      </w:pPr>
      <w:r w:rsidRPr="0083728C">
        <w:t xml:space="preserve">“665 </w:t>
      </w:r>
      <w:r w:rsidRPr="0083728C">
        <w:tab/>
        <w:t>Unground hard coal, coke and anthracite, meeting the classification criteria of Class 4.2, packing group III, are not subject to the requirements of ADN.”.</w:t>
      </w:r>
    </w:p>
    <w:p w:rsidR="007973DE" w:rsidRDefault="007973DE" w:rsidP="007973DE">
      <w:pPr>
        <w:pStyle w:val="SingleTxtG"/>
      </w:pPr>
      <w:r w:rsidRPr="0083728C">
        <w:t>“669</w:t>
      </w:r>
      <w:r w:rsidRPr="0083728C">
        <w:tab/>
      </w:r>
      <w:r>
        <w:t>A trailer fitted with equipment</w:t>
      </w:r>
      <w:r w:rsidRPr="0083728C">
        <w:t xml:space="preserve"> powered by a liquid or gaseous fuel or an electric energy storage and production system, that is intended for use during carriage operated by this trailer as a part of a transport unit, shall be assigned to UN Nos. 3166 or 3171 and be subject to the same conditions as specified for these UN Nos., when carried as a load on a </w:t>
      </w:r>
      <w:r>
        <w:lastRenderedPageBreak/>
        <w:t>vessel</w:t>
      </w:r>
      <w:r w:rsidRPr="0083728C">
        <w:t>, provided that the total capacity of the tanks containing liquid fuel does not exceed 500 litres.”.</w:t>
      </w:r>
    </w:p>
    <w:p w:rsidR="007973DE" w:rsidRPr="0083728C" w:rsidRDefault="007973DE" w:rsidP="007973DE">
      <w:pPr>
        <w:pStyle w:val="H23G"/>
      </w:pPr>
      <w:r w:rsidRPr="0083728C">
        <w:tab/>
      </w:r>
      <w:r w:rsidRPr="0083728C">
        <w:tab/>
        <w:t>Chapter 5.1</w:t>
      </w:r>
    </w:p>
    <w:p w:rsidR="007973DE" w:rsidRPr="0083728C" w:rsidRDefault="007973DE" w:rsidP="007973DE">
      <w:pPr>
        <w:pStyle w:val="SingleTxtG"/>
      </w:pPr>
      <w:r w:rsidRPr="0083728C">
        <w:t xml:space="preserve">5.1.5.5 </w:t>
      </w:r>
      <w:r w:rsidRPr="0083728C">
        <w:tab/>
        <w:t>Amend the Table as follows:</w:t>
      </w:r>
    </w:p>
    <w:p w:rsidR="007973DE" w:rsidRPr="0083728C" w:rsidRDefault="007973DE" w:rsidP="007973DE">
      <w:pPr>
        <w:pStyle w:val="SingleTxtG"/>
        <w:spacing w:before="120"/>
      </w:pPr>
      <w:r w:rsidRPr="0083728C">
        <w:t>Add the following new rows:</w:t>
      </w:r>
    </w:p>
    <w:tbl>
      <w:tblPr>
        <w:tblW w:w="0" w:type="auto"/>
        <w:tblInd w:w="1059" w:type="dxa"/>
        <w:tblLayout w:type="fixed"/>
        <w:tblCellMar>
          <w:left w:w="66" w:type="dxa"/>
          <w:right w:w="66" w:type="dxa"/>
        </w:tblCellMar>
        <w:tblLook w:val="0000" w:firstRow="0" w:lastRow="0" w:firstColumn="0" w:lastColumn="0" w:noHBand="0" w:noVBand="0"/>
      </w:tblPr>
      <w:tblGrid>
        <w:gridCol w:w="2693"/>
        <w:gridCol w:w="709"/>
        <w:gridCol w:w="708"/>
        <w:gridCol w:w="1134"/>
        <w:gridCol w:w="1134"/>
        <w:gridCol w:w="1843"/>
      </w:tblGrid>
      <w:tr w:rsidR="007973DE" w:rsidRPr="00531307" w:rsidTr="00A3378A">
        <w:trPr>
          <w:cantSplit/>
        </w:trPr>
        <w:tc>
          <w:tcPr>
            <w:tcW w:w="2693" w:type="dxa"/>
            <w:tcBorders>
              <w:top w:val="single" w:sz="6" w:space="0" w:color="auto"/>
              <w:left w:val="single" w:sz="6" w:space="0" w:color="auto"/>
              <w:bottom w:val="single" w:sz="6" w:space="0" w:color="auto"/>
            </w:tcBorders>
          </w:tcPr>
          <w:p w:rsidR="007973DE" w:rsidRPr="0083728C" w:rsidRDefault="007973DE" w:rsidP="00A3378A">
            <w:pPr>
              <w:keepNext/>
              <w:tabs>
                <w:tab w:val="left" w:pos="218"/>
              </w:tabs>
              <w:spacing w:before="20" w:after="20"/>
            </w:pPr>
            <w:r w:rsidRPr="0083728C">
              <w:t>Alternative activity limits for an exempt consignment of instruments or articles</w:t>
            </w:r>
          </w:p>
        </w:tc>
        <w:tc>
          <w:tcPr>
            <w:tcW w:w="709" w:type="dxa"/>
            <w:tcBorders>
              <w:top w:val="single" w:sz="6" w:space="0" w:color="auto"/>
              <w:left w:val="single" w:sz="6" w:space="0" w:color="auto"/>
              <w:bottom w:val="single" w:sz="6" w:space="0" w:color="auto"/>
            </w:tcBorders>
          </w:tcPr>
          <w:p w:rsidR="007973DE" w:rsidRPr="00531307" w:rsidRDefault="007973DE" w:rsidP="00A3378A">
            <w:pPr>
              <w:keepNext/>
              <w:spacing w:before="20" w:after="20"/>
              <w:jc w:val="center"/>
            </w:pPr>
            <w:r w:rsidRPr="00531307">
              <w:t>-</w:t>
            </w:r>
          </w:p>
        </w:tc>
        <w:tc>
          <w:tcPr>
            <w:tcW w:w="708" w:type="dxa"/>
            <w:tcBorders>
              <w:top w:val="single" w:sz="6" w:space="0" w:color="auto"/>
              <w:left w:val="single" w:sz="6" w:space="0" w:color="auto"/>
              <w:bottom w:val="single" w:sz="6" w:space="0" w:color="auto"/>
            </w:tcBorders>
          </w:tcPr>
          <w:p w:rsidR="007973DE" w:rsidRPr="00531307" w:rsidRDefault="007973DE" w:rsidP="00A3378A">
            <w:pPr>
              <w:keepNext/>
              <w:spacing w:before="20" w:after="20"/>
              <w:jc w:val="center"/>
            </w:pPr>
            <w:r w:rsidRPr="00531307">
              <w:t>Yes</w:t>
            </w:r>
          </w:p>
        </w:tc>
        <w:tc>
          <w:tcPr>
            <w:tcW w:w="1134" w:type="dxa"/>
            <w:tcBorders>
              <w:top w:val="single" w:sz="6" w:space="0" w:color="auto"/>
              <w:left w:val="single" w:sz="6" w:space="0" w:color="auto"/>
              <w:bottom w:val="single" w:sz="6" w:space="0" w:color="auto"/>
            </w:tcBorders>
          </w:tcPr>
          <w:p w:rsidR="007973DE" w:rsidRPr="00531307" w:rsidRDefault="007973DE" w:rsidP="00A3378A">
            <w:pPr>
              <w:keepNext/>
              <w:spacing w:before="20" w:after="20"/>
              <w:jc w:val="center"/>
            </w:pPr>
            <w:r w:rsidRPr="00531307">
              <w:t>Yes</w:t>
            </w:r>
          </w:p>
        </w:tc>
        <w:tc>
          <w:tcPr>
            <w:tcW w:w="1134" w:type="dxa"/>
            <w:tcBorders>
              <w:top w:val="single" w:sz="6" w:space="0" w:color="auto"/>
              <w:left w:val="single" w:sz="6" w:space="0" w:color="auto"/>
              <w:bottom w:val="single" w:sz="6" w:space="0" w:color="auto"/>
            </w:tcBorders>
          </w:tcPr>
          <w:p w:rsidR="007973DE" w:rsidRPr="00531307" w:rsidRDefault="007973DE" w:rsidP="00A3378A">
            <w:pPr>
              <w:keepNext/>
              <w:spacing w:before="20" w:after="20"/>
              <w:jc w:val="center"/>
            </w:pPr>
            <w:r w:rsidRPr="00531307">
              <w:t>No</w:t>
            </w:r>
          </w:p>
        </w:tc>
        <w:tc>
          <w:tcPr>
            <w:tcW w:w="1843" w:type="dxa"/>
            <w:tcBorders>
              <w:top w:val="single" w:sz="6" w:space="0" w:color="auto"/>
              <w:left w:val="single" w:sz="6" w:space="0" w:color="auto"/>
              <w:bottom w:val="single" w:sz="6" w:space="0" w:color="auto"/>
              <w:right w:val="single" w:sz="6" w:space="0" w:color="auto"/>
            </w:tcBorders>
          </w:tcPr>
          <w:p w:rsidR="007973DE" w:rsidRPr="00531307" w:rsidRDefault="007973DE" w:rsidP="00A3378A">
            <w:pPr>
              <w:keepNext/>
              <w:spacing w:before="20" w:after="20"/>
              <w:jc w:val="center"/>
            </w:pPr>
            <w:r w:rsidRPr="00531307">
              <w:t xml:space="preserve">5.1.5.2.1(e), </w:t>
            </w:r>
            <w:r w:rsidRPr="00531307">
              <w:br/>
              <w:t>6.4.22.7</w:t>
            </w:r>
            <w:r>
              <w:t xml:space="preserve"> (ADR)</w:t>
            </w:r>
          </w:p>
        </w:tc>
      </w:tr>
      <w:tr w:rsidR="007973DE" w:rsidRPr="00531307" w:rsidTr="00A3378A">
        <w:trPr>
          <w:cantSplit/>
        </w:trPr>
        <w:tc>
          <w:tcPr>
            <w:tcW w:w="2693" w:type="dxa"/>
            <w:tcBorders>
              <w:top w:val="single" w:sz="6" w:space="0" w:color="auto"/>
              <w:left w:val="single" w:sz="6" w:space="0" w:color="auto"/>
              <w:bottom w:val="single" w:sz="6" w:space="0" w:color="auto"/>
            </w:tcBorders>
          </w:tcPr>
          <w:p w:rsidR="007973DE" w:rsidRPr="0083728C" w:rsidRDefault="007973DE" w:rsidP="00A3378A">
            <w:pPr>
              <w:keepNext/>
              <w:spacing w:before="20" w:after="20"/>
            </w:pPr>
            <w:r w:rsidRPr="0083728C">
              <w:t>Fissile material excepted in accordance with 2.2.7.2.3.5 (f)</w:t>
            </w:r>
          </w:p>
        </w:tc>
        <w:tc>
          <w:tcPr>
            <w:tcW w:w="709" w:type="dxa"/>
            <w:tcBorders>
              <w:top w:val="single" w:sz="6" w:space="0" w:color="auto"/>
              <w:left w:val="single" w:sz="6" w:space="0" w:color="auto"/>
              <w:bottom w:val="single" w:sz="6" w:space="0" w:color="auto"/>
            </w:tcBorders>
          </w:tcPr>
          <w:p w:rsidR="007973DE" w:rsidRPr="00531307" w:rsidRDefault="007973DE" w:rsidP="00A3378A">
            <w:pPr>
              <w:keepNext/>
              <w:spacing w:before="20" w:after="20"/>
              <w:jc w:val="center"/>
            </w:pPr>
            <w:r w:rsidRPr="00531307">
              <w:t>-</w:t>
            </w:r>
          </w:p>
        </w:tc>
        <w:tc>
          <w:tcPr>
            <w:tcW w:w="708" w:type="dxa"/>
            <w:tcBorders>
              <w:top w:val="single" w:sz="6" w:space="0" w:color="auto"/>
              <w:left w:val="single" w:sz="6" w:space="0" w:color="auto"/>
              <w:bottom w:val="single" w:sz="6" w:space="0" w:color="auto"/>
            </w:tcBorders>
          </w:tcPr>
          <w:p w:rsidR="007973DE" w:rsidRPr="00531307" w:rsidRDefault="007973DE" w:rsidP="00A3378A">
            <w:pPr>
              <w:keepNext/>
              <w:spacing w:before="20" w:after="20"/>
              <w:jc w:val="center"/>
            </w:pPr>
            <w:r w:rsidRPr="00531307">
              <w:t>Yes</w:t>
            </w:r>
          </w:p>
        </w:tc>
        <w:tc>
          <w:tcPr>
            <w:tcW w:w="1134" w:type="dxa"/>
            <w:tcBorders>
              <w:top w:val="single" w:sz="6" w:space="0" w:color="auto"/>
              <w:left w:val="single" w:sz="6" w:space="0" w:color="auto"/>
              <w:bottom w:val="single" w:sz="6" w:space="0" w:color="auto"/>
            </w:tcBorders>
          </w:tcPr>
          <w:p w:rsidR="007973DE" w:rsidRPr="00531307" w:rsidRDefault="007973DE" w:rsidP="00A3378A">
            <w:pPr>
              <w:keepNext/>
              <w:spacing w:before="20" w:after="20"/>
              <w:jc w:val="center"/>
            </w:pPr>
            <w:r w:rsidRPr="00531307">
              <w:t>Yes</w:t>
            </w:r>
          </w:p>
        </w:tc>
        <w:tc>
          <w:tcPr>
            <w:tcW w:w="1134" w:type="dxa"/>
            <w:tcBorders>
              <w:top w:val="single" w:sz="6" w:space="0" w:color="auto"/>
              <w:left w:val="single" w:sz="6" w:space="0" w:color="auto"/>
              <w:bottom w:val="single" w:sz="6" w:space="0" w:color="auto"/>
            </w:tcBorders>
          </w:tcPr>
          <w:p w:rsidR="007973DE" w:rsidRPr="00531307" w:rsidRDefault="007973DE" w:rsidP="00A3378A">
            <w:pPr>
              <w:keepNext/>
              <w:spacing w:before="20" w:after="20"/>
              <w:jc w:val="center"/>
            </w:pPr>
            <w:r w:rsidRPr="00531307">
              <w:t>No</w:t>
            </w:r>
          </w:p>
        </w:tc>
        <w:tc>
          <w:tcPr>
            <w:tcW w:w="1843" w:type="dxa"/>
            <w:tcBorders>
              <w:top w:val="single" w:sz="6" w:space="0" w:color="auto"/>
              <w:left w:val="single" w:sz="6" w:space="0" w:color="auto"/>
              <w:bottom w:val="single" w:sz="6" w:space="0" w:color="auto"/>
              <w:right w:val="single" w:sz="6" w:space="0" w:color="auto"/>
            </w:tcBorders>
          </w:tcPr>
          <w:p w:rsidR="007973DE" w:rsidRPr="00531307" w:rsidRDefault="007973DE" w:rsidP="00A3378A">
            <w:pPr>
              <w:keepNext/>
              <w:spacing w:before="20" w:after="20"/>
              <w:jc w:val="center"/>
            </w:pPr>
            <w:r w:rsidRPr="00531307">
              <w:t>5.1.5.2.1 (a) (iii),</w:t>
            </w:r>
            <w:r w:rsidRPr="00531307">
              <w:br/>
              <w:t>6.4.22.6</w:t>
            </w:r>
            <w:r>
              <w:t xml:space="preserve"> (ADR)</w:t>
            </w:r>
          </w:p>
        </w:tc>
      </w:tr>
    </w:tbl>
    <w:p w:rsidR="007973DE" w:rsidRPr="0083728C" w:rsidRDefault="007973DE" w:rsidP="007973DE">
      <w:pPr>
        <w:pStyle w:val="SingleTxtG"/>
        <w:spacing w:before="120"/>
      </w:pPr>
      <w:r w:rsidRPr="0083728C">
        <w:t>In the first row (Calculation of unlisted A</w:t>
      </w:r>
      <w:r w:rsidRPr="0083728C">
        <w:rPr>
          <w:vertAlign w:val="subscript"/>
        </w:rPr>
        <w:t>1</w:t>
      </w:r>
      <w:r w:rsidRPr="0083728C">
        <w:t xml:space="preserve"> and A</w:t>
      </w:r>
      <w:r w:rsidRPr="0083728C">
        <w:rPr>
          <w:vertAlign w:val="subscript"/>
        </w:rPr>
        <w:t>2</w:t>
      </w:r>
      <w:r w:rsidRPr="0083728C">
        <w:t xml:space="preserve"> values), in the last column, replace “---” by “2.2.7.2.2.2 (a), 5.1.5.2.1 (d)”.</w:t>
      </w:r>
    </w:p>
    <w:p w:rsidR="007973DE" w:rsidRPr="0083728C" w:rsidRDefault="007973DE" w:rsidP="007973DE">
      <w:pPr>
        <w:pStyle w:val="SingleTxtG"/>
      </w:pPr>
      <w:r w:rsidRPr="0083728C">
        <w:t>In the tenth row (Low dispersible radioactive material), in the last column, replace “6.4.22.3” by “6.4.22.5”.</w:t>
      </w:r>
    </w:p>
    <w:p w:rsidR="007973DE" w:rsidRDefault="007973DE" w:rsidP="007973DE">
      <w:pPr>
        <w:pStyle w:val="SingleTxtG"/>
      </w:pPr>
      <w:r w:rsidRPr="0083728C">
        <w:t>In the thirteenth row (Approved packages designs subjected to transitional measures), in the last column, delete “1.6.6.1” and insert “, 6.4.22.9 (ADR)” at the end.</w:t>
      </w:r>
    </w:p>
    <w:p w:rsidR="007973DE" w:rsidRPr="0083728C" w:rsidRDefault="007973DE" w:rsidP="007973DE">
      <w:pPr>
        <w:pStyle w:val="H23G"/>
      </w:pPr>
      <w:r w:rsidRPr="0083728C">
        <w:tab/>
      </w:r>
      <w:r w:rsidRPr="0083728C">
        <w:tab/>
        <w:t>Chapter 5.2</w:t>
      </w:r>
    </w:p>
    <w:p w:rsidR="007973DE" w:rsidRPr="00825170" w:rsidRDefault="007973DE" w:rsidP="007973DE">
      <w:pPr>
        <w:pStyle w:val="SingleTxtG"/>
        <w:tabs>
          <w:tab w:val="left" w:pos="1854"/>
        </w:tabs>
      </w:pPr>
      <w:r w:rsidRPr="0083728C">
        <w:t>5.2.1.7.4</w:t>
      </w:r>
      <w:r w:rsidRPr="0083728C">
        <w:tab/>
        <w:t xml:space="preserve"> (c)</w:t>
      </w:r>
      <w:r w:rsidRPr="0083728C">
        <w:tab/>
        <w:t>Replace “with the international vehicle registration code (VRI-Code)</w:t>
      </w:r>
      <w:r w:rsidRPr="0083728C">
        <w:rPr>
          <w:b/>
          <w:vertAlign w:val="superscript"/>
        </w:rPr>
        <w:t xml:space="preserve"> 2</w:t>
      </w:r>
      <w:r w:rsidRPr="0083728C">
        <w:t>” by “with the distinguishing sign used on vehicles in international road traffic</w:t>
      </w:r>
      <w:r w:rsidRPr="0083728C">
        <w:rPr>
          <w:b/>
          <w:vertAlign w:val="superscript"/>
        </w:rPr>
        <w:t>2</w:t>
      </w:r>
      <w:r w:rsidRPr="0083728C">
        <w:t xml:space="preserve">”. </w:t>
      </w:r>
      <w:r w:rsidRPr="00825170">
        <w:t>Amend footnote 2 to read as follows:</w:t>
      </w:r>
    </w:p>
    <w:p w:rsidR="007973DE" w:rsidRDefault="007973DE" w:rsidP="007973DE">
      <w:pPr>
        <w:pStyle w:val="SingleTxtG"/>
        <w:tabs>
          <w:tab w:val="left" w:pos="1854"/>
        </w:tabs>
        <w:rPr>
          <w:i/>
        </w:rPr>
      </w:pPr>
      <w:r w:rsidRPr="00935E45">
        <w:rPr>
          <w:i/>
        </w:rPr>
        <w:t>“</w:t>
      </w:r>
      <w:r w:rsidRPr="00935E45">
        <w:rPr>
          <w:b/>
          <w:i/>
          <w:vertAlign w:val="superscript"/>
        </w:rPr>
        <w:t>2</w:t>
      </w:r>
      <w:r w:rsidRPr="00935E45">
        <w:rPr>
          <w:i/>
        </w:rPr>
        <w:tab/>
        <w:t>Distinguishing sign of the State of registration used on motor vehicles and trailers in international road traffic, e.g. in accordance with the Geneva Convention on Road Traffic of 1949 or the Vienna Convention on Road Traffic of 1968.”.</w:t>
      </w:r>
    </w:p>
    <w:p w:rsidR="007973DE" w:rsidRDefault="007973DE" w:rsidP="007973DE">
      <w:pPr>
        <w:pStyle w:val="SingleTxtG"/>
      </w:pPr>
      <w:r w:rsidRPr="0083728C">
        <w:t>5.2.2.2.2</w:t>
      </w:r>
      <w:r w:rsidRPr="0083728C">
        <w:tab/>
        <w:t>Amend the title of label No. 4.1 to read as follows: “CLASS 4.1 HAZARD Flammable solids, self-reactive substances, polymerizing substances and solid desensitized explosives”.</w:t>
      </w:r>
    </w:p>
    <w:p w:rsidR="007973DE" w:rsidRPr="0083728C" w:rsidRDefault="007973DE" w:rsidP="007973DE">
      <w:pPr>
        <w:pStyle w:val="H23G"/>
      </w:pPr>
      <w:r w:rsidRPr="0083728C">
        <w:tab/>
      </w:r>
      <w:r w:rsidRPr="0083728C">
        <w:tab/>
        <w:t>Chapter 5.</w:t>
      </w:r>
      <w:r>
        <w:t>4</w:t>
      </w:r>
    </w:p>
    <w:p w:rsidR="007973DE" w:rsidRPr="0083728C" w:rsidRDefault="007973DE" w:rsidP="007973DE">
      <w:pPr>
        <w:pStyle w:val="SingleTxtG"/>
      </w:pPr>
      <w:r w:rsidRPr="0083728C">
        <w:t>5.4.1.1.11</w:t>
      </w:r>
      <w:r w:rsidRPr="0083728C">
        <w:tab/>
        <w:t>Amend to read as follows:</w:t>
      </w:r>
    </w:p>
    <w:p w:rsidR="007973DE" w:rsidRPr="0083728C" w:rsidRDefault="007973DE" w:rsidP="007973DE">
      <w:pPr>
        <w:pStyle w:val="SingleTxtG"/>
      </w:pPr>
      <w:r w:rsidRPr="0083728C">
        <w:t>“5.4.1.1.11</w:t>
      </w:r>
      <w:r w:rsidRPr="0083728C">
        <w:tab/>
      </w:r>
      <w:r w:rsidRPr="0083728C">
        <w:rPr>
          <w:bCs/>
          <w:i/>
        </w:rPr>
        <w:t xml:space="preserve">Special provisions for the carriage of IBCs, tanks, battery-vehicles, portable tanks and MEGCs after the date of expiry of </w:t>
      </w:r>
      <w:r w:rsidRPr="0083728C">
        <w:rPr>
          <w:i/>
        </w:rPr>
        <w:t>the</w:t>
      </w:r>
      <w:r w:rsidRPr="0083728C">
        <w:rPr>
          <w:bCs/>
          <w:i/>
        </w:rPr>
        <w:t xml:space="preserve"> last periodic test or inspection</w:t>
      </w:r>
    </w:p>
    <w:p w:rsidR="007973DE" w:rsidRPr="0083728C" w:rsidRDefault="007973DE" w:rsidP="007973DE">
      <w:pPr>
        <w:pStyle w:val="SingleTxtG"/>
      </w:pPr>
      <w:r>
        <w:tab/>
      </w:r>
      <w:r w:rsidRPr="0083728C">
        <w:t>For carriage in accordance with 4.1.2.2 (b), 4.3.2.3.7 (b), 6.7.2.19.6 (b), 6.7.3.15.6 (b) or 6.7.4.14.6 (b) of ADR (or RID), a statement to this effect shall be included in the transport document, as follows:</w:t>
      </w:r>
    </w:p>
    <w:p w:rsidR="007973DE" w:rsidRPr="0083728C" w:rsidRDefault="007973DE" w:rsidP="007973DE">
      <w:pPr>
        <w:pStyle w:val="SingleTxtG"/>
      </w:pPr>
      <w:r w:rsidRPr="0083728C">
        <w:t>“CARRIAGE IN ACCORDANCE WITH 4.1.2.2 (b) of ADR (or RID)”,</w:t>
      </w:r>
    </w:p>
    <w:p w:rsidR="007973DE" w:rsidRPr="0083728C" w:rsidRDefault="007973DE" w:rsidP="007973DE">
      <w:pPr>
        <w:pStyle w:val="SingleTxtG"/>
      </w:pPr>
      <w:r w:rsidRPr="0083728C">
        <w:t>“CARRIAGE IN ACCORDANCE WITH 4.3.2.3.7 (b) of ADR (or RID)”,</w:t>
      </w:r>
    </w:p>
    <w:p w:rsidR="007973DE" w:rsidRPr="0083728C" w:rsidRDefault="007973DE" w:rsidP="007973DE">
      <w:pPr>
        <w:pStyle w:val="SingleTxtG"/>
      </w:pPr>
      <w:r w:rsidRPr="0083728C">
        <w:t>“CARRIAGE IN ACCORDANCE WITH 6.7.2.19.6 (b) of ADR (or RID)”,</w:t>
      </w:r>
    </w:p>
    <w:p w:rsidR="007973DE" w:rsidRPr="0083728C" w:rsidRDefault="007973DE" w:rsidP="007973DE">
      <w:pPr>
        <w:pStyle w:val="SingleTxtG"/>
      </w:pPr>
      <w:r w:rsidRPr="0083728C">
        <w:t xml:space="preserve">“CARRIAGE IN ACCORDANCE WITH 6.7.3.15.6 (b) of ADR (or RID)”; or </w:t>
      </w:r>
    </w:p>
    <w:p w:rsidR="007973DE" w:rsidRDefault="007973DE" w:rsidP="007973DE">
      <w:pPr>
        <w:pStyle w:val="SingleTxtG"/>
      </w:pPr>
      <w:r w:rsidRPr="0083728C">
        <w:t>“CARRIAGE IN ACCORDANCE WITH 6.7.4.14.6 (b) of ADR (or RID)” as appropriate.</w:t>
      </w:r>
      <w:r>
        <w:t>”.</w:t>
      </w:r>
    </w:p>
    <w:p w:rsidR="007973DE" w:rsidRPr="0083728C" w:rsidRDefault="007973DE" w:rsidP="007973DE">
      <w:pPr>
        <w:pStyle w:val="SingleTxtG"/>
        <w:tabs>
          <w:tab w:val="left" w:pos="1854"/>
        </w:tabs>
      </w:pPr>
      <w:r w:rsidRPr="0083728C">
        <w:lastRenderedPageBreak/>
        <w:t>5.4.1.2.1</w:t>
      </w:r>
      <w:r w:rsidRPr="0083728C">
        <w:tab/>
      </w:r>
      <w:r w:rsidRPr="0083728C">
        <w:tab/>
        <w:t>In Note 2, replace “indicated by the distinguishing sign for motor vehicles in international traffic (XX)</w:t>
      </w:r>
      <w:r w:rsidRPr="0083728C">
        <w:rPr>
          <w:b/>
          <w:vertAlign w:val="superscript"/>
        </w:rPr>
        <w:t>3</w:t>
      </w:r>
      <w:r w:rsidRPr="0083728C">
        <w:t>” by “indicated by the distinguishing sign used on vehicles in international road traffic (XX)</w:t>
      </w:r>
      <w:r w:rsidRPr="0083728C">
        <w:rPr>
          <w:b/>
          <w:vertAlign w:val="superscript"/>
        </w:rPr>
        <w:t>3</w:t>
      </w:r>
      <w:r w:rsidRPr="0083728C">
        <w:t>”. Amend footnote 3 to read as follows:</w:t>
      </w:r>
    </w:p>
    <w:p w:rsidR="007973DE" w:rsidRDefault="007973DE" w:rsidP="007973DE">
      <w:pPr>
        <w:pStyle w:val="SingleTxtG"/>
        <w:rPr>
          <w:i/>
        </w:rPr>
      </w:pPr>
      <w:r w:rsidRPr="00935E45">
        <w:rPr>
          <w:i/>
        </w:rPr>
        <w:t>“</w:t>
      </w:r>
      <w:r w:rsidRPr="00935E45">
        <w:rPr>
          <w:b/>
          <w:i/>
          <w:vertAlign w:val="superscript"/>
        </w:rPr>
        <w:t>3</w:t>
      </w:r>
      <w:r w:rsidRPr="00935E45">
        <w:rPr>
          <w:i/>
        </w:rPr>
        <w:tab/>
        <w:t>Distinguishing sign of the State of registration used on motor vehicles and trailers in international road traffic, e.g. in accordance with the Geneva Convention on Road Traffic of 1949 or the Vienna Convention on Road Traffic of 1968.”.</w:t>
      </w:r>
    </w:p>
    <w:p w:rsidR="007973DE" w:rsidRDefault="007973DE" w:rsidP="007973DE">
      <w:pPr>
        <w:pStyle w:val="SingleTxtG"/>
      </w:pPr>
      <w:r w:rsidRPr="0083728C">
        <w:t>5.4.2</w:t>
      </w:r>
      <w:r w:rsidRPr="0083728C">
        <w:tab/>
        <w:t>After the Note, add the following new paragraph:</w:t>
      </w:r>
    </w:p>
    <w:p w:rsidR="007973DE" w:rsidRDefault="007973DE" w:rsidP="007973DE">
      <w:pPr>
        <w:pStyle w:val="SingleTxtG"/>
      </w:pPr>
      <w:r w:rsidRPr="0083728C">
        <w:t>“If the carriage of dangerous goods in a vehicle precedes a voyage by sea, a "container/vehicle packing certificate" conforming to section 5.4.2 of the IMDG Code</w:t>
      </w:r>
      <w:r w:rsidRPr="0083728C">
        <w:rPr>
          <w:b/>
          <w:vertAlign w:val="superscript"/>
        </w:rPr>
        <w:t>5, 6</w:t>
      </w:r>
      <w:r w:rsidRPr="0083728C">
        <w:t xml:space="preserve"> may be provided with the transport document.”.</w:t>
      </w:r>
    </w:p>
    <w:p w:rsidR="007973DE" w:rsidRDefault="007973DE" w:rsidP="007973DE">
      <w:pPr>
        <w:pStyle w:val="SingleTxtG"/>
      </w:pPr>
      <w:r w:rsidRPr="0083728C">
        <w:t>5.4.2</w:t>
      </w:r>
      <w:r w:rsidRPr="0083728C">
        <w:tab/>
        <w:t>At the end of footnote 5, replace “(“IMO/ILO/UNECE Guidelines for Packing of Cargo Transport Units (CTUs)”)” by “(“IMO/ILO/UNECE Code of Practice for Packing of Cargo Transport Units (CTU Code)”)”.</w:t>
      </w:r>
    </w:p>
    <w:p w:rsidR="007973DE" w:rsidRPr="0083728C" w:rsidRDefault="007973DE" w:rsidP="007973DE">
      <w:pPr>
        <w:pStyle w:val="SingleTxtG"/>
      </w:pPr>
      <w:r w:rsidRPr="0083728C">
        <w:t>5.4.2</w:t>
      </w:r>
      <w:r w:rsidRPr="0083728C">
        <w:tab/>
        <w:t>In footnote 6:</w:t>
      </w:r>
    </w:p>
    <w:p w:rsidR="007973DE" w:rsidRPr="0083728C" w:rsidRDefault="007973DE" w:rsidP="007973DE">
      <w:pPr>
        <w:pStyle w:val="SingleTxtG"/>
        <w:ind w:left="1701"/>
      </w:pPr>
      <w:r w:rsidRPr="0083728C">
        <w:t>-</w:t>
      </w:r>
      <w:r w:rsidRPr="0083728C">
        <w:tab/>
        <w:t>At the beginning, after “IMDG Code”, add “(Amendment 38-16)”;</w:t>
      </w:r>
    </w:p>
    <w:p w:rsidR="007973DE" w:rsidRPr="0083728C" w:rsidRDefault="007973DE" w:rsidP="007973DE">
      <w:pPr>
        <w:pStyle w:val="SingleTxtG"/>
        <w:ind w:left="1701"/>
      </w:pPr>
      <w:r w:rsidRPr="0083728C">
        <w:t>-</w:t>
      </w:r>
      <w:r w:rsidRPr="0083728C">
        <w:tab/>
        <w:t xml:space="preserve">In 2, replace “7.2.2.3” by “7.3.4.1”; </w:t>
      </w:r>
    </w:p>
    <w:p w:rsidR="007973DE" w:rsidRPr="0083728C" w:rsidRDefault="007973DE" w:rsidP="007973DE">
      <w:pPr>
        <w:pStyle w:val="SingleTxtG"/>
        <w:ind w:left="1701"/>
      </w:pPr>
      <w:r w:rsidRPr="0083728C">
        <w:t>-</w:t>
      </w:r>
      <w:r w:rsidRPr="0083728C">
        <w:tab/>
        <w:t xml:space="preserve">In 6, replace “in conformity with 7.4.6” by “in accordance with 7.1.2”; </w:t>
      </w:r>
    </w:p>
    <w:p w:rsidR="007973DE" w:rsidRPr="0083728C" w:rsidRDefault="007973DE" w:rsidP="007973DE">
      <w:pPr>
        <w:pStyle w:val="SingleTxtG"/>
        <w:ind w:left="2268" w:hanging="567"/>
      </w:pPr>
      <w:r w:rsidRPr="0083728C">
        <w:t>-</w:t>
      </w:r>
      <w:r w:rsidRPr="0083728C">
        <w:tab/>
        <w:t>In the Note after 5.4.2.1 of the IMDG code, replace “tanks” by “portable tanks”;</w:t>
      </w:r>
    </w:p>
    <w:p w:rsidR="007973DE" w:rsidRDefault="007973DE" w:rsidP="007973DE">
      <w:pPr>
        <w:pStyle w:val="SingleTxtG"/>
        <w:ind w:left="2268" w:hanging="567"/>
      </w:pPr>
      <w:r w:rsidRPr="0083728C">
        <w:t>-</w:t>
      </w:r>
      <w:r w:rsidRPr="0083728C">
        <w:tab/>
        <w:t>In 5.4.2.4 of the IMDG Code, replace “dangerous goods transport document” by “</w:t>
      </w:r>
      <w:r w:rsidRPr="0083728C">
        <w:rPr>
          <w:bCs/>
        </w:rPr>
        <w:t>container/vehicle packing certificate</w:t>
      </w:r>
      <w:r w:rsidRPr="0083728C">
        <w:t>”.</w:t>
      </w:r>
    </w:p>
    <w:p w:rsidR="007973DE" w:rsidRDefault="007973DE" w:rsidP="007973DE">
      <w:pPr>
        <w:pStyle w:val="SingleTxtG"/>
      </w:pPr>
      <w:r w:rsidRPr="0083728C">
        <w:t>5.4.3.4</w:t>
      </w:r>
      <w:r w:rsidRPr="0083728C">
        <w:tab/>
      </w:r>
      <w:r w:rsidRPr="0083728C">
        <w:tab/>
        <w:t>In the model of the instructions in writing, amend the description of the hazards of label 4.1 in column 1 to read as follows: “Flammable solids, self-reactive substances, polymerizing substances and solid desensitized explosives”.</w:t>
      </w:r>
    </w:p>
    <w:p w:rsidR="007973DE" w:rsidRPr="0083728C" w:rsidRDefault="007973DE" w:rsidP="007973DE">
      <w:pPr>
        <w:pStyle w:val="SingleTxtG"/>
      </w:pPr>
      <w:r w:rsidRPr="0083728C">
        <w:t>5.4.3</w:t>
      </w:r>
      <w:r w:rsidRPr="0083728C">
        <w:tab/>
        <w:t>Add the following new paragraph:</w:t>
      </w:r>
    </w:p>
    <w:p w:rsidR="007973DE" w:rsidRDefault="007973DE" w:rsidP="007973DE">
      <w:pPr>
        <w:pStyle w:val="SingleTxtG"/>
      </w:pPr>
      <w:r w:rsidRPr="0083728C">
        <w:t>“5.4.3.5</w:t>
      </w:r>
      <w:r w:rsidRPr="0083728C">
        <w:tab/>
        <w:t>Contracting Parties shall provide the UNECE secre</w:t>
      </w:r>
      <w:bookmarkStart w:id="0" w:name="_GoBack"/>
      <w:bookmarkEnd w:id="0"/>
      <w:r w:rsidRPr="0083728C">
        <w:t>tariat with the official translation of the instructions in writing in their national language(s), in accordance with this section. The UNECE secretariat shall make the national versions of the instructions in writing that it has received available to all Contracting Parties.”.</w:t>
      </w:r>
    </w:p>
    <w:p w:rsidR="007973DE" w:rsidRPr="009F718E" w:rsidRDefault="007973DE" w:rsidP="007973DE">
      <w:pPr>
        <w:pStyle w:val="H23G"/>
      </w:pPr>
      <w:r w:rsidRPr="009F718E">
        <w:tab/>
      </w:r>
      <w:r w:rsidRPr="009F718E">
        <w:tab/>
        <w:t xml:space="preserve">Chapter </w:t>
      </w:r>
      <w:r>
        <w:t>7.2</w:t>
      </w:r>
    </w:p>
    <w:p w:rsidR="007973DE" w:rsidRDefault="007973DE" w:rsidP="007973DE">
      <w:pPr>
        <w:pStyle w:val="SingleTxtG"/>
      </w:pPr>
      <w:r w:rsidRPr="008D062D">
        <w:t>7.2.3.2.1</w:t>
      </w:r>
      <w:r w:rsidRPr="008D062D">
        <w:tab/>
      </w:r>
      <w:r>
        <w:t>In the second sentence, delete “clean and”</w:t>
      </w:r>
      <w:r w:rsidRPr="0070715F">
        <w:t>.</w:t>
      </w:r>
    </w:p>
    <w:p w:rsidR="007973DE" w:rsidRDefault="007973DE" w:rsidP="007973DE">
      <w:pPr>
        <w:pStyle w:val="SingleTxtG"/>
      </w:pPr>
      <w:r>
        <w:t>7.2.4.16.5</w:t>
      </w:r>
      <w:r>
        <w:tab/>
        <w:t>Replace the second sentence by: “Before</w:t>
      </w:r>
      <w:r w:rsidRPr="008D062D">
        <w:t xml:space="preserve"> coupling and </w:t>
      </w:r>
      <w:r>
        <w:t xml:space="preserve">after </w:t>
      </w:r>
      <w:r w:rsidRPr="008D062D">
        <w:t>uncoupling the connections</w:t>
      </w:r>
      <w:r>
        <w:t xml:space="preserve"> and in between if necessary</w:t>
      </w:r>
      <w:r w:rsidRPr="008D062D">
        <w:t>, the receptacles shall be emptied</w:t>
      </w:r>
      <w:r>
        <w:t xml:space="preserve">. </w:t>
      </w:r>
      <w:r w:rsidRPr="008D062D">
        <w:t>These requirements shall not apply to the carriage of substance of Class 2</w:t>
      </w:r>
      <w:r>
        <w:t>.</w:t>
      </w:r>
    </w:p>
    <w:p w:rsidR="007973DE" w:rsidRPr="009F718E" w:rsidRDefault="007973DE" w:rsidP="007973DE">
      <w:pPr>
        <w:pStyle w:val="H23G"/>
      </w:pPr>
      <w:r w:rsidRPr="009F718E">
        <w:tab/>
      </w:r>
      <w:r w:rsidRPr="009F718E">
        <w:tab/>
        <w:t>Chapter 8.6</w:t>
      </w:r>
    </w:p>
    <w:p w:rsidR="007973DE" w:rsidRDefault="007973DE" w:rsidP="007973DE">
      <w:pPr>
        <w:pStyle w:val="SingleTxtG"/>
      </w:pPr>
      <w:r w:rsidRPr="00033EAD">
        <w:t>8.6.3</w:t>
      </w:r>
      <w:r>
        <w:t>, question 8</w:t>
      </w:r>
      <w:r>
        <w:tab/>
        <w:t>Amend the end to read as follows: “…which are in use and are they empty?”.</w:t>
      </w:r>
    </w:p>
    <w:p w:rsidR="007973DE" w:rsidRPr="009F718E" w:rsidRDefault="007973DE" w:rsidP="007973DE">
      <w:pPr>
        <w:pStyle w:val="SingleTxtG"/>
      </w:pPr>
      <w:r w:rsidRPr="00A6066C">
        <w:t>8.6.3</w:t>
      </w:r>
      <w:r w:rsidRPr="00A6066C">
        <w:tab/>
        <w:t>In question 14, fourth indent, delete “, cooking and cooling”. Delete the fifth indent that reads: “</w:t>
      </w:r>
      <w:r w:rsidRPr="009F718E">
        <w:rPr>
          <w:bCs/>
        </w:rPr>
        <w:t>Are liquefied gas installations for domestic use cut off using the main stop valve?</w:t>
      </w:r>
      <w:r w:rsidRPr="009F718E">
        <w:t>”.</w:t>
      </w:r>
    </w:p>
    <w:p w:rsidR="007973DE" w:rsidRPr="00476385" w:rsidRDefault="007973DE" w:rsidP="007973DE">
      <w:pPr>
        <w:pStyle w:val="H23G"/>
      </w:pPr>
      <w:r w:rsidRPr="00A6066C">
        <w:lastRenderedPageBreak/>
        <w:tab/>
      </w:r>
      <w:r w:rsidRPr="00A6066C">
        <w:tab/>
        <w:t xml:space="preserve">Chapter </w:t>
      </w:r>
      <w:r w:rsidRPr="00085EA4">
        <w:t>9.3</w:t>
      </w:r>
    </w:p>
    <w:p w:rsidR="007973DE" w:rsidRPr="00A3378A" w:rsidRDefault="007973DE" w:rsidP="007973DE">
      <w:pPr>
        <w:pStyle w:val="SingleTxtG"/>
      </w:pPr>
      <w:r w:rsidRPr="00A3378A">
        <w:rPr>
          <w:lang w:val="en-US"/>
        </w:rPr>
        <w:t>9.3.3.21.5 (c)</w:t>
      </w:r>
      <w:r w:rsidRPr="00A3378A">
        <w:rPr>
          <w:lang w:val="en-US"/>
        </w:rPr>
        <w:tab/>
      </w:r>
      <w:r w:rsidRPr="00A3378A">
        <w:rPr>
          <w:lang w:val="en-US"/>
        </w:rPr>
        <w:tab/>
      </w:r>
      <w:r w:rsidRPr="00A3378A">
        <w:t>Replace “EN 12827:1996” by “EN 12827:1999”.</w:t>
      </w:r>
    </w:p>
    <w:p w:rsidR="00A6129C" w:rsidRPr="00180207" w:rsidRDefault="009A4C93" w:rsidP="009A4C93">
      <w:pPr>
        <w:pStyle w:val="SingleTxtG"/>
        <w:spacing w:before="240" w:after="0"/>
        <w:jc w:val="center"/>
        <w:rPr>
          <w:u w:val="single"/>
        </w:rPr>
      </w:pPr>
      <w:r>
        <w:rPr>
          <w:u w:val="single"/>
        </w:rPr>
        <w:tab/>
      </w:r>
      <w:r>
        <w:rPr>
          <w:u w:val="single"/>
        </w:rPr>
        <w:tab/>
      </w:r>
      <w:r>
        <w:rPr>
          <w:u w:val="single"/>
        </w:rPr>
        <w:tab/>
      </w:r>
    </w:p>
    <w:sectPr w:rsidR="00A6129C" w:rsidRPr="00180207" w:rsidSect="00FC02D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FF" w:rsidRDefault="002D6CFF"/>
  </w:endnote>
  <w:endnote w:type="continuationSeparator" w:id="0">
    <w:p w:rsidR="002D6CFF" w:rsidRDefault="002D6CFF"/>
  </w:endnote>
  <w:endnote w:type="continuationNotice" w:id="1">
    <w:p w:rsidR="002D6CFF" w:rsidRDefault="002D6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FF" w:rsidRPr="00A22C7D" w:rsidRDefault="002D6CFF" w:rsidP="00A22C7D">
    <w:pPr>
      <w:pStyle w:val="Footer"/>
      <w:tabs>
        <w:tab w:val="right" w:pos="9638"/>
      </w:tabs>
    </w:pPr>
    <w:r w:rsidRPr="00A22C7D">
      <w:rPr>
        <w:b/>
        <w:sz w:val="18"/>
      </w:rPr>
      <w:fldChar w:fldCharType="begin"/>
    </w:r>
    <w:r w:rsidRPr="00A22C7D">
      <w:rPr>
        <w:b/>
        <w:sz w:val="18"/>
      </w:rPr>
      <w:instrText xml:space="preserve"> PAGE  \* MERGEFORMAT </w:instrText>
    </w:r>
    <w:r w:rsidRPr="00A22C7D">
      <w:rPr>
        <w:b/>
        <w:sz w:val="18"/>
      </w:rPr>
      <w:fldChar w:fldCharType="separate"/>
    </w:r>
    <w:r w:rsidR="00FC02DD">
      <w:rPr>
        <w:b/>
        <w:noProof/>
        <w:sz w:val="18"/>
      </w:rPr>
      <w:t>6</w:t>
    </w:r>
    <w:r w:rsidRPr="00A22C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FF" w:rsidRPr="00A22C7D" w:rsidRDefault="002D6CFF" w:rsidP="00A22C7D">
    <w:pPr>
      <w:pStyle w:val="Footer"/>
      <w:tabs>
        <w:tab w:val="right" w:pos="9638"/>
      </w:tabs>
      <w:rPr>
        <w:b/>
        <w:sz w:val="18"/>
      </w:rPr>
    </w:pPr>
    <w:r>
      <w:tab/>
    </w:r>
    <w:r w:rsidRPr="00A22C7D">
      <w:rPr>
        <w:b/>
        <w:sz w:val="18"/>
      </w:rPr>
      <w:fldChar w:fldCharType="begin"/>
    </w:r>
    <w:r w:rsidRPr="00A22C7D">
      <w:rPr>
        <w:b/>
        <w:sz w:val="18"/>
      </w:rPr>
      <w:instrText xml:space="preserve"> PAGE  \* MERGEFORMAT </w:instrText>
    </w:r>
    <w:r w:rsidRPr="00A22C7D">
      <w:rPr>
        <w:b/>
        <w:sz w:val="18"/>
      </w:rPr>
      <w:fldChar w:fldCharType="separate"/>
    </w:r>
    <w:r w:rsidR="00FC02DD">
      <w:rPr>
        <w:b/>
        <w:noProof/>
        <w:sz w:val="18"/>
      </w:rPr>
      <w:t>5</w:t>
    </w:r>
    <w:r w:rsidRPr="00A22C7D">
      <w:rPr>
        <w:b/>
        <w:sz w:val="18"/>
      </w:rPr>
      <w:fldChar w:fldCharType="end"/>
    </w:r>
  </w:p>
  <w:p w:rsidR="002D6CFF" w:rsidRDefault="002D6C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FF" w:rsidRPr="000B175B" w:rsidRDefault="002D6CFF" w:rsidP="000B175B">
      <w:pPr>
        <w:tabs>
          <w:tab w:val="right" w:pos="2155"/>
        </w:tabs>
        <w:spacing w:after="80"/>
        <w:ind w:left="680"/>
        <w:rPr>
          <w:u w:val="single"/>
        </w:rPr>
      </w:pPr>
      <w:r>
        <w:rPr>
          <w:u w:val="single"/>
        </w:rPr>
        <w:tab/>
      </w:r>
    </w:p>
  </w:footnote>
  <w:footnote w:type="continuationSeparator" w:id="0">
    <w:p w:rsidR="002D6CFF" w:rsidRPr="00FC68B7" w:rsidRDefault="002D6CFF" w:rsidP="00FC68B7">
      <w:pPr>
        <w:tabs>
          <w:tab w:val="left" w:pos="2155"/>
        </w:tabs>
        <w:spacing w:after="80"/>
        <w:ind w:left="680"/>
        <w:rPr>
          <w:u w:val="single"/>
        </w:rPr>
      </w:pPr>
      <w:r>
        <w:rPr>
          <w:u w:val="single"/>
        </w:rPr>
        <w:tab/>
      </w:r>
    </w:p>
  </w:footnote>
  <w:footnote w:type="continuationNotice" w:id="1">
    <w:p w:rsidR="002D6CFF" w:rsidRDefault="002D6CFF"/>
  </w:footnote>
  <w:footnote w:id="2">
    <w:p w:rsidR="002D6CFF" w:rsidRPr="00AD42FB" w:rsidRDefault="002D6CFF" w:rsidP="0005740D">
      <w:pPr>
        <w:pStyle w:val="FootnoteText"/>
      </w:pPr>
      <w:r>
        <w:tab/>
      </w:r>
      <w:r>
        <w:rPr>
          <w:rStyle w:val="FootnoteReference"/>
        </w:rPr>
        <w:footnoteRef/>
      </w:r>
      <w:r>
        <w:t xml:space="preserve"> </w:t>
      </w:r>
      <w:r>
        <w:tab/>
      </w:r>
      <w:r w:rsidRPr="00AD42FB">
        <w:t>Distributed in German by the Central Commission for the Navigation of the Rhine under the symbol CCNR/ZKR/ADN/</w:t>
      </w:r>
      <w:r>
        <w:t>36</w:t>
      </w:r>
      <w:r w:rsidR="007973DE">
        <w:t>/Add.1</w:t>
      </w:r>
      <w:r w:rsidRPr="00AD42F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FF" w:rsidRPr="00A22C7D" w:rsidRDefault="002D6CFF" w:rsidP="00A22C7D">
    <w:pPr>
      <w:pStyle w:val="Header"/>
    </w:pPr>
    <w:r>
      <w:t>ECE/ADN/36</w:t>
    </w:r>
    <w:r w:rsidR="007973DE">
      <w:t>/Add.1</w:t>
    </w:r>
  </w:p>
  <w:p w:rsidR="002D6CFF" w:rsidRDefault="002D6C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FF" w:rsidRPr="00A22C7D" w:rsidRDefault="002D6CFF" w:rsidP="00A22C7D">
    <w:pPr>
      <w:pStyle w:val="Header"/>
      <w:jc w:val="right"/>
    </w:pPr>
    <w:r>
      <w:t>ECE/ADN/36</w:t>
    </w:r>
    <w:r w:rsidR="007973DE">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DC21C4"/>
    <w:multiLevelType w:val="hybridMultilevel"/>
    <w:tmpl w:val="31D4E00A"/>
    <w:lvl w:ilvl="0" w:tplc="3D0A30B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FB5013"/>
    <w:multiLevelType w:val="hybridMultilevel"/>
    <w:tmpl w:val="3D3C7404"/>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17580E"/>
    <w:multiLevelType w:val="hybridMultilevel"/>
    <w:tmpl w:val="711A635E"/>
    <w:lvl w:ilvl="0" w:tplc="4896FDB4">
      <w:start w:val="1"/>
      <w:numFmt w:val="upperLetter"/>
      <w:lvlText w:val="%1."/>
      <w:lvlJc w:val="left"/>
      <w:pPr>
        <w:ind w:left="1215" w:hanging="855"/>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2C1697"/>
    <w:multiLevelType w:val="hybridMultilevel"/>
    <w:tmpl w:val="BA7A8CC4"/>
    <w:lvl w:ilvl="0" w:tplc="828CD21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4" w15:restartNumberingAfterBreak="0">
    <w:nsid w:val="37F14BA9"/>
    <w:multiLevelType w:val="hybridMultilevel"/>
    <w:tmpl w:val="A4340C8C"/>
    <w:lvl w:ilvl="0" w:tplc="0874C346">
      <w:start w:val="1"/>
      <w:numFmt w:val="lowerRoman"/>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6" w15:restartNumberingAfterBreak="0">
    <w:nsid w:val="3E602ABD"/>
    <w:multiLevelType w:val="hybridMultilevel"/>
    <w:tmpl w:val="A9E062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10A6905"/>
    <w:multiLevelType w:val="hybridMultilevel"/>
    <w:tmpl w:val="02027A00"/>
    <w:lvl w:ilvl="0" w:tplc="B23651C2">
      <w:start w:val="1"/>
      <w:numFmt w:val="lowerLetter"/>
      <w:lvlText w:val="(%1)"/>
      <w:lvlJc w:val="left"/>
      <w:pPr>
        <w:ind w:left="1217" w:hanging="360"/>
      </w:pPr>
      <w:rPr>
        <w:rFonts w:hint="default"/>
      </w:rPr>
    </w:lvl>
    <w:lvl w:ilvl="1" w:tplc="04100019" w:tentative="1">
      <w:start w:val="1"/>
      <w:numFmt w:val="lowerLetter"/>
      <w:lvlText w:val="%2."/>
      <w:lvlJc w:val="left"/>
      <w:pPr>
        <w:ind w:left="1937" w:hanging="360"/>
      </w:pPr>
    </w:lvl>
    <w:lvl w:ilvl="2" w:tplc="0410001B" w:tentative="1">
      <w:start w:val="1"/>
      <w:numFmt w:val="lowerRoman"/>
      <w:lvlText w:val="%3."/>
      <w:lvlJc w:val="right"/>
      <w:pPr>
        <w:ind w:left="2657" w:hanging="180"/>
      </w:pPr>
    </w:lvl>
    <w:lvl w:ilvl="3" w:tplc="0410000F" w:tentative="1">
      <w:start w:val="1"/>
      <w:numFmt w:val="decimal"/>
      <w:lvlText w:val="%4."/>
      <w:lvlJc w:val="left"/>
      <w:pPr>
        <w:ind w:left="3377" w:hanging="360"/>
      </w:pPr>
    </w:lvl>
    <w:lvl w:ilvl="4" w:tplc="04100019" w:tentative="1">
      <w:start w:val="1"/>
      <w:numFmt w:val="lowerLetter"/>
      <w:lvlText w:val="%5."/>
      <w:lvlJc w:val="left"/>
      <w:pPr>
        <w:ind w:left="4097" w:hanging="360"/>
      </w:pPr>
    </w:lvl>
    <w:lvl w:ilvl="5" w:tplc="0410001B" w:tentative="1">
      <w:start w:val="1"/>
      <w:numFmt w:val="lowerRoman"/>
      <w:lvlText w:val="%6."/>
      <w:lvlJc w:val="right"/>
      <w:pPr>
        <w:ind w:left="4817" w:hanging="180"/>
      </w:pPr>
    </w:lvl>
    <w:lvl w:ilvl="6" w:tplc="0410000F" w:tentative="1">
      <w:start w:val="1"/>
      <w:numFmt w:val="decimal"/>
      <w:lvlText w:val="%7."/>
      <w:lvlJc w:val="left"/>
      <w:pPr>
        <w:ind w:left="5537" w:hanging="360"/>
      </w:pPr>
    </w:lvl>
    <w:lvl w:ilvl="7" w:tplc="04100019" w:tentative="1">
      <w:start w:val="1"/>
      <w:numFmt w:val="lowerLetter"/>
      <w:lvlText w:val="%8."/>
      <w:lvlJc w:val="left"/>
      <w:pPr>
        <w:ind w:left="6257" w:hanging="360"/>
      </w:pPr>
    </w:lvl>
    <w:lvl w:ilvl="8" w:tplc="0410001B" w:tentative="1">
      <w:start w:val="1"/>
      <w:numFmt w:val="lowerRoman"/>
      <w:lvlText w:val="%9."/>
      <w:lvlJc w:val="right"/>
      <w:pPr>
        <w:ind w:left="6977" w:hanging="180"/>
      </w:pPr>
    </w:lvl>
  </w:abstractNum>
  <w:abstractNum w:abstractNumId="28" w15:restartNumberingAfterBreak="0">
    <w:nsid w:val="4B9E37F6"/>
    <w:multiLevelType w:val="hybridMultilevel"/>
    <w:tmpl w:val="DA9AC950"/>
    <w:lvl w:ilvl="0" w:tplc="56D49D6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D5338E1"/>
    <w:multiLevelType w:val="hybridMultilevel"/>
    <w:tmpl w:val="1F64BC18"/>
    <w:lvl w:ilvl="0" w:tplc="D2963C00">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0" w15:restartNumberingAfterBreak="0">
    <w:nsid w:val="515861BE"/>
    <w:multiLevelType w:val="hybridMultilevel"/>
    <w:tmpl w:val="058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B881C1E"/>
    <w:multiLevelType w:val="hybridMultilevel"/>
    <w:tmpl w:val="DA103D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38"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39" w15:restartNumberingAfterBreak="0">
    <w:nsid w:val="70A536B0"/>
    <w:multiLevelType w:val="hybridMultilevel"/>
    <w:tmpl w:val="DAFA64FE"/>
    <w:lvl w:ilvl="0" w:tplc="B3205F2E">
      <w:start w:val="1"/>
      <w:numFmt w:val="upperLetter"/>
      <w:lvlText w:val="%1."/>
      <w:lvlJc w:val="left"/>
      <w:pPr>
        <w:ind w:left="1215" w:hanging="855"/>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33555"/>
    <w:multiLevelType w:val="hybridMultilevel"/>
    <w:tmpl w:val="64CA2D1A"/>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B2932D2"/>
    <w:multiLevelType w:val="hybridMultilevel"/>
    <w:tmpl w:val="15F4804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B647C20"/>
    <w:multiLevelType w:val="hybridMultilevel"/>
    <w:tmpl w:val="F88CCB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A42B1F"/>
    <w:multiLevelType w:val="hybridMultilevel"/>
    <w:tmpl w:val="3DB82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6" w15:restartNumberingAfterBreak="0">
    <w:nsid w:val="7FA41A31"/>
    <w:multiLevelType w:val="hybridMultilevel"/>
    <w:tmpl w:val="4E06A6E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40"/>
  </w:num>
  <w:num w:numId="16">
    <w:abstractNumId w:val="17"/>
  </w:num>
  <w:num w:numId="17">
    <w:abstractNumId w:val="11"/>
  </w:num>
  <w:num w:numId="18">
    <w:abstractNumId w:val="34"/>
  </w:num>
  <w:num w:numId="19">
    <w:abstractNumId w:val="21"/>
  </w:num>
  <w:num w:numId="20">
    <w:abstractNumId w:val="38"/>
  </w:num>
  <w:num w:numId="21">
    <w:abstractNumId w:val="27"/>
  </w:num>
  <w:num w:numId="22">
    <w:abstractNumId w:val="20"/>
  </w:num>
  <w:num w:numId="23">
    <w:abstractNumId w:val="13"/>
  </w:num>
  <w:num w:numId="24">
    <w:abstractNumId w:val="24"/>
  </w:num>
  <w:num w:numId="25">
    <w:abstractNumId w:val="14"/>
  </w:num>
  <w:num w:numId="26">
    <w:abstractNumId w:val="45"/>
  </w:num>
  <w:num w:numId="27">
    <w:abstractNumId w:val="10"/>
  </w:num>
  <w:num w:numId="28">
    <w:abstractNumId w:val="28"/>
  </w:num>
  <w:num w:numId="29">
    <w:abstractNumId w:val="46"/>
  </w:num>
  <w:num w:numId="30">
    <w:abstractNumId w:val="42"/>
  </w:num>
  <w:num w:numId="31">
    <w:abstractNumId w:val="44"/>
  </w:num>
  <w:num w:numId="32">
    <w:abstractNumId w:val="23"/>
  </w:num>
  <w:num w:numId="33">
    <w:abstractNumId w:val="32"/>
  </w:num>
  <w:num w:numId="34">
    <w:abstractNumId w:val="25"/>
  </w:num>
  <w:num w:numId="35">
    <w:abstractNumId w:val="26"/>
  </w:num>
  <w:num w:numId="36">
    <w:abstractNumId w:val="41"/>
  </w:num>
  <w:num w:numId="37">
    <w:abstractNumId w:val="30"/>
  </w:num>
  <w:num w:numId="38">
    <w:abstractNumId w:val="36"/>
  </w:num>
  <w:num w:numId="39">
    <w:abstractNumId w:val="43"/>
  </w:num>
  <w:num w:numId="40">
    <w:abstractNumId w:val="39"/>
  </w:num>
  <w:num w:numId="41">
    <w:abstractNumId w:val="19"/>
  </w:num>
  <w:num w:numId="42">
    <w:abstractNumId w:val="29"/>
  </w:num>
  <w:num w:numId="43">
    <w:abstractNumId w:val="22"/>
  </w:num>
  <w:num w:numId="44">
    <w:abstractNumId w:val="18"/>
  </w:num>
  <w:num w:numId="45">
    <w:abstractNumId w:val="15"/>
  </w:num>
  <w:num w:numId="46">
    <w:abstractNumId w:val="3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6C"/>
    <w:rsid w:val="00000986"/>
    <w:rsid w:val="0000386D"/>
    <w:rsid w:val="00003B13"/>
    <w:rsid w:val="0000465F"/>
    <w:rsid w:val="0000532D"/>
    <w:rsid w:val="00007188"/>
    <w:rsid w:val="000076E9"/>
    <w:rsid w:val="00014345"/>
    <w:rsid w:val="0001463B"/>
    <w:rsid w:val="00014759"/>
    <w:rsid w:val="00015C4D"/>
    <w:rsid w:val="00015E59"/>
    <w:rsid w:val="000160C7"/>
    <w:rsid w:val="00017465"/>
    <w:rsid w:val="00021095"/>
    <w:rsid w:val="000218F4"/>
    <w:rsid w:val="000268E9"/>
    <w:rsid w:val="00027371"/>
    <w:rsid w:val="00033207"/>
    <w:rsid w:val="000358CA"/>
    <w:rsid w:val="000361B4"/>
    <w:rsid w:val="00037696"/>
    <w:rsid w:val="00037A98"/>
    <w:rsid w:val="00040833"/>
    <w:rsid w:val="000413DD"/>
    <w:rsid w:val="00041FC4"/>
    <w:rsid w:val="000436BB"/>
    <w:rsid w:val="00043DD6"/>
    <w:rsid w:val="00046306"/>
    <w:rsid w:val="00046B1F"/>
    <w:rsid w:val="0005023D"/>
    <w:rsid w:val="00050F6B"/>
    <w:rsid w:val="00057072"/>
    <w:rsid w:val="0005740D"/>
    <w:rsid w:val="00057E97"/>
    <w:rsid w:val="0006177D"/>
    <w:rsid w:val="00064013"/>
    <w:rsid w:val="000646F4"/>
    <w:rsid w:val="00067B27"/>
    <w:rsid w:val="00072C8C"/>
    <w:rsid w:val="000733B5"/>
    <w:rsid w:val="00081815"/>
    <w:rsid w:val="00082B41"/>
    <w:rsid w:val="0008789E"/>
    <w:rsid w:val="00087B16"/>
    <w:rsid w:val="000931C0"/>
    <w:rsid w:val="00094DCD"/>
    <w:rsid w:val="0009722E"/>
    <w:rsid w:val="000A64F9"/>
    <w:rsid w:val="000A776B"/>
    <w:rsid w:val="000B0595"/>
    <w:rsid w:val="000B1453"/>
    <w:rsid w:val="000B175B"/>
    <w:rsid w:val="000B3A0F"/>
    <w:rsid w:val="000B4EF7"/>
    <w:rsid w:val="000C12CE"/>
    <w:rsid w:val="000C2C03"/>
    <w:rsid w:val="000C2D2E"/>
    <w:rsid w:val="000C3945"/>
    <w:rsid w:val="000C4FBB"/>
    <w:rsid w:val="000C788C"/>
    <w:rsid w:val="000D367A"/>
    <w:rsid w:val="000D5619"/>
    <w:rsid w:val="000D6E29"/>
    <w:rsid w:val="000E0415"/>
    <w:rsid w:val="000E08A5"/>
    <w:rsid w:val="000E51DC"/>
    <w:rsid w:val="000E6722"/>
    <w:rsid w:val="000F0E7B"/>
    <w:rsid w:val="000F2867"/>
    <w:rsid w:val="000F2FD2"/>
    <w:rsid w:val="00100A6B"/>
    <w:rsid w:val="001014DA"/>
    <w:rsid w:val="00103A8D"/>
    <w:rsid w:val="00107F41"/>
    <w:rsid w:val="001103AA"/>
    <w:rsid w:val="00111B17"/>
    <w:rsid w:val="0011583A"/>
    <w:rsid w:val="0011666B"/>
    <w:rsid w:val="00116E75"/>
    <w:rsid w:val="001235B7"/>
    <w:rsid w:val="001259EC"/>
    <w:rsid w:val="0012704F"/>
    <w:rsid w:val="00134E68"/>
    <w:rsid w:val="00136F10"/>
    <w:rsid w:val="0014074F"/>
    <w:rsid w:val="0014220E"/>
    <w:rsid w:val="0014262E"/>
    <w:rsid w:val="001467FF"/>
    <w:rsid w:val="001516AE"/>
    <w:rsid w:val="00163318"/>
    <w:rsid w:val="00163399"/>
    <w:rsid w:val="00165F3A"/>
    <w:rsid w:val="0017344E"/>
    <w:rsid w:val="00176ACA"/>
    <w:rsid w:val="001777A7"/>
    <w:rsid w:val="00180207"/>
    <w:rsid w:val="001834C1"/>
    <w:rsid w:val="00184753"/>
    <w:rsid w:val="00184F57"/>
    <w:rsid w:val="00186F75"/>
    <w:rsid w:val="00196330"/>
    <w:rsid w:val="001972A5"/>
    <w:rsid w:val="00197FCD"/>
    <w:rsid w:val="001B4ABF"/>
    <w:rsid w:val="001B4B04"/>
    <w:rsid w:val="001C6663"/>
    <w:rsid w:val="001C7895"/>
    <w:rsid w:val="001D0C8C"/>
    <w:rsid w:val="001D1419"/>
    <w:rsid w:val="001D26DF"/>
    <w:rsid w:val="001D3257"/>
    <w:rsid w:val="001D3A03"/>
    <w:rsid w:val="001D3BEC"/>
    <w:rsid w:val="001D530D"/>
    <w:rsid w:val="001E1B1D"/>
    <w:rsid w:val="001E3592"/>
    <w:rsid w:val="001E3F04"/>
    <w:rsid w:val="001E435C"/>
    <w:rsid w:val="001E57E8"/>
    <w:rsid w:val="001E6814"/>
    <w:rsid w:val="001E7B67"/>
    <w:rsid w:val="001F0282"/>
    <w:rsid w:val="001F343F"/>
    <w:rsid w:val="001F6D4B"/>
    <w:rsid w:val="001F6DF9"/>
    <w:rsid w:val="001F7397"/>
    <w:rsid w:val="00200A1F"/>
    <w:rsid w:val="00202DA8"/>
    <w:rsid w:val="0020723E"/>
    <w:rsid w:val="00207D53"/>
    <w:rsid w:val="0021125F"/>
    <w:rsid w:val="00211E0B"/>
    <w:rsid w:val="00212EC2"/>
    <w:rsid w:val="002248AB"/>
    <w:rsid w:val="00224B06"/>
    <w:rsid w:val="0022692A"/>
    <w:rsid w:val="00231535"/>
    <w:rsid w:val="002324B3"/>
    <w:rsid w:val="0023319D"/>
    <w:rsid w:val="00237E67"/>
    <w:rsid w:val="00240E4B"/>
    <w:rsid w:val="00242B11"/>
    <w:rsid w:val="0024772E"/>
    <w:rsid w:val="00267F5F"/>
    <w:rsid w:val="00272902"/>
    <w:rsid w:val="002766FC"/>
    <w:rsid w:val="00277C4D"/>
    <w:rsid w:val="0028025A"/>
    <w:rsid w:val="002815EE"/>
    <w:rsid w:val="00285A4C"/>
    <w:rsid w:val="00286B4D"/>
    <w:rsid w:val="00286E78"/>
    <w:rsid w:val="00291714"/>
    <w:rsid w:val="00292D0D"/>
    <w:rsid w:val="002A01BE"/>
    <w:rsid w:val="002A03F0"/>
    <w:rsid w:val="002A3DD7"/>
    <w:rsid w:val="002A555E"/>
    <w:rsid w:val="002B1A0F"/>
    <w:rsid w:val="002B49E9"/>
    <w:rsid w:val="002B6904"/>
    <w:rsid w:val="002B6FAF"/>
    <w:rsid w:val="002B7051"/>
    <w:rsid w:val="002C065F"/>
    <w:rsid w:val="002C31D7"/>
    <w:rsid w:val="002C3CB0"/>
    <w:rsid w:val="002C4B44"/>
    <w:rsid w:val="002D4643"/>
    <w:rsid w:val="002D545F"/>
    <w:rsid w:val="002D6CFF"/>
    <w:rsid w:val="002D7384"/>
    <w:rsid w:val="002E59BC"/>
    <w:rsid w:val="002F0001"/>
    <w:rsid w:val="002F175C"/>
    <w:rsid w:val="002F3443"/>
    <w:rsid w:val="002F4E50"/>
    <w:rsid w:val="002F73E7"/>
    <w:rsid w:val="00302E18"/>
    <w:rsid w:val="003106F0"/>
    <w:rsid w:val="00314772"/>
    <w:rsid w:val="003229D8"/>
    <w:rsid w:val="003244C3"/>
    <w:rsid w:val="0033223D"/>
    <w:rsid w:val="00334FB3"/>
    <w:rsid w:val="00341F32"/>
    <w:rsid w:val="003421F4"/>
    <w:rsid w:val="003515DD"/>
    <w:rsid w:val="00352709"/>
    <w:rsid w:val="003619B5"/>
    <w:rsid w:val="00365763"/>
    <w:rsid w:val="00365A7F"/>
    <w:rsid w:val="00370B07"/>
    <w:rsid w:val="00371178"/>
    <w:rsid w:val="003726E3"/>
    <w:rsid w:val="003804AE"/>
    <w:rsid w:val="0038103E"/>
    <w:rsid w:val="0038273F"/>
    <w:rsid w:val="00384487"/>
    <w:rsid w:val="00386D6E"/>
    <w:rsid w:val="00390BE4"/>
    <w:rsid w:val="00391F3F"/>
    <w:rsid w:val="00392068"/>
    <w:rsid w:val="00392E47"/>
    <w:rsid w:val="00393FAF"/>
    <w:rsid w:val="003A0A59"/>
    <w:rsid w:val="003A1195"/>
    <w:rsid w:val="003A29F5"/>
    <w:rsid w:val="003A6810"/>
    <w:rsid w:val="003A785C"/>
    <w:rsid w:val="003B241B"/>
    <w:rsid w:val="003B72C9"/>
    <w:rsid w:val="003C2CC4"/>
    <w:rsid w:val="003C5200"/>
    <w:rsid w:val="003D1847"/>
    <w:rsid w:val="003D4B23"/>
    <w:rsid w:val="003D54FC"/>
    <w:rsid w:val="003E0E30"/>
    <w:rsid w:val="003E130E"/>
    <w:rsid w:val="003E3732"/>
    <w:rsid w:val="003E5494"/>
    <w:rsid w:val="003F1D52"/>
    <w:rsid w:val="003F7DE1"/>
    <w:rsid w:val="00400C42"/>
    <w:rsid w:val="00410C89"/>
    <w:rsid w:val="00421BC7"/>
    <w:rsid w:val="004225FA"/>
    <w:rsid w:val="00422E03"/>
    <w:rsid w:val="00425BC2"/>
    <w:rsid w:val="00426B9B"/>
    <w:rsid w:val="00427CC3"/>
    <w:rsid w:val="00430B20"/>
    <w:rsid w:val="004325CB"/>
    <w:rsid w:val="00432BEA"/>
    <w:rsid w:val="00435993"/>
    <w:rsid w:val="00442A83"/>
    <w:rsid w:val="0045495B"/>
    <w:rsid w:val="004561E5"/>
    <w:rsid w:val="00456880"/>
    <w:rsid w:val="00457824"/>
    <w:rsid w:val="00465C65"/>
    <w:rsid w:val="00471C09"/>
    <w:rsid w:val="00474413"/>
    <w:rsid w:val="0048397A"/>
    <w:rsid w:val="00485CBB"/>
    <w:rsid w:val="004866B7"/>
    <w:rsid w:val="00486A3A"/>
    <w:rsid w:val="0049371A"/>
    <w:rsid w:val="00493F2F"/>
    <w:rsid w:val="004A2446"/>
    <w:rsid w:val="004B0C2F"/>
    <w:rsid w:val="004B1B23"/>
    <w:rsid w:val="004B4F17"/>
    <w:rsid w:val="004C16F1"/>
    <w:rsid w:val="004C1E97"/>
    <w:rsid w:val="004C2461"/>
    <w:rsid w:val="004C7462"/>
    <w:rsid w:val="004D2D48"/>
    <w:rsid w:val="004D4D16"/>
    <w:rsid w:val="004D56DC"/>
    <w:rsid w:val="004E334F"/>
    <w:rsid w:val="004E77B2"/>
    <w:rsid w:val="004F28C1"/>
    <w:rsid w:val="00504933"/>
    <w:rsid w:val="00504B2D"/>
    <w:rsid w:val="00507397"/>
    <w:rsid w:val="005103D4"/>
    <w:rsid w:val="005136E2"/>
    <w:rsid w:val="0052136D"/>
    <w:rsid w:val="00522591"/>
    <w:rsid w:val="0052775E"/>
    <w:rsid w:val="0054033D"/>
    <w:rsid w:val="005420F2"/>
    <w:rsid w:val="00552D8A"/>
    <w:rsid w:val="00553050"/>
    <w:rsid w:val="005536F5"/>
    <w:rsid w:val="00554D2F"/>
    <w:rsid w:val="00560272"/>
    <w:rsid w:val="00561474"/>
    <w:rsid w:val="005628B6"/>
    <w:rsid w:val="005633CD"/>
    <w:rsid w:val="00566275"/>
    <w:rsid w:val="0057420F"/>
    <w:rsid w:val="0058007B"/>
    <w:rsid w:val="00585220"/>
    <w:rsid w:val="00587ED5"/>
    <w:rsid w:val="005941EC"/>
    <w:rsid w:val="00596211"/>
    <w:rsid w:val="0059724D"/>
    <w:rsid w:val="005A65DE"/>
    <w:rsid w:val="005B2E01"/>
    <w:rsid w:val="005B3DB3"/>
    <w:rsid w:val="005B4250"/>
    <w:rsid w:val="005B4E13"/>
    <w:rsid w:val="005B4E61"/>
    <w:rsid w:val="005B738B"/>
    <w:rsid w:val="005C1C87"/>
    <w:rsid w:val="005C342F"/>
    <w:rsid w:val="005C4BE3"/>
    <w:rsid w:val="005D13B5"/>
    <w:rsid w:val="005D524A"/>
    <w:rsid w:val="005D5E2A"/>
    <w:rsid w:val="005D7248"/>
    <w:rsid w:val="005E40B9"/>
    <w:rsid w:val="005E5C2B"/>
    <w:rsid w:val="005E6CA7"/>
    <w:rsid w:val="005F2530"/>
    <w:rsid w:val="005F62AD"/>
    <w:rsid w:val="005F6A3B"/>
    <w:rsid w:val="005F7B75"/>
    <w:rsid w:val="006001EE"/>
    <w:rsid w:val="00600DC0"/>
    <w:rsid w:val="00601066"/>
    <w:rsid w:val="00601E56"/>
    <w:rsid w:val="006027EE"/>
    <w:rsid w:val="00603D61"/>
    <w:rsid w:val="00605042"/>
    <w:rsid w:val="00611FC4"/>
    <w:rsid w:val="00613E47"/>
    <w:rsid w:val="00614EA7"/>
    <w:rsid w:val="00615107"/>
    <w:rsid w:val="00616DB0"/>
    <w:rsid w:val="00616EC7"/>
    <w:rsid w:val="006170C1"/>
    <w:rsid w:val="00617102"/>
    <w:rsid w:val="006176FB"/>
    <w:rsid w:val="00631448"/>
    <w:rsid w:val="00635568"/>
    <w:rsid w:val="00640B26"/>
    <w:rsid w:val="0064603C"/>
    <w:rsid w:val="006501A6"/>
    <w:rsid w:val="00652D0A"/>
    <w:rsid w:val="00652F6D"/>
    <w:rsid w:val="006534CB"/>
    <w:rsid w:val="006535BB"/>
    <w:rsid w:val="00653F62"/>
    <w:rsid w:val="00662104"/>
    <w:rsid w:val="00662BB6"/>
    <w:rsid w:val="00663FDF"/>
    <w:rsid w:val="00671F43"/>
    <w:rsid w:val="00676516"/>
    <w:rsid w:val="00676606"/>
    <w:rsid w:val="00676D8D"/>
    <w:rsid w:val="006810A6"/>
    <w:rsid w:val="00681AF3"/>
    <w:rsid w:val="00683525"/>
    <w:rsid w:val="00684C21"/>
    <w:rsid w:val="00686809"/>
    <w:rsid w:val="00692511"/>
    <w:rsid w:val="006A16DE"/>
    <w:rsid w:val="006A1A2A"/>
    <w:rsid w:val="006A2530"/>
    <w:rsid w:val="006A2C79"/>
    <w:rsid w:val="006A65F5"/>
    <w:rsid w:val="006A667B"/>
    <w:rsid w:val="006A7BB6"/>
    <w:rsid w:val="006B041A"/>
    <w:rsid w:val="006B16A0"/>
    <w:rsid w:val="006B54C1"/>
    <w:rsid w:val="006C00C1"/>
    <w:rsid w:val="006C3589"/>
    <w:rsid w:val="006D37AF"/>
    <w:rsid w:val="006D3B36"/>
    <w:rsid w:val="006D3BF6"/>
    <w:rsid w:val="006D51D0"/>
    <w:rsid w:val="006D5FB9"/>
    <w:rsid w:val="006E564B"/>
    <w:rsid w:val="006E56AD"/>
    <w:rsid w:val="006E5ED8"/>
    <w:rsid w:val="006E7191"/>
    <w:rsid w:val="006F1584"/>
    <w:rsid w:val="006F358B"/>
    <w:rsid w:val="006F44ED"/>
    <w:rsid w:val="0070086E"/>
    <w:rsid w:val="00702B68"/>
    <w:rsid w:val="00703577"/>
    <w:rsid w:val="00705894"/>
    <w:rsid w:val="0071375D"/>
    <w:rsid w:val="007138C6"/>
    <w:rsid w:val="0071775C"/>
    <w:rsid w:val="00721766"/>
    <w:rsid w:val="00725BA5"/>
    <w:rsid w:val="0072632A"/>
    <w:rsid w:val="00727588"/>
    <w:rsid w:val="00727951"/>
    <w:rsid w:val="00731189"/>
    <w:rsid w:val="007327D5"/>
    <w:rsid w:val="00732F48"/>
    <w:rsid w:val="00733C1E"/>
    <w:rsid w:val="0073504B"/>
    <w:rsid w:val="007448AF"/>
    <w:rsid w:val="00753F0A"/>
    <w:rsid w:val="0075432C"/>
    <w:rsid w:val="00755036"/>
    <w:rsid w:val="0075523B"/>
    <w:rsid w:val="00756ECD"/>
    <w:rsid w:val="0075761D"/>
    <w:rsid w:val="007629C8"/>
    <w:rsid w:val="00766F23"/>
    <w:rsid w:val="0077047D"/>
    <w:rsid w:val="00770686"/>
    <w:rsid w:val="00773A8B"/>
    <w:rsid w:val="00780BCA"/>
    <w:rsid w:val="00781C9B"/>
    <w:rsid w:val="007835AB"/>
    <w:rsid w:val="00785AF1"/>
    <w:rsid w:val="00790C9D"/>
    <w:rsid w:val="007973DE"/>
    <w:rsid w:val="007A5F56"/>
    <w:rsid w:val="007A7EE2"/>
    <w:rsid w:val="007B49B2"/>
    <w:rsid w:val="007B6BA5"/>
    <w:rsid w:val="007B74C6"/>
    <w:rsid w:val="007C3390"/>
    <w:rsid w:val="007C4F4B"/>
    <w:rsid w:val="007D5620"/>
    <w:rsid w:val="007D7FBE"/>
    <w:rsid w:val="007E01E9"/>
    <w:rsid w:val="007E0DD8"/>
    <w:rsid w:val="007E5989"/>
    <w:rsid w:val="007E63F3"/>
    <w:rsid w:val="007E7A15"/>
    <w:rsid w:val="007F6611"/>
    <w:rsid w:val="007F79D0"/>
    <w:rsid w:val="007F7CF9"/>
    <w:rsid w:val="0080424C"/>
    <w:rsid w:val="00804DAC"/>
    <w:rsid w:val="008105BE"/>
    <w:rsid w:val="00811920"/>
    <w:rsid w:val="00812FB3"/>
    <w:rsid w:val="00815AD0"/>
    <w:rsid w:val="008203AE"/>
    <w:rsid w:val="0082054C"/>
    <w:rsid w:val="00821421"/>
    <w:rsid w:val="00821931"/>
    <w:rsid w:val="008228A5"/>
    <w:rsid w:val="008242D7"/>
    <w:rsid w:val="00824B51"/>
    <w:rsid w:val="008257B1"/>
    <w:rsid w:val="00830EB6"/>
    <w:rsid w:val="00832334"/>
    <w:rsid w:val="0083293E"/>
    <w:rsid w:val="00835E6E"/>
    <w:rsid w:val="008400C9"/>
    <w:rsid w:val="00843767"/>
    <w:rsid w:val="00844353"/>
    <w:rsid w:val="008512A8"/>
    <w:rsid w:val="00852453"/>
    <w:rsid w:val="00854533"/>
    <w:rsid w:val="008557BE"/>
    <w:rsid w:val="00865A78"/>
    <w:rsid w:val="008679D9"/>
    <w:rsid w:val="00871566"/>
    <w:rsid w:val="00874839"/>
    <w:rsid w:val="00877454"/>
    <w:rsid w:val="00886E3C"/>
    <w:rsid w:val="0088716C"/>
    <w:rsid w:val="00887678"/>
    <w:rsid w:val="008878DE"/>
    <w:rsid w:val="00890ECA"/>
    <w:rsid w:val="0089531F"/>
    <w:rsid w:val="008969AE"/>
    <w:rsid w:val="00896C7C"/>
    <w:rsid w:val="008979B1"/>
    <w:rsid w:val="00897D09"/>
    <w:rsid w:val="008A3ED2"/>
    <w:rsid w:val="008A6B25"/>
    <w:rsid w:val="008A6C4F"/>
    <w:rsid w:val="008A700E"/>
    <w:rsid w:val="008B19F2"/>
    <w:rsid w:val="008B2335"/>
    <w:rsid w:val="008B2802"/>
    <w:rsid w:val="008B2E6F"/>
    <w:rsid w:val="008D1EA9"/>
    <w:rsid w:val="008D4156"/>
    <w:rsid w:val="008D7693"/>
    <w:rsid w:val="008E0678"/>
    <w:rsid w:val="008E22EE"/>
    <w:rsid w:val="008F31D2"/>
    <w:rsid w:val="008F443D"/>
    <w:rsid w:val="00902C6D"/>
    <w:rsid w:val="00904D4B"/>
    <w:rsid w:val="00905186"/>
    <w:rsid w:val="00911252"/>
    <w:rsid w:val="009168D7"/>
    <w:rsid w:val="00917FDE"/>
    <w:rsid w:val="009223CA"/>
    <w:rsid w:val="00922C41"/>
    <w:rsid w:val="00927FDC"/>
    <w:rsid w:val="009335C9"/>
    <w:rsid w:val="00940F93"/>
    <w:rsid w:val="009431A3"/>
    <w:rsid w:val="00944DDF"/>
    <w:rsid w:val="00946293"/>
    <w:rsid w:val="00947CD8"/>
    <w:rsid w:val="00950DF8"/>
    <w:rsid w:val="00954520"/>
    <w:rsid w:val="00954DA4"/>
    <w:rsid w:val="00955343"/>
    <w:rsid w:val="00960D2C"/>
    <w:rsid w:val="00963091"/>
    <w:rsid w:val="00966C0C"/>
    <w:rsid w:val="009703A3"/>
    <w:rsid w:val="009760F3"/>
    <w:rsid w:val="00976CFB"/>
    <w:rsid w:val="009828A3"/>
    <w:rsid w:val="00986EF4"/>
    <w:rsid w:val="00987B9D"/>
    <w:rsid w:val="00994D4E"/>
    <w:rsid w:val="00994F48"/>
    <w:rsid w:val="00997E1C"/>
    <w:rsid w:val="009A0830"/>
    <w:rsid w:val="009A0E8D"/>
    <w:rsid w:val="009A1DED"/>
    <w:rsid w:val="009A3259"/>
    <w:rsid w:val="009A4C93"/>
    <w:rsid w:val="009A6D27"/>
    <w:rsid w:val="009B26E7"/>
    <w:rsid w:val="009B5FDD"/>
    <w:rsid w:val="009B6D49"/>
    <w:rsid w:val="009C3B06"/>
    <w:rsid w:val="009C4290"/>
    <w:rsid w:val="009D1881"/>
    <w:rsid w:val="009D672F"/>
    <w:rsid w:val="009D7A5A"/>
    <w:rsid w:val="009E0145"/>
    <w:rsid w:val="009E09B0"/>
    <w:rsid w:val="009E101C"/>
    <w:rsid w:val="009E49CF"/>
    <w:rsid w:val="009E755D"/>
    <w:rsid w:val="00A00697"/>
    <w:rsid w:val="00A00A3F"/>
    <w:rsid w:val="00A01489"/>
    <w:rsid w:val="00A03BCD"/>
    <w:rsid w:val="00A0774E"/>
    <w:rsid w:val="00A1308F"/>
    <w:rsid w:val="00A17C27"/>
    <w:rsid w:val="00A212CC"/>
    <w:rsid w:val="00A22C7D"/>
    <w:rsid w:val="00A3026E"/>
    <w:rsid w:val="00A338F1"/>
    <w:rsid w:val="00A34D63"/>
    <w:rsid w:val="00A357A3"/>
    <w:rsid w:val="00A35BE0"/>
    <w:rsid w:val="00A41BE6"/>
    <w:rsid w:val="00A42E72"/>
    <w:rsid w:val="00A5166C"/>
    <w:rsid w:val="00A51E13"/>
    <w:rsid w:val="00A5210D"/>
    <w:rsid w:val="00A53673"/>
    <w:rsid w:val="00A545F7"/>
    <w:rsid w:val="00A57B75"/>
    <w:rsid w:val="00A607B0"/>
    <w:rsid w:val="00A60B59"/>
    <w:rsid w:val="00A6129C"/>
    <w:rsid w:val="00A6155D"/>
    <w:rsid w:val="00A65D08"/>
    <w:rsid w:val="00A6632E"/>
    <w:rsid w:val="00A674E3"/>
    <w:rsid w:val="00A67B6C"/>
    <w:rsid w:val="00A7164D"/>
    <w:rsid w:val="00A71C40"/>
    <w:rsid w:val="00A72F22"/>
    <w:rsid w:val="00A7360F"/>
    <w:rsid w:val="00A748A6"/>
    <w:rsid w:val="00A76663"/>
    <w:rsid w:val="00A769F4"/>
    <w:rsid w:val="00A776B4"/>
    <w:rsid w:val="00A8123F"/>
    <w:rsid w:val="00A82261"/>
    <w:rsid w:val="00A82F45"/>
    <w:rsid w:val="00A83A75"/>
    <w:rsid w:val="00A91C5B"/>
    <w:rsid w:val="00A94361"/>
    <w:rsid w:val="00A94D8E"/>
    <w:rsid w:val="00AA0D60"/>
    <w:rsid w:val="00AA0FD1"/>
    <w:rsid w:val="00AA293C"/>
    <w:rsid w:val="00AA2B86"/>
    <w:rsid w:val="00AA7DCF"/>
    <w:rsid w:val="00AB08C9"/>
    <w:rsid w:val="00AD3468"/>
    <w:rsid w:val="00AD5A42"/>
    <w:rsid w:val="00AE1C68"/>
    <w:rsid w:val="00AE5FDD"/>
    <w:rsid w:val="00AE7A27"/>
    <w:rsid w:val="00AF035A"/>
    <w:rsid w:val="00AF22D1"/>
    <w:rsid w:val="00AF2F58"/>
    <w:rsid w:val="00AF7216"/>
    <w:rsid w:val="00AF72BB"/>
    <w:rsid w:val="00B0698F"/>
    <w:rsid w:val="00B13068"/>
    <w:rsid w:val="00B21BD6"/>
    <w:rsid w:val="00B25314"/>
    <w:rsid w:val="00B253F1"/>
    <w:rsid w:val="00B30179"/>
    <w:rsid w:val="00B33D26"/>
    <w:rsid w:val="00B401CC"/>
    <w:rsid w:val="00B421C1"/>
    <w:rsid w:val="00B422AF"/>
    <w:rsid w:val="00B4238B"/>
    <w:rsid w:val="00B42D09"/>
    <w:rsid w:val="00B430B2"/>
    <w:rsid w:val="00B44992"/>
    <w:rsid w:val="00B4581C"/>
    <w:rsid w:val="00B45BCD"/>
    <w:rsid w:val="00B45E36"/>
    <w:rsid w:val="00B520D8"/>
    <w:rsid w:val="00B55225"/>
    <w:rsid w:val="00B55622"/>
    <w:rsid w:val="00B55987"/>
    <w:rsid w:val="00B55C71"/>
    <w:rsid w:val="00B566FF"/>
    <w:rsid w:val="00B5670E"/>
    <w:rsid w:val="00B56BC3"/>
    <w:rsid w:val="00B56E4A"/>
    <w:rsid w:val="00B56E9C"/>
    <w:rsid w:val="00B637DB"/>
    <w:rsid w:val="00B640C6"/>
    <w:rsid w:val="00B64B1F"/>
    <w:rsid w:val="00B6553F"/>
    <w:rsid w:val="00B74492"/>
    <w:rsid w:val="00B74CED"/>
    <w:rsid w:val="00B77D05"/>
    <w:rsid w:val="00B80110"/>
    <w:rsid w:val="00B8061B"/>
    <w:rsid w:val="00B81206"/>
    <w:rsid w:val="00B81E12"/>
    <w:rsid w:val="00B82B21"/>
    <w:rsid w:val="00B91EDB"/>
    <w:rsid w:val="00BB0E38"/>
    <w:rsid w:val="00BB1711"/>
    <w:rsid w:val="00BB26BF"/>
    <w:rsid w:val="00BC1CDE"/>
    <w:rsid w:val="00BC2308"/>
    <w:rsid w:val="00BC3FA0"/>
    <w:rsid w:val="00BC5B10"/>
    <w:rsid w:val="00BC6634"/>
    <w:rsid w:val="00BC74E9"/>
    <w:rsid w:val="00BD0A37"/>
    <w:rsid w:val="00BD6DC9"/>
    <w:rsid w:val="00BD7A2D"/>
    <w:rsid w:val="00BE5E01"/>
    <w:rsid w:val="00BF68A8"/>
    <w:rsid w:val="00C022EA"/>
    <w:rsid w:val="00C03B2E"/>
    <w:rsid w:val="00C1078B"/>
    <w:rsid w:val="00C11A03"/>
    <w:rsid w:val="00C14917"/>
    <w:rsid w:val="00C1584A"/>
    <w:rsid w:val="00C17C89"/>
    <w:rsid w:val="00C22C0C"/>
    <w:rsid w:val="00C22C78"/>
    <w:rsid w:val="00C240DC"/>
    <w:rsid w:val="00C2660E"/>
    <w:rsid w:val="00C4046D"/>
    <w:rsid w:val="00C4527F"/>
    <w:rsid w:val="00C463DD"/>
    <w:rsid w:val="00C4724C"/>
    <w:rsid w:val="00C50798"/>
    <w:rsid w:val="00C50A61"/>
    <w:rsid w:val="00C518E9"/>
    <w:rsid w:val="00C54999"/>
    <w:rsid w:val="00C55493"/>
    <w:rsid w:val="00C55C01"/>
    <w:rsid w:val="00C5683C"/>
    <w:rsid w:val="00C56DAE"/>
    <w:rsid w:val="00C57135"/>
    <w:rsid w:val="00C60525"/>
    <w:rsid w:val="00C61AEB"/>
    <w:rsid w:val="00C629A0"/>
    <w:rsid w:val="00C64629"/>
    <w:rsid w:val="00C64D80"/>
    <w:rsid w:val="00C661C3"/>
    <w:rsid w:val="00C676FF"/>
    <w:rsid w:val="00C70EDA"/>
    <w:rsid w:val="00C7137E"/>
    <w:rsid w:val="00C71C78"/>
    <w:rsid w:val="00C745C3"/>
    <w:rsid w:val="00C76089"/>
    <w:rsid w:val="00C76379"/>
    <w:rsid w:val="00C84D54"/>
    <w:rsid w:val="00C925E4"/>
    <w:rsid w:val="00C9287D"/>
    <w:rsid w:val="00C93B3F"/>
    <w:rsid w:val="00C96A8F"/>
    <w:rsid w:val="00C96DF2"/>
    <w:rsid w:val="00C97B7F"/>
    <w:rsid w:val="00CA2420"/>
    <w:rsid w:val="00CA3B1A"/>
    <w:rsid w:val="00CA6C81"/>
    <w:rsid w:val="00CA6FF9"/>
    <w:rsid w:val="00CB0641"/>
    <w:rsid w:val="00CB120F"/>
    <w:rsid w:val="00CB3E03"/>
    <w:rsid w:val="00CC5E98"/>
    <w:rsid w:val="00CD2621"/>
    <w:rsid w:val="00CD37DE"/>
    <w:rsid w:val="00CD4AA6"/>
    <w:rsid w:val="00CD7D2C"/>
    <w:rsid w:val="00CE4A8F"/>
    <w:rsid w:val="00CE700D"/>
    <w:rsid w:val="00CF182C"/>
    <w:rsid w:val="00CF31EE"/>
    <w:rsid w:val="00CF35E2"/>
    <w:rsid w:val="00CF4086"/>
    <w:rsid w:val="00CF7703"/>
    <w:rsid w:val="00D07C1A"/>
    <w:rsid w:val="00D1209B"/>
    <w:rsid w:val="00D126AD"/>
    <w:rsid w:val="00D12F99"/>
    <w:rsid w:val="00D16ABC"/>
    <w:rsid w:val="00D2031B"/>
    <w:rsid w:val="00D23328"/>
    <w:rsid w:val="00D244E1"/>
    <w:rsid w:val="00D248B6"/>
    <w:rsid w:val="00D2529F"/>
    <w:rsid w:val="00D25FE2"/>
    <w:rsid w:val="00D327E0"/>
    <w:rsid w:val="00D350C2"/>
    <w:rsid w:val="00D37872"/>
    <w:rsid w:val="00D40AAB"/>
    <w:rsid w:val="00D43252"/>
    <w:rsid w:val="00D47666"/>
    <w:rsid w:val="00D47EEA"/>
    <w:rsid w:val="00D51039"/>
    <w:rsid w:val="00D51730"/>
    <w:rsid w:val="00D53145"/>
    <w:rsid w:val="00D545E5"/>
    <w:rsid w:val="00D55174"/>
    <w:rsid w:val="00D55B76"/>
    <w:rsid w:val="00D63FB9"/>
    <w:rsid w:val="00D66873"/>
    <w:rsid w:val="00D7117B"/>
    <w:rsid w:val="00D75EB5"/>
    <w:rsid w:val="00D76B97"/>
    <w:rsid w:val="00D773DF"/>
    <w:rsid w:val="00D8114C"/>
    <w:rsid w:val="00D84FAF"/>
    <w:rsid w:val="00D86818"/>
    <w:rsid w:val="00D92306"/>
    <w:rsid w:val="00D931E4"/>
    <w:rsid w:val="00D95303"/>
    <w:rsid w:val="00D95421"/>
    <w:rsid w:val="00D95C0F"/>
    <w:rsid w:val="00D97386"/>
    <w:rsid w:val="00D978C6"/>
    <w:rsid w:val="00DA1F19"/>
    <w:rsid w:val="00DA3832"/>
    <w:rsid w:val="00DA3C1C"/>
    <w:rsid w:val="00DA4F29"/>
    <w:rsid w:val="00DA5BD4"/>
    <w:rsid w:val="00DA6500"/>
    <w:rsid w:val="00DC508E"/>
    <w:rsid w:val="00DC61CF"/>
    <w:rsid w:val="00DD0235"/>
    <w:rsid w:val="00DD39A7"/>
    <w:rsid w:val="00DD4696"/>
    <w:rsid w:val="00DD4B1F"/>
    <w:rsid w:val="00DE10A4"/>
    <w:rsid w:val="00DE38A6"/>
    <w:rsid w:val="00DF1928"/>
    <w:rsid w:val="00DF450F"/>
    <w:rsid w:val="00DF5CB0"/>
    <w:rsid w:val="00DF63B7"/>
    <w:rsid w:val="00E00D91"/>
    <w:rsid w:val="00E03D7F"/>
    <w:rsid w:val="00E046DF"/>
    <w:rsid w:val="00E05F11"/>
    <w:rsid w:val="00E15DE0"/>
    <w:rsid w:val="00E20141"/>
    <w:rsid w:val="00E21C16"/>
    <w:rsid w:val="00E21FF7"/>
    <w:rsid w:val="00E238DF"/>
    <w:rsid w:val="00E23C13"/>
    <w:rsid w:val="00E27346"/>
    <w:rsid w:val="00E27FBE"/>
    <w:rsid w:val="00E326ED"/>
    <w:rsid w:val="00E332B5"/>
    <w:rsid w:val="00E35AC7"/>
    <w:rsid w:val="00E42498"/>
    <w:rsid w:val="00E42D19"/>
    <w:rsid w:val="00E43891"/>
    <w:rsid w:val="00E43BC5"/>
    <w:rsid w:val="00E44013"/>
    <w:rsid w:val="00E4519E"/>
    <w:rsid w:val="00E47554"/>
    <w:rsid w:val="00E53875"/>
    <w:rsid w:val="00E62545"/>
    <w:rsid w:val="00E700B8"/>
    <w:rsid w:val="00E71BC8"/>
    <w:rsid w:val="00E7260F"/>
    <w:rsid w:val="00E72B52"/>
    <w:rsid w:val="00E73F5D"/>
    <w:rsid w:val="00E74E71"/>
    <w:rsid w:val="00E75C8F"/>
    <w:rsid w:val="00E776E1"/>
    <w:rsid w:val="00E77E4E"/>
    <w:rsid w:val="00E8129D"/>
    <w:rsid w:val="00E87A5F"/>
    <w:rsid w:val="00E961F8"/>
    <w:rsid w:val="00E96630"/>
    <w:rsid w:val="00E977E7"/>
    <w:rsid w:val="00EB2BC0"/>
    <w:rsid w:val="00EB2C7D"/>
    <w:rsid w:val="00EB595A"/>
    <w:rsid w:val="00EB5C60"/>
    <w:rsid w:val="00EB781E"/>
    <w:rsid w:val="00EC4532"/>
    <w:rsid w:val="00EC4637"/>
    <w:rsid w:val="00EC5D02"/>
    <w:rsid w:val="00EC6992"/>
    <w:rsid w:val="00ED15C1"/>
    <w:rsid w:val="00ED7A2A"/>
    <w:rsid w:val="00EE0E25"/>
    <w:rsid w:val="00EE4705"/>
    <w:rsid w:val="00EE5F03"/>
    <w:rsid w:val="00EF1D7F"/>
    <w:rsid w:val="00EF3E9C"/>
    <w:rsid w:val="00F00860"/>
    <w:rsid w:val="00F10291"/>
    <w:rsid w:val="00F14372"/>
    <w:rsid w:val="00F17400"/>
    <w:rsid w:val="00F22A89"/>
    <w:rsid w:val="00F247E0"/>
    <w:rsid w:val="00F26B3F"/>
    <w:rsid w:val="00F26FC0"/>
    <w:rsid w:val="00F30C99"/>
    <w:rsid w:val="00F31E5F"/>
    <w:rsid w:val="00F32C46"/>
    <w:rsid w:val="00F334C8"/>
    <w:rsid w:val="00F37F44"/>
    <w:rsid w:val="00F4146E"/>
    <w:rsid w:val="00F51BBE"/>
    <w:rsid w:val="00F56E24"/>
    <w:rsid w:val="00F6100A"/>
    <w:rsid w:val="00F708EC"/>
    <w:rsid w:val="00F7174E"/>
    <w:rsid w:val="00F72940"/>
    <w:rsid w:val="00F814D9"/>
    <w:rsid w:val="00F84029"/>
    <w:rsid w:val="00F86D46"/>
    <w:rsid w:val="00F8758B"/>
    <w:rsid w:val="00F90BFB"/>
    <w:rsid w:val="00F93781"/>
    <w:rsid w:val="00F95EA6"/>
    <w:rsid w:val="00F96B43"/>
    <w:rsid w:val="00FA1678"/>
    <w:rsid w:val="00FA3C8A"/>
    <w:rsid w:val="00FA7D6D"/>
    <w:rsid w:val="00FB5A8D"/>
    <w:rsid w:val="00FB613B"/>
    <w:rsid w:val="00FB737F"/>
    <w:rsid w:val="00FC02DD"/>
    <w:rsid w:val="00FC3F7C"/>
    <w:rsid w:val="00FC4FC4"/>
    <w:rsid w:val="00FC68B7"/>
    <w:rsid w:val="00FC6C04"/>
    <w:rsid w:val="00FD238F"/>
    <w:rsid w:val="00FD3F98"/>
    <w:rsid w:val="00FD67D2"/>
    <w:rsid w:val="00FD7987"/>
    <w:rsid w:val="00FE106A"/>
    <w:rsid w:val="00FE2309"/>
    <w:rsid w:val="00FE67C0"/>
    <w:rsid w:val="00FE6F04"/>
    <w:rsid w:val="00FF03C4"/>
    <w:rsid w:val="00FF054E"/>
    <w:rsid w:val="00FF07F2"/>
    <w:rsid w:val="00FF145D"/>
    <w:rsid w:val="00FF500E"/>
    <w:rsid w:val="00FF7253"/>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154BB4B9"/>
  <w15:docId w15:val="{E41DA98D-0E3D-416A-9CED-15467DC8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uiPriority w:val="9"/>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A5166C"/>
    <w:pPr>
      <w:spacing w:line="240" w:lineRule="auto"/>
    </w:pPr>
    <w:rPr>
      <w:rFonts w:ascii="Tahoma" w:hAnsi="Tahoma" w:cs="Tahoma"/>
      <w:sz w:val="16"/>
      <w:szCs w:val="16"/>
    </w:rPr>
  </w:style>
  <w:style w:type="character" w:customStyle="1" w:styleId="BalloonTextChar">
    <w:name w:val="Balloon Text Char"/>
    <w:link w:val="BalloonText"/>
    <w:rsid w:val="00A5166C"/>
    <w:rPr>
      <w:rFonts w:ascii="Tahoma" w:hAnsi="Tahoma" w:cs="Tahoma"/>
      <w:sz w:val="16"/>
      <w:szCs w:val="16"/>
      <w:lang w:eastAsia="en-US"/>
    </w:rPr>
  </w:style>
  <w:style w:type="character" w:customStyle="1" w:styleId="SingleTxtGChar">
    <w:name w:val="_ Single Txt_G Char"/>
    <w:link w:val="SingleTxtG"/>
    <w:qFormat/>
    <w:rsid w:val="00A5166C"/>
    <w:rPr>
      <w:lang w:eastAsia="en-US"/>
    </w:rPr>
  </w:style>
  <w:style w:type="character" w:customStyle="1" w:styleId="H1GChar">
    <w:name w:val="_ H_1_G Char"/>
    <w:link w:val="H1G"/>
    <w:rsid w:val="00A5166C"/>
    <w:rPr>
      <w:b/>
      <w:sz w:val="24"/>
      <w:lang w:eastAsia="en-US"/>
    </w:rPr>
  </w:style>
  <w:style w:type="character" w:customStyle="1" w:styleId="H23GChar">
    <w:name w:val="_ H_2/3_G Char"/>
    <w:link w:val="H23G"/>
    <w:rsid w:val="00A5166C"/>
    <w:rPr>
      <w:b/>
      <w:lang w:eastAsia="en-US"/>
    </w:rPr>
  </w:style>
  <w:style w:type="character" w:customStyle="1" w:styleId="FootnoteTextChar">
    <w:name w:val="Footnote Text Char"/>
    <w:aliases w:val="5_G Char"/>
    <w:link w:val="FootnoteText"/>
    <w:rsid w:val="00A5166C"/>
    <w:rPr>
      <w:sz w:val="18"/>
      <w:lang w:eastAsia="en-US"/>
    </w:rPr>
  </w:style>
  <w:style w:type="character" w:customStyle="1" w:styleId="CommentTextChar">
    <w:name w:val="Comment Text Char"/>
    <w:link w:val="CommentText"/>
    <w:rsid w:val="00A5166C"/>
    <w:rPr>
      <w:lang w:eastAsia="en-US"/>
    </w:rPr>
  </w:style>
  <w:style w:type="paragraph" w:customStyle="1" w:styleId="TabellenformatKlasse2">
    <w:name w:val="Tabellenformat Klasse 2"/>
    <w:basedOn w:val="Normal"/>
    <w:rsid w:val="00A5166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88716C"/>
    <w:pPr>
      <w:suppressAutoHyphens w:val="0"/>
      <w:spacing w:line="240" w:lineRule="auto"/>
    </w:pPr>
    <w:rPr>
      <w:sz w:val="22"/>
      <w:szCs w:val="24"/>
    </w:rPr>
  </w:style>
  <w:style w:type="character" w:customStyle="1" w:styleId="SingleTxtGCar">
    <w:name w:val="_ Single Txt_G Car"/>
    <w:rsid w:val="0088716C"/>
    <w:rPr>
      <w:lang w:val="en-GB" w:eastAsia="en-US" w:bidi="ar-SA"/>
    </w:rPr>
  </w:style>
  <w:style w:type="character" w:customStyle="1" w:styleId="HChGChar">
    <w:name w:val="_ H _Ch_G Char"/>
    <w:link w:val="HChG"/>
    <w:rsid w:val="0088716C"/>
    <w:rPr>
      <w:b/>
      <w:sz w:val="28"/>
      <w:lang w:val="en-GB" w:eastAsia="en-US"/>
    </w:rPr>
  </w:style>
  <w:style w:type="numbering" w:customStyle="1" w:styleId="1111111">
    <w:name w:val="1 / 1.1 / 1.1.11"/>
    <w:basedOn w:val="NoList"/>
    <w:next w:val="111111"/>
    <w:semiHidden/>
    <w:rsid w:val="0088716C"/>
  </w:style>
  <w:style w:type="paragraph" w:styleId="ListParagraph">
    <w:name w:val="List Paragraph"/>
    <w:basedOn w:val="Normal"/>
    <w:uiPriority w:val="34"/>
    <w:qFormat/>
    <w:rsid w:val="0088716C"/>
    <w:pPr>
      <w:suppressAutoHyphens w:val="0"/>
      <w:spacing w:line="240" w:lineRule="auto"/>
      <w:ind w:left="720"/>
      <w:jc w:val="both"/>
    </w:pPr>
    <w:rPr>
      <w:sz w:val="24"/>
      <w:szCs w:val="24"/>
      <w:lang w:val="en-US"/>
    </w:rPr>
  </w:style>
  <w:style w:type="character" w:customStyle="1" w:styleId="PlainTextChar">
    <w:name w:val="Plain Text Char"/>
    <w:link w:val="PlainText"/>
    <w:rsid w:val="0088716C"/>
    <w:rPr>
      <w:rFonts w:cs="Courier New"/>
      <w:lang w:val="en-GB" w:eastAsia="en-US"/>
    </w:rPr>
  </w:style>
  <w:style w:type="character" w:customStyle="1" w:styleId="BodyTextChar">
    <w:name w:val="Body Text Char"/>
    <w:link w:val="BodyText"/>
    <w:rsid w:val="0088716C"/>
    <w:rPr>
      <w:lang w:val="en-GB" w:eastAsia="en-US"/>
    </w:rPr>
  </w:style>
  <w:style w:type="character" w:customStyle="1" w:styleId="BodyTextIndentChar">
    <w:name w:val="Body Text Indent Char"/>
    <w:link w:val="BodyTextIndent"/>
    <w:rsid w:val="0088716C"/>
    <w:rPr>
      <w:lang w:val="en-GB" w:eastAsia="en-US"/>
    </w:rPr>
  </w:style>
  <w:style w:type="character" w:customStyle="1" w:styleId="BodyText2Char">
    <w:name w:val="Body Text 2 Char"/>
    <w:link w:val="BodyText2"/>
    <w:rsid w:val="0088716C"/>
    <w:rPr>
      <w:lang w:val="en-GB" w:eastAsia="en-US"/>
    </w:rPr>
  </w:style>
  <w:style w:type="character" w:customStyle="1" w:styleId="BodyText3Char">
    <w:name w:val="Body Text 3 Char"/>
    <w:link w:val="BodyText3"/>
    <w:rsid w:val="0088716C"/>
    <w:rPr>
      <w:sz w:val="16"/>
      <w:szCs w:val="16"/>
      <w:lang w:val="en-GB" w:eastAsia="en-US"/>
    </w:rPr>
  </w:style>
  <w:style w:type="character" w:customStyle="1" w:styleId="BodyTextFirstIndentChar">
    <w:name w:val="Body Text First Indent Char"/>
    <w:link w:val="BodyTextFirstIndent"/>
    <w:rsid w:val="0088716C"/>
  </w:style>
  <w:style w:type="character" w:customStyle="1" w:styleId="BodyTextFirstIndent2Char">
    <w:name w:val="Body Text First Indent 2 Char"/>
    <w:link w:val="BodyTextFirstIndent2"/>
    <w:rsid w:val="0088716C"/>
  </w:style>
  <w:style w:type="character" w:customStyle="1" w:styleId="BodyTextIndent2Char">
    <w:name w:val="Body Text Indent 2 Char"/>
    <w:link w:val="BodyTextIndent2"/>
    <w:rsid w:val="0088716C"/>
    <w:rPr>
      <w:lang w:val="en-GB" w:eastAsia="en-US"/>
    </w:rPr>
  </w:style>
  <w:style w:type="character" w:customStyle="1" w:styleId="BodyTextIndent3Char">
    <w:name w:val="Body Text Indent 3 Char"/>
    <w:link w:val="BodyTextIndent3"/>
    <w:rsid w:val="0088716C"/>
    <w:rPr>
      <w:sz w:val="16"/>
      <w:szCs w:val="16"/>
      <w:lang w:val="en-GB" w:eastAsia="en-US"/>
    </w:rPr>
  </w:style>
  <w:style w:type="character" w:customStyle="1" w:styleId="ClosingChar">
    <w:name w:val="Closing Char"/>
    <w:link w:val="Closing"/>
    <w:rsid w:val="0088716C"/>
    <w:rPr>
      <w:lang w:val="en-GB" w:eastAsia="en-US"/>
    </w:rPr>
  </w:style>
  <w:style w:type="character" w:customStyle="1" w:styleId="DateChar">
    <w:name w:val="Date Char"/>
    <w:link w:val="Date"/>
    <w:rsid w:val="0088716C"/>
    <w:rPr>
      <w:lang w:val="en-GB" w:eastAsia="en-US"/>
    </w:rPr>
  </w:style>
  <w:style w:type="character" w:customStyle="1" w:styleId="E-mailSignatureChar">
    <w:name w:val="E-mail Signature Char"/>
    <w:link w:val="E-mailSignature"/>
    <w:rsid w:val="0088716C"/>
    <w:rPr>
      <w:lang w:val="en-GB" w:eastAsia="en-US"/>
    </w:rPr>
  </w:style>
  <w:style w:type="character" w:customStyle="1" w:styleId="HTMLAddressChar">
    <w:name w:val="HTML Address Char"/>
    <w:link w:val="HTMLAddress"/>
    <w:rsid w:val="0088716C"/>
    <w:rPr>
      <w:i/>
      <w:iCs/>
      <w:lang w:val="en-GB" w:eastAsia="en-US"/>
    </w:rPr>
  </w:style>
  <w:style w:type="character" w:customStyle="1" w:styleId="HTMLPreformattedChar">
    <w:name w:val="HTML Preformatted Char"/>
    <w:link w:val="HTMLPreformatted"/>
    <w:rsid w:val="0088716C"/>
    <w:rPr>
      <w:rFonts w:ascii="Courier New" w:hAnsi="Courier New" w:cs="Courier New"/>
      <w:lang w:val="en-GB" w:eastAsia="en-US"/>
    </w:rPr>
  </w:style>
  <w:style w:type="character" w:customStyle="1" w:styleId="MessageHeaderChar">
    <w:name w:val="Message Header Char"/>
    <w:link w:val="MessageHeader"/>
    <w:rsid w:val="0088716C"/>
    <w:rPr>
      <w:rFonts w:ascii="Arial" w:hAnsi="Arial" w:cs="Arial"/>
      <w:sz w:val="24"/>
      <w:szCs w:val="24"/>
      <w:shd w:val="pct20" w:color="auto" w:fill="auto"/>
      <w:lang w:val="en-GB" w:eastAsia="en-US"/>
    </w:rPr>
  </w:style>
  <w:style w:type="character" w:customStyle="1" w:styleId="NoteHeadingChar">
    <w:name w:val="Note Heading Char"/>
    <w:link w:val="NoteHeading"/>
    <w:rsid w:val="0088716C"/>
    <w:rPr>
      <w:lang w:val="en-GB" w:eastAsia="en-US"/>
    </w:rPr>
  </w:style>
  <w:style w:type="character" w:customStyle="1" w:styleId="SalutationChar">
    <w:name w:val="Salutation Char"/>
    <w:link w:val="Salutation"/>
    <w:rsid w:val="0088716C"/>
    <w:rPr>
      <w:lang w:val="en-GB" w:eastAsia="en-US"/>
    </w:rPr>
  </w:style>
  <w:style w:type="character" w:customStyle="1" w:styleId="SignatureChar">
    <w:name w:val="Signature Char"/>
    <w:link w:val="Signature"/>
    <w:rsid w:val="0088716C"/>
    <w:rPr>
      <w:lang w:val="en-GB" w:eastAsia="en-US"/>
    </w:rPr>
  </w:style>
  <w:style w:type="character" w:customStyle="1" w:styleId="SubtitleChar">
    <w:name w:val="Subtitle Char"/>
    <w:link w:val="Subtitle"/>
    <w:rsid w:val="0088716C"/>
    <w:rPr>
      <w:rFonts w:ascii="Arial" w:hAnsi="Arial" w:cs="Arial"/>
      <w:sz w:val="24"/>
      <w:szCs w:val="24"/>
      <w:lang w:val="en-GB" w:eastAsia="en-US"/>
    </w:rPr>
  </w:style>
  <w:style w:type="character" w:customStyle="1" w:styleId="TitleChar">
    <w:name w:val="Title Char"/>
    <w:link w:val="Title"/>
    <w:rsid w:val="0088716C"/>
    <w:rPr>
      <w:rFonts w:ascii="Arial" w:hAnsi="Arial" w:cs="Arial"/>
      <w:b/>
      <w:bCs/>
      <w:kern w:val="28"/>
      <w:sz w:val="32"/>
      <w:szCs w:val="32"/>
      <w:lang w:val="en-GB" w:eastAsia="en-US"/>
    </w:rPr>
  </w:style>
  <w:style w:type="paragraph" w:customStyle="1" w:styleId="Nummerierung1">
    <w:name w:val="Nummerierung 1"/>
    <w:basedOn w:val="Normal"/>
    <w:rsid w:val="0088716C"/>
    <w:pPr>
      <w:numPr>
        <w:numId w:val="19"/>
      </w:numPr>
      <w:suppressAutoHyphens w:val="0"/>
      <w:spacing w:line="240" w:lineRule="auto"/>
      <w:jc w:val="both"/>
    </w:pPr>
    <w:rPr>
      <w:sz w:val="24"/>
      <w:szCs w:val="24"/>
      <w:lang w:val="en-US"/>
    </w:rPr>
  </w:style>
  <w:style w:type="paragraph" w:customStyle="1" w:styleId="Default">
    <w:name w:val="Default"/>
    <w:rsid w:val="0088716C"/>
    <w:pPr>
      <w:widowControl w:val="0"/>
      <w:autoSpaceDE w:val="0"/>
      <w:autoSpaceDN w:val="0"/>
      <w:adjustRightInd w:val="0"/>
    </w:pPr>
    <w:rPr>
      <w:color w:val="000000"/>
      <w:sz w:val="24"/>
      <w:szCs w:val="24"/>
      <w:lang w:val="en-US" w:eastAsia="en-US"/>
    </w:rPr>
  </w:style>
  <w:style w:type="character" w:customStyle="1" w:styleId="HeaderChar">
    <w:name w:val="Header Char"/>
    <w:aliases w:val="6_G Char"/>
    <w:link w:val="Header"/>
    <w:locked/>
    <w:rsid w:val="0088716C"/>
    <w:rPr>
      <w:b/>
      <w:sz w:val="18"/>
      <w:lang w:val="en-GB" w:eastAsia="en-US"/>
    </w:rPr>
  </w:style>
  <w:style w:type="paragraph" w:customStyle="1" w:styleId="Normalcentr1">
    <w:name w:val="Normal centré1"/>
    <w:basedOn w:val="Normal"/>
    <w:rsid w:val="0088716C"/>
    <w:pPr>
      <w:spacing w:line="240" w:lineRule="auto"/>
      <w:ind w:left="-567" w:right="282"/>
      <w:jc w:val="both"/>
    </w:pPr>
    <w:rPr>
      <w:bCs/>
      <w:sz w:val="24"/>
      <w:lang w:eastAsia="ar-SA"/>
    </w:rPr>
  </w:style>
  <w:style w:type="character" w:customStyle="1" w:styleId="zzmpTrailerItem">
    <w:name w:val="zzmpTrailerItem"/>
    <w:rsid w:val="0088716C"/>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1"/>
    <w:rsid w:val="0088716C"/>
    <w:rPr>
      <w:b/>
      <w:bCs/>
    </w:rPr>
  </w:style>
  <w:style w:type="character" w:customStyle="1" w:styleId="CommentSubjectChar1">
    <w:name w:val="Comment Subject Char1"/>
    <w:link w:val="CommentSubject"/>
    <w:rsid w:val="0088716C"/>
    <w:rPr>
      <w:b/>
      <w:bCs/>
      <w:lang w:val="en-GB" w:eastAsia="en-US"/>
    </w:rPr>
  </w:style>
  <w:style w:type="character" w:customStyle="1" w:styleId="CommentSubjectChar">
    <w:name w:val="Comment Subject Char"/>
    <w:rsid w:val="0088716C"/>
    <w:rPr>
      <w:lang w:val="en-GB" w:eastAsia="en-US"/>
    </w:rPr>
  </w:style>
  <w:style w:type="paragraph" w:customStyle="1" w:styleId="2Para">
    <w:name w:val="2Para"/>
    <w:basedOn w:val="Normal"/>
    <w:rsid w:val="0088716C"/>
    <w:pPr>
      <w:numPr>
        <w:ilvl w:val="1"/>
        <w:numId w:val="20"/>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88716C"/>
    <w:pPr>
      <w:numPr>
        <w:ilvl w:val="2"/>
        <w:numId w:val="20"/>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88716C"/>
    <w:pPr>
      <w:numPr>
        <w:ilvl w:val="3"/>
        <w:numId w:val="20"/>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88716C"/>
    <w:pPr>
      <w:numPr>
        <w:ilvl w:val="4"/>
        <w:numId w:val="20"/>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88716C"/>
    <w:pPr>
      <w:numPr>
        <w:ilvl w:val="5"/>
        <w:numId w:val="20"/>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88716C"/>
    <w:pPr>
      <w:numPr>
        <w:ilvl w:val="6"/>
        <w:numId w:val="20"/>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88716C"/>
    <w:pPr>
      <w:numPr>
        <w:ilvl w:val="7"/>
        <w:numId w:val="20"/>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88716C"/>
    <w:pPr>
      <w:keepNext/>
      <w:numPr>
        <w:numId w:val="20"/>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88716C"/>
  </w:style>
  <w:style w:type="character" w:customStyle="1" w:styleId="Heading1Char">
    <w:name w:val="Heading 1 Char"/>
    <w:aliases w:val="Table_G Char"/>
    <w:link w:val="Heading1"/>
    <w:rsid w:val="0088716C"/>
    <w:rPr>
      <w:lang w:val="en-GB" w:eastAsia="en-US"/>
    </w:rPr>
  </w:style>
  <w:style w:type="character" w:customStyle="1" w:styleId="Heading2Char">
    <w:name w:val="Heading 2 Char"/>
    <w:link w:val="Heading2"/>
    <w:rsid w:val="0088716C"/>
    <w:rPr>
      <w:lang w:val="en-GB" w:eastAsia="en-US"/>
    </w:rPr>
  </w:style>
  <w:style w:type="character" w:customStyle="1" w:styleId="Heading3Char">
    <w:name w:val="Heading 3 Char"/>
    <w:link w:val="Heading3"/>
    <w:rsid w:val="0088716C"/>
    <w:rPr>
      <w:lang w:val="en-GB" w:eastAsia="en-US"/>
    </w:rPr>
  </w:style>
  <w:style w:type="character" w:customStyle="1" w:styleId="Heading4Char">
    <w:name w:val="Heading 4 Char"/>
    <w:link w:val="Heading4"/>
    <w:rsid w:val="0088716C"/>
    <w:rPr>
      <w:lang w:val="en-GB" w:eastAsia="en-US"/>
    </w:rPr>
  </w:style>
  <w:style w:type="character" w:customStyle="1" w:styleId="Heading5Char">
    <w:name w:val="Heading 5 Char"/>
    <w:link w:val="Heading5"/>
    <w:uiPriority w:val="9"/>
    <w:rsid w:val="0088716C"/>
    <w:rPr>
      <w:lang w:val="en-GB" w:eastAsia="en-US"/>
    </w:rPr>
  </w:style>
  <w:style w:type="character" w:customStyle="1" w:styleId="Heading6Char">
    <w:name w:val="Heading 6 Char"/>
    <w:link w:val="Heading6"/>
    <w:rsid w:val="0088716C"/>
    <w:rPr>
      <w:lang w:val="en-GB" w:eastAsia="en-US"/>
    </w:rPr>
  </w:style>
  <w:style w:type="character" w:customStyle="1" w:styleId="Heading7Char">
    <w:name w:val="Heading 7 Char"/>
    <w:link w:val="Heading7"/>
    <w:rsid w:val="0088716C"/>
    <w:rPr>
      <w:lang w:val="en-GB" w:eastAsia="en-US"/>
    </w:rPr>
  </w:style>
  <w:style w:type="character" w:customStyle="1" w:styleId="Heading8Char">
    <w:name w:val="Heading 8 Char"/>
    <w:link w:val="Heading8"/>
    <w:rsid w:val="0088716C"/>
    <w:rPr>
      <w:lang w:val="en-GB" w:eastAsia="en-US"/>
    </w:rPr>
  </w:style>
  <w:style w:type="character" w:customStyle="1" w:styleId="Heading9Char">
    <w:name w:val="Heading 9 Char"/>
    <w:link w:val="Heading9"/>
    <w:rsid w:val="0088716C"/>
    <w:rPr>
      <w:lang w:val="en-GB" w:eastAsia="en-US"/>
    </w:rPr>
  </w:style>
  <w:style w:type="character" w:customStyle="1" w:styleId="EndnoteTextChar">
    <w:name w:val="Endnote Text Char"/>
    <w:aliases w:val="2_G Char"/>
    <w:link w:val="EndnoteText"/>
    <w:rsid w:val="0088716C"/>
    <w:rPr>
      <w:sz w:val="18"/>
      <w:lang w:val="en-GB" w:eastAsia="en-US"/>
    </w:rPr>
  </w:style>
  <w:style w:type="character" w:customStyle="1" w:styleId="FooterChar">
    <w:name w:val="Footer Char"/>
    <w:aliases w:val="3_G Char"/>
    <w:link w:val="Footer"/>
    <w:uiPriority w:val="99"/>
    <w:rsid w:val="0088716C"/>
    <w:rPr>
      <w:sz w:val="16"/>
      <w:lang w:val="en-GB" w:eastAsia="en-US"/>
    </w:rPr>
  </w:style>
  <w:style w:type="paragraph" w:customStyle="1" w:styleId="Docs">
    <w:name w:val="Docs"/>
    <w:basedOn w:val="Normal"/>
    <w:rsid w:val="0088716C"/>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88716C"/>
    <w:rPr>
      <w:rFonts w:cs="Times Ten"/>
      <w:color w:val="000000"/>
      <w:sz w:val="20"/>
      <w:szCs w:val="20"/>
    </w:rPr>
  </w:style>
  <w:style w:type="paragraph" w:customStyle="1" w:styleId="ParaNoG">
    <w:name w:val="_ParaNo._G"/>
    <w:basedOn w:val="SingleTxtG"/>
    <w:rsid w:val="0088716C"/>
  </w:style>
  <w:style w:type="numbering" w:customStyle="1" w:styleId="1ai1">
    <w:name w:val="1 / a / i1"/>
    <w:basedOn w:val="NoList"/>
    <w:next w:val="1ai"/>
    <w:semiHidden/>
    <w:rsid w:val="0088716C"/>
  </w:style>
  <w:style w:type="numbering" w:customStyle="1" w:styleId="ArticleSection1">
    <w:name w:val="Article / Section1"/>
    <w:basedOn w:val="NoList"/>
    <w:next w:val="ArticleSection"/>
    <w:semiHidden/>
    <w:rsid w:val="0088716C"/>
    <w:pPr>
      <w:numPr>
        <w:numId w:val="19"/>
      </w:numPr>
    </w:pPr>
  </w:style>
  <w:style w:type="table" w:customStyle="1" w:styleId="TableGrid10">
    <w:name w:val="Table Grid1"/>
    <w:basedOn w:val="TableNormal"/>
    <w:next w:val="TableGrid"/>
    <w:rsid w:val="0088716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8716C"/>
    <w:rPr>
      <w:lang w:val="en-GB" w:eastAsia="en-US" w:bidi="ar-SA"/>
    </w:rPr>
  </w:style>
  <w:style w:type="paragraph" w:styleId="Index1">
    <w:name w:val="index 1"/>
    <w:basedOn w:val="Normal"/>
    <w:next w:val="Normal"/>
    <w:autoRedefine/>
    <w:rsid w:val="0088716C"/>
    <w:pPr>
      <w:suppressAutoHyphens w:val="0"/>
      <w:spacing w:line="240" w:lineRule="auto"/>
      <w:ind w:left="220" w:hanging="220"/>
    </w:pPr>
    <w:rPr>
      <w:sz w:val="22"/>
    </w:rPr>
  </w:style>
  <w:style w:type="paragraph" w:customStyle="1" w:styleId="Betrifft">
    <w:name w:val="Betrifft"/>
    <w:basedOn w:val="Normal"/>
    <w:rsid w:val="0088716C"/>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88716C"/>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88716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88716C"/>
    <w:rPr>
      <w:lang w:eastAsia="en-US"/>
    </w:rPr>
  </w:style>
  <w:style w:type="paragraph" w:customStyle="1" w:styleId="ParNoG">
    <w:name w:val="_ParNo_G"/>
    <w:basedOn w:val="SingleTxtG"/>
    <w:rsid w:val="00DF5CB0"/>
    <w:pPr>
      <w:numPr>
        <w:numId w:val="25"/>
      </w:numPr>
    </w:pPr>
    <w:rPr>
      <w:lang w:val="fr-CH"/>
    </w:rPr>
  </w:style>
  <w:style w:type="paragraph" w:customStyle="1" w:styleId="H1">
    <w:name w:val="_ H_1"/>
    <w:basedOn w:val="Normal"/>
    <w:next w:val="SingleTxt"/>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E43891"/>
    <w:pPr>
      <w:spacing w:line="300" w:lineRule="exact"/>
      <w:ind w:left="0" w:right="0" w:firstLine="0"/>
    </w:pPr>
    <w:rPr>
      <w:spacing w:val="-2"/>
      <w:sz w:val="28"/>
    </w:rPr>
  </w:style>
  <w:style w:type="paragraph" w:customStyle="1" w:styleId="HM">
    <w:name w:val="_ H __M"/>
    <w:basedOn w:val="HCh"/>
    <w:next w:val="Normal"/>
    <w:rsid w:val="00E43891"/>
    <w:pPr>
      <w:spacing w:line="360" w:lineRule="exact"/>
    </w:pPr>
    <w:rPr>
      <w:spacing w:val="-3"/>
      <w:w w:val="99"/>
      <w:sz w:val="34"/>
    </w:rPr>
  </w:style>
  <w:style w:type="paragraph" w:customStyle="1" w:styleId="H23">
    <w:name w:val="_ H_2/3"/>
    <w:basedOn w:val="H1"/>
    <w:next w:val="SingleTxt"/>
    <w:rsid w:val="00E43891"/>
    <w:pPr>
      <w:spacing w:line="240" w:lineRule="exact"/>
      <w:outlineLvl w:val="1"/>
    </w:pPr>
    <w:rPr>
      <w:spacing w:val="2"/>
      <w:sz w:val="20"/>
    </w:rPr>
  </w:style>
  <w:style w:type="paragraph" w:customStyle="1" w:styleId="H4">
    <w:name w:val="_ H_4"/>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E43891"/>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E43891"/>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E43891"/>
    <w:pPr>
      <w:spacing w:line="540" w:lineRule="exact"/>
    </w:pPr>
    <w:rPr>
      <w:spacing w:val="-8"/>
      <w:w w:val="96"/>
      <w:sz w:val="57"/>
    </w:rPr>
  </w:style>
  <w:style w:type="paragraph" w:customStyle="1" w:styleId="SS">
    <w:name w:val="__S_S"/>
    <w:basedOn w:val="HCh"/>
    <w:next w:val="Normal"/>
    <w:rsid w:val="00E43891"/>
    <w:pPr>
      <w:ind w:left="1267" w:right="1267"/>
    </w:pPr>
  </w:style>
  <w:style w:type="paragraph" w:customStyle="1" w:styleId="SingleTxt">
    <w:name w:val="__Single Txt"/>
    <w:basedOn w:val="Normal"/>
    <w:rsid w:val="00E438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Small">
    <w:name w:val="Small"/>
    <w:basedOn w:val="Normal"/>
    <w:next w:val="Normal"/>
    <w:rsid w:val="00E43891"/>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E43891"/>
    <w:pPr>
      <w:spacing w:line="180" w:lineRule="exact"/>
      <w:jc w:val="right"/>
    </w:pPr>
    <w:rPr>
      <w:spacing w:val="6"/>
      <w:w w:val="106"/>
      <w:sz w:val="14"/>
    </w:rPr>
  </w:style>
  <w:style w:type="paragraph" w:customStyle="1" w:styleId="XLarge">
    <w:name w:val="XLarge"/>
    <w:basedOn w:val="HM"/>
    <w:rsid w:val="00E43891"/>
    <w:pPr>
      <w:spacing w:line="390" w:lineRule="exact"/>
    </w:pPr>
    <w:rPr>
      <w:spacing w:val="-4"/>
      <w:w w:val="98"/>
      <w:sz w:val="40"/>
    </w:rPr>
  </w:style>
  <w:style w:type="paragraph" w:customStyle="1" w:styleId="AgendaTitle">
    <w:name w:val="AgendaTitle"/>
    <w:basedOn w:val="Normal"/>
    <w:next w:val="Normal"/>
    <w:rsid w:val="00E43891"/>
    <w:pPr>
      <w:spacing w:line="240" w:lineRule="exact"/>
    </w:pPr>
    <w:rPr>
      <w:rFonts w:eastAsiaTheme="minorEastAsia"/>
      <w:spacing w:val="4"/>
      <w:w w:val="103"/>
      <w:kern w:val="14"/>
      <w:lang w:eastAsia="zh-CN"/>
    </w:rPr>
  </w:style>
  <w:style w:type="paragraph" w:customStyle="1" w:styleId="Committee">
    <w:name w:val="Committee"/>
    <w:basedOn w:val="H1"/>
    <w:rsid w:val="00E43891"/>
    <w:pPr>
      <w:ind w:left="0" w:firstLine="0"/>
    </w:pPr>
  </w:style>
  <w:style w:type="paragraph" w:customStyle="1" w:styleId="Session">
    <w:name w:val="Session"/>
    <w:basedOn w:val="H23"/>
    <w:rsid w:val="00E43891"/>
    <w:pPr>
      <w:ind w:left="0" w:firstLine="0"/>
    </w:pPr>
    <w:rPr>
      <w:spacing w:val="4"/>
    </w:rPr>
  </w:style>
  <w:style w:type="paragraph" w:customStyle="1" w:styleId="Sponsors">
    <w:name w:val="Sponsors"/>
    <w:basedOn w:val="H23"/>
    <w:rsid w:val="00E43891"/>
  </w:style>
  <w:style w:type="paragraph" w:customStyle="1" w:styleId="Title1">
    <w:name w:val="Title 1"/>
    <w:basedOn w:val="HCh"/>
    <w:rsid w:val="00E43891"/>
    <w:pPr>
      <w:ind w:left="1267" w:right="1267" w:hanging="1267"/>
    </w:pPr>
  </w:style>
  <w:style w:type="paragraph" w:customStyle="1" w:styleId="Title2">
    <w:name w:val="Title 2"/>
    <w:basedOn w:val="H1"/>
    <w:rsid w:val="00E43891"/>
    <w:pPr>
      <w:ind w:left="0" w:right="0" w:firstLine="0"/>
    </w:pPr>
  </w:style>
  <w:style w:type="paragraph" w:customStyle="1" w:styleId="Type">
    <w:name w:val="Type"/>
    <w:basedOn w:val="H23"/>
    <w:autoRedefine/>
    <w:rsid w:val="00E43891"/>
    <w:pPr>
      <w:ind w:left="0" w:right="576" w:firstLine="0"/>
    </w:pPr>
  </w:style>
  <w:style w:type="paragraph" w:customStyle="1" w:styleId="Distribution">
    <w:name w:val="Distribution"/>
    <w:next w:val="Normal"/>
    <w:rsid w:val="00E43891"/>
    <w:pPr>
      <w:spacing w:before="240"/>
    </w:pPr>
    <w:rPr>
      <w:rFonts w:eastAsiaTheme="minorEastAsia"/>
      <w:spacing w:val="4"/>
      <w:w w:val="103"/>
      <w:kern w:val="14"/>
      <w:lang w:eastAsia="zh-CN"/>
    </w:rPr>
  </w:style>
  <w:style w:type="paragraph" w:customStyle="1" w:styleId="Publication">
    <w:name w:val="Publication"/>
    <w:next w:val="Normal"/>
    <w:rsid w:val="00E43891"/>
    <w:rPr>
      <w:rFonts w:eastAsiaTheme="minorEastAsia"/>
      <w:spacing w:val="4"/>
      <w:w w:val="103"/>
      <w:kern w:val="14"/>
      <w:lang w:eastAsia="zh-CN"/>
    </w:rPr>
  </w:style>
  <w:style w:type="paragraph" w:customStyle="1" w:styleId="Original">
    <w:name w:val="Original"/>
    <w:next w:val="Normal"/>
    <w:rsid w:val="00E43891"/>
    <w:rPr>
      <w:rFonts w:eastAsiaTheme="minorEastAsia"/>
      <w:spacing w:val="4"/>
      <w:w w:val="103"/>
      <w:kern w:val="14"/>
      <w:lang w:eastAsia="zh-CN"/>
    </w:rPr>
  </w:style>
  <w:style w:type="paragraph" w:customStyle="1" w:styleId="ReleaseDate">
    <w:name w:val="Release Date"/>
    <w:next w:val="Footer"/>
    <w:rsid w:val="00E43891"/>
    <w:rPr>
      <w:rFonts w:eastAsiaTheme="minorEastAsia"/>
      <w:spacing w:val="4"/>
      <w:w w:val="103"/>
      <w:kern w:val="14"/>
      <w:lang w:eastAsia="zh-CN"/>
    </w:rPr>
  </w:style>
  <w:style w:type="paragraph" w:customStyle="1" w:styleId="Bullet1">
    <w:name w:val="Bullet 1"/>
    <w:basedOn w:val="Normal"/>
    <w:qFormat/>
    <w:rsid w:val="00E43891"/>
    <w:pPr>
      <w:numPr>
        <w:numId w:val="33"/>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E43891"/>
    <w:pPr>
      <w:numPr>
        <w:numId w:val="32"/>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E4389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customStyle="1" w:styleId="apple-converted-space">
    <w:name w:val="apple-converted-space"/>
    <w:basedOn w:val="DefaultParagraphFont"/>
    <w:rsid w:val="00E43891"/>
  </w:style>
  <w:style w:type="paragraph" w:customStyle="1" w:styleId="NumPar1">
    <w:name w:val="NumPar 1"/>
    <w:basedOn w:val="Normal"/>
    <w:next w:val="Normal"/>
    <w:link w:val="NumPar1Char"/>
    <w:rsid w:val="00663FD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663FDF"/>
    <w:rPr>
      <w:rFonts w:ascii="Arial" w:eastAsia="SimSun"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33852">
      <w:bodyDiv w:val="1"/>
      <w:marLeft w:val="0"/>
      <w:marRight w:val="0"/>
      <w:marTop w:val="0"/>
      <w:marBottom w:val="0"/>
      <w:divBdr>
        <w:top w:val="none" w:sz="0" w:space="0" w:color="auto"/>
        <w:left w:val="none" w:sz="0" w:space="0" w:color="auto"/>
        <w:bottom w:val="none" w:sz="0" w:space="0" w:color="auto"/>
        <w:right w:val="none" w:sz="0" w:space="0" w:color="auto"/>
      </w:divBdr>
    </w:div>
    <w:div w:id="984823283">
      <w:bodyDiv w:val="1"/>
      <w:marLeft w:val="0"/>
      <w:marRight w:val="0"/>
      <w:marTop w:val="0"/>
      <w:marBottom w:val="0"/>
      <w:divBdr>
        <w:top w:val="none" w:sz="0" w:space="0" w:color="auto"/>
        <w:left w:val="none" w:sz="0" w:space="0" w:color="auto"/>
        <w:bottom w:val="none" w:sz="0" w:space="0" w:color="auto"/>
        <w:right w:val="none" w:sz="0" w:space="0" w:color="auto"/>
      </w:divBdr>
    </w:div>
    <w:div w:id="1084574166">
      <w:bodyDiv w:val="1"/>
      <w:marLeft w:val="0"/>
      <w:marRight w:val="0"/>
      <w:marTop w:val="0"/>
      <w:marBottom w:val="0"/>
      <w:divBdr>
        <w:top w:val="none" w:sz="0" w:space="0" w:color="auto"/>
        <w:left w:val="none" w:sz="0" w:space="0" w:color="auto"/>
        <w:bottom w:val="none" w:sz="0" w:space="0" w:color="auto"/>
        <w:right w:val="none" w:sz="0" w:space="0" w:color="auto"/>
      </w:divBdr>
    </w:div>
    <w:div w:id="1517649337">
      <w:bodyDiv w:val="1"/>
      <w:marLeft w:val="0"/>
      <w:marRight w:val="0"/>
      <w:marTop w:val="0"/>
      <w:marBottom w:val="0"/>
      <w:divBdr>
        <w:top w:val="none" w:sz="0" w:space="0" w:color="auto"/>
        <w:left w:val="none" w:sz="0" w:space="0" w:color="auto"/>
        <w:bottom w:val="none" w:sz="0" w:space="0" w:color="auto"/>
        <w:right w:val="none" w:sz="0" w:space="0" w:color="auto"/>
      </w:divBdr>
    </w:div>
    <w:div w:id="1608344848">
      <w:bodyDiv w:val="1"/>
      <w:marLeft w:val="0"/>
      <w:marRight w:val="0"/>
      <w:marTop w:val="0"/>
      <w:marBottom w:val="0"/>
      <w:divBdr>
        <w:top w:val="none" w:sz="0" w:space="0" w:color="auto"/>
        <w:left w:val="none" w:sz="0" w:space="0" w:color="auto"/>
        <w:bottom w:val="none" w:sz="0" w:space="0" w:color="auto"/>
        <w:right w:val="none" w:sz="0" w:space="0" w:color="auto"/>
      </w:divBdr>
    </w:div>
    <w:div w:id="21221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F358-2D71-4E42-9A23-12249EBB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6</TotalTime>
  <Pages>7</Pages>
  <Words>2101</Words>
  <Characters>11979</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OTIF</dc:creator>
  <cp:lastModifiedBy>Caillot</cp:lastModifiedBy>
  <cp:revision>4</cp:revision>
  <cp:lastPrinted>2016-04-28T15:38:00Z</cp:lastPrinted>
  <dcterms:created xsi:type="dcterms:W3CDTF">2016-08-29T07:57:00Z</dcterms:created>
  <dcterms:modified xsi:type="dcterms:W3CDTF">2016-08-30T12:05:00Z</dcterms:modified>
</cp:coreProperties>
</file>