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FB265F">
            <w:pPr>
              <w:suppressAutoHyphens w:val="0"/>
              <w:spacing w:after="20"/>
              <w:jc w:val="right"/>
              <w:rPr>
                <w:b/>
                <w:sz w:val="28"/>
                <w:szCs w:val="28"/>
              </w:rPr>
            </w:pPr>
            <w:r w:rsidRPr="008268C5">
              <w:rPr>
                <w:b/>
                <w:sz w:val="28"/>
                <w:szCs w:val="28"/>
              </w:rPr>
              <w:t>INF.</w:t>
            </w:r>
            <w:r w:rsidR="00EF0F12">
              <w:rPr>
                <w:b/>
                <w:sz w:val="28"/>
                <w:szCs w:val="28"/>
              </w:rPr>
              <w:t>1</w:t>
            </w:r>
            <w:r w:rsidR="00FB265F">
              <w:rPr>
                <w:b/>
                <w:sz w:val="28"/>
                <w:szCs w:val="28"/>
              </w:rPr>
              <w:t>2</w:t>
            </w:r>
            <w:r w:rsidR="00815E91" w:rsidRPr="008268C5">
              <w:rPr>
                <w:b/>
                <w:sz w:val="28"/>
                <w:szCs w:val="28"/>
              </w:rPr>
              <w:t xml:space="preserve"> </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B25EB2" w:rsidP="00AB32F7">
      <w:pPr>
        <w:spacing w:before="120"/>
        <w:rPr>
          <w:b/>
        </w:rPr>
      </w:pPr>
      <w:proofErr w:type="gramStart"/>
      <w:r w:rsidRPr="008268C5">
        <w:rPr>
          <w:b/>
        </w:rPr>
        <w:t>10</w:t>
      </w:r>
      <w:r w:rsidR="00192D6D">
        <w:rPr>
          <w:b/>
        </w:rPr>
        <w:t>1st</w:t>
      </w:r>
      <w:proofErr w:type="gramEnd"/>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0C6293">
        <w:rPr>
          <w:b/>
        </w:rPr>
        <w:t>26 October</w:t>
      </w:r>
      <w:r w:rsidR="006162FB">
        <w:rPr>
          <w:b/>
        </w:rPr>
        <w:t xml:space="preserve"> 2016</w:t>
      </w:r>
    </w:p>
    <w:p w:rsidR="00AB32F7" w:rsidRPr="008268C5" w:rsidRDefault="00AB32F7" w:rsidP="00AB32F7">
      <w:r w:rsidRPr="008268C5">
        <w:t xml:space="preserve">Geneva, </w:t>
      </w:r>
      <w:r w:rsidR="00192D6D">
        <w:t>8</w:t>
      </w:r>
      <w:r w:rsidRPr="008268C5">
        <w:t>–</w:t>
      </w:r>
      <w:r w:rsidR="00192D6D">
        <w:t>11</w:t>
      </w:r>
      <w:r w:rsidRPr="008268C5">
        <w:t xml:space="preserve"> </w:t>
      </w:r>
      <w:r w:rsidR="00192D6D">
        <w:t>November</w:t>
      </w:r>
      <w:r w:rsidRPr="008268C5">
        <w:t xml:space="preserve"> </w:t>
      </w:r>
      <w:r w:rsidR="00B25EB2" w:rsidRPr="008268C5">
        <w:t>2016</w:t>
      </w:r>
    </w:p>
    <w:p w:rsidR="00FB265F" w:rsidRDefault="00FB265F" w:rsidP="00FB265F">
      <w:r w:rsidRPr="007E194E">
        <w:t xml:space="preserve">Item </w:t>
      </w:r>
      <w:r>
        <w:t>5</w:t>
      </w:r>
      <w:r w:rsidRPr="007E194E">
        <w:t xml:space="preserve"> </w:t>
      </w:r>
      <w:r>
        <w:t>(a</w:t>
      </w:r>
      <w:r w:rsidRPr="007E194E">
        <w:t>) of the provisional agenda</w:t>
      </w:r>
    </w:p>
    <w:p w:rsidR="00FB265F" w:rsidRPr="009F7E97" w:rsidRDefault="00FB265F" w:rsidP="00FB265F">
      <w:pPr>
        <w:rPr>
          <w:b/>
        </w:rPr>
      </w:pPr>
      <w:r w:rsidRPr="009F7E97">
        <w:rPr>
          <w:b/>
        </w:rPr>
        <w:t>Proposals for amendments to annexes A and B of ADR:</w:t>
      </w:r>
    </w:p>
    <w:p w:rsidR="00FB265F" w:rsidRPr="007E194E" w:rsidRDefault="00FB265F" w:rsidP="00FB265F">
      <w:pPr>
        <w:rPr>
          <w:b/>
        </w:rPr>
      </w:pPr>
      <w:proofErr w:type="gramStart"/>
      <w:r>
        <w:rPr>
          <w:b/>
        </w:rPr>
        <w:t>c</w:t>
      </w:r>
      <w:r w:rsidRPr="007E194E">
        <w:rPr>
          <w:b/>
        </w:rPr>
        <w:t>onstruction</w:t>
      </w:r>
      <w:proofErr w:type="gramEnd"/>
      <w:r w:rsidRPr="007E194E">
        <w:rPr>
          <w:b/>
        </w:rPr>
        <w:t xml:space="preserve"> </w:t>
      </w:r>
      <w:r>
        <w:rPr>
          <w:b/>
        </w:rPr>
        <w:t xml:space="preserve">and approval </w:t>
      </w:r>
      <w:r w:rsidRPr="007E194E">
        <w:rPr>
          <w:b/>
        </w:rPr>
        <w:t>of vehicles</w:t>
      </w:r>
    </w:p>
    <w:p w:rsidR="00FB265F" w:rsidRPr="00F96999" w:rsidRDefault="00FB265F" w:rsidP="00FB265F">
      <w:pPr>
        <w:pStyle w:val="HChG"/>
      </w:pPr>
      <w:r w:rsidRPr="00F96999">
        <w:tab/>
      </w:r>
      <w:r w:rsidRPr="00F96999">
        <w:tab/>
      </w:r>
      <w:r>
        <w:t xml:space="preserve">Correction of the table in 9.2.1.1 for item 9.2.6  </w:t>
      </w:r>
      <w:r w:rsidRPr="00F96999">
        <w:t xml:space="preserve">  </w:t>
      </w:r>
    </w:p>
    <w:p w:rsidR="00FB265F" w:rsidRDefault="00FB265F" w:rsidP="00FB265F">
      <w:pPr>
        <w:pStyle w:val="H1G"/>
      </w:pPr>
      <w:r w:rsidRPr="00F96999">
        <w:tab/>
      </w:r>
      <w:r w:rsidRPr="00F96999">
        <w:tab/>
        <w:t>Transmitted by the Government of the Netherlands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82"/>
      </w:tblGrid>
      <w:tr w:rsidR="00FB265F" w:rsidRPr="00E62341" w:rsidTr="0063785A">
        <w:trPr>
          <w:jc w:val="center"/>
        </w:trPr>
        <w:tc>
          <w:tcPr>
            <w:tcW w:w="9082" w:type="dxa"/>
            <w:tcBorders>
              <w:bottom w:val="nil"/>
            </w:tcBorders>
            <w:shd w:val="clear" w:color="auto" w:fill="auto"/>
          </w:tcPr>
          <w:p w:rsidR="00FB265F" w:rsidRPr="00E62341" w:rsidRDefault="00FB265F" w:rsidP="0063785A">
            <w:pPr>
              <w:tabs>
                <w:tab w:val="left" w:pos="255"/>
              </w:tabs>
              <w:suppressAutoHyphens w:val="0"/>
              <w:spacing w:before="120" w:after="120"/>
              <w:rPr>
                <w:rFonts w:eastAsia="Arial"/>
                <w:sz w:val="24"/>
              </w:rPr>
            </w:pPr>
            <w:r>
              <w:br w:type="page"/>
            </w:r>
            <w:r w:rsidRPr="00E62341">
              <w:rPr>
                <w:rFonts w:eastAsia="Arial"/>
              </w:rPr>
              <w:tab/>
            </w:r>
            <w:r w:rsidRPr="00E62341">
              <w:rPr>
                <w:rFonts w:eastAsia="Arial"/>
                <w:i/>
                <w:sz w:val="24"/>
              </w:rPr>
              <w:t>Summary</w:t>
            </w:r>
          </w:p>
        </w:tc>
      </w:tr>
      <w:tr w:rsidR="00FB265F" w:rsidRPr="00E62341" w:rsidTr="0063785A">
        <w:trPr>
          <w:jc w:val="center"/>
        </w:trPr>
        <w:tc>
          <w:tcPr>
            <w:tcW w:w="9082" w:type="dxa"/>
            <w:tcBorders>
              <w:top w:val="nil"/>
              <w:bottom w:val="nil"/>
            </w:tcBorders>
            <w:shd w:val="clear" w:color="auto" w:fill="auto"/>
          </w:tcPr>
          <w:p w:rsidR="00FB265F" w:rsidRPr="00DC1F0A" w:rsidRDefault="00FB265F" w:rsidP="0063785A">
            <w:pPr>
              <w:pStyle w:val="FootnoteText"/>
              <w:tabs>
                <w:tab w:val="clear" w:pos="1021"/>
                <w:tab w:val="left" w:pos="3260"/>
              </w:tabs>
              <w:spacing w:after="120" w:line="240" w:lineRule="atLeast"/>
              <w:ind w:left="3260" w:hanging="2126"/>
              <w:jc w:val="both"/>
              <w:rPr>
                <w:b/>
              </w:rPr>
            </w:pPr>
            <w:r w:rsidRPr="009F7E97">
              <w:rPr>
                <w:b/>
                <w:sz w:val="20"/>
              </w:rPr>
              <w:t>Executive summary</w:t>
            </w:r>
            <w:r w:rsidRPr="009F7E97">
              <w:rPr>
                <w:sz w:val="20"/>
              </w:rPr>
              <w:t>:</w:t>
            </w:r>
            <w:r w:rsidRPr="009F7E97">
              <w:rPr>
                <w:sz w:val="20"/>
              </w:rPr>
              <w:tab/>
            </w:r>
            <w:r w:rsidRPr="009F7E97">
              <w:rPr>
                <w:sz w:val="20"/>
                <w:lang w:val="en-US"/>
              </w:rPr>
              <w:t xml:space="preserve">Correct the wording of the transitional measure “j” in the column “comments” </w:t>
            </w:r>
            <w:r w:rsidRPr="00D4763F">
              <w:rPr>
                <w:sz w:val="20"/>
                <w:lang w:val="en-US"/>
              </w:rPr>
              <w:t xml:space="preserve">for item </w:t>
            </w:r>
            <w:r w:rsidRPr="009F7E97">
              <w:rPr>
                <w:sz w:val="20"/>
              </w:rPr>
              <w:t>9.2.6 in table 9.2.1.1 of ADR 2017.</w:t>
            </w:r>
          </w:p>
        </w:tc>
      </w:tr>
      <w:tr w:rsidR="00FB265F" w:rsidRPr="00E62341" w:rsidTr="0063785A">
        <w:trPr>
          <w:jc w:val="center"/>
        </w:trPr>
        <w:tc>
          <w:tcPr>
            <w:tcW w:w="9082" w:type="dxa"/>
            <w:tcBorders>
              <w:top w:val="nil"/>
              <w:bottom w:val="nil"/>
            </w:tcBorders>
            <w:shd w:val="clear" w:color="auto" w:fill="auto"/>
          </w:tcPr>
          <w:p w:rsidR="00FB265F" w:rsidRDefault="00FB265F" w:rsidP="0063785A">
            <w:pPr>
              <w:pStyle w:val="FootnoteText"/>
              <w:tabs>
                <w:tab w:val="clear" w:pos="1021"/>
                <w:tab w:val="left" w:pos="3260"/>
              </w:tabs>
              <w:spacing w:after="120" w:line="240" w:lineRule="atLeast"/>
              <w:ind w:left="3260" w:hanging="2126"/>
              <w:rPr>
                <w:rFonts w:eastAsia="Arial"/>
              </w:rPr>
            </w:pPr>
            <w:r w:rsidRPr="00165FF1">
              <w:rPr>
                <w:rFonts w:eastAsia="Arial"/>
                <w:b/>
                <w:sz w:val="20"/>
              </w:rPr>
              <w:t>Action to be taken</w:t>
            </w:r>
            <w:r w:rsidRPr="00165FF1">
              <w:rPr>
                <w:rFonts w:eastAsia="Arial"/>
                <w:sz w:val="20"/>
              </w:rPr>
              <w:t>:</w:t>
            </w:r>
            <w:r w:rsidRPr="00165FF1">
              <w:rPr>
                <w:rFonts w:eastAsia="Arial"/>
                <w:sz w:val="20"/>
              </w:rPr>
              <w:tab/>
              <w:t>Delete the wording “and motor vehicles”</w:t>
            </w:r>
          </w:p>
          <w:p w:rsidR="00FB265F" w:rsidRPr="00165FF1" w:rsidRDefault="00FB265F" w:rsidP="0063785A">
            <w:pPr>
              <w:rPr>
                <w:rFonts w:eastAsia="Arial"/>
              </w:rPr>
            </w:pPr>
          </w:p>
        </w:tc>
      </w:tr>
      <w:tr w:rsidR="00FB265F" w:rsidRPr="00E62341" w:rsidTr="0063785A">
        <w:trPr>
          <w:jc w:val="center"/>
        </w:trPr>
        <w:tc>
          <w:tcPr>
            <w:tcW w:w="9082" w:type="dxa"/>
            <w:tcBorders>
              <w:top w:val="nil"/>
              <w:bottom w:val="nil"/>
            </w:tcBorders>
            <w:shd w:val="clear" w:color="auto" w:fill="auto"/>
          </w:tcPr>
          <w:p w:rsidR="00FB265F" w:rsidRPr="00165FF1" w:rsidRDefault="00FB265F" w:rsidP="0063785A">
            <w:pPr>
              <w:pStyle w:val="FootnoteText"/>
              <w:tabs>
                <w:tab w:val="clear" w:pos="1021"/>
                <w:tab w:val="left" w:pos="3260"/>
              </w:tabs>
              <w:spacing w:line="240" w:lineRule="atLeast"/>
              <w:ind w:left="3260" w:hanging="2126"/>
            </w:pPr>
            <w:r w:rsidRPr="00165FF1">
              <w:rPr>
                <w:rFonts w:eastAsia="Arial"/>
                <w:b/>
                <w:sz w:val="20"/>
              </w:rPr>
              <w:t>Reference document</w:t>
            </w:r>
            <w:r w:rsidRPr="00165FF1">
              <w:rPr>
                <w:rFonts w:eastAsia="Arial"/>
                <w:sz w:val="20"/>
              </w:rPr>
              <w:t>:</w:t>
            </w:r>
            <w:r w:rsidRPr="00165FF1">
              <w:rPr>
                <w:rFonts w:eastAsia="Arial"/>
                <w:sz w:val="20"/>
              </w:rPr>
              <w:tab/>
            </w:r>
            <w:r w:rsidRPr="00165FF1">
              <w:rPr>
                <w:sz w:val="20"/>
              </w:rPr>
              <w:t>ECE/TRANS/WP.15/2015/1</w:t>
            </w:r>
            <w:r>
              <w:t>5</w:t>
            </w:r>
            <w:r w:rsidRPr="00757CF4">
              <w:rPr>
                <w:sz w:val="20"/>
              </w:rPr>
              <w:t xml:space="preserve"> and ECE/TRANS/WP.15/230 paragraph 3</w:t>
            </w:r>
            <w:r>
              <w:rPr>
                <w:sz w:val="20"/>
              </w:rPr>
              <w:t>7</w:t>
            </w:r>
            <w:r w:rsidRPr="00757CF4">
              <w:rPr>
                <w:sz w:val="20"/>
              </w:rPr>
              <w:t>.</w:t>
            </w:r>
          </w:p>
        </w:tc>
      </w:tr>
      <w:tr w:rsidR="00FB265F" w:rsidRPr="00E62341" w:rsidTr="0063785A">
        <w:trPr>
          <w:jc w:val="center"/>
        </w:trPr>
        <w:tc>
          <w:tcPr>
            <w:tcW w:w="9082" w:type="dxa"/>
            <w:tcBorders>
              <w:top w:val="nil"/>
            </w:tcBorders>
            <w:shd w:val="clear" w:color="auto" w:fill="auto"/>
          </w:tcPr>
          <w:p w:rsidR="00FB265F" w:rsidRPr="00E62341" w:rsidRDefault="00FB265F" w:rsidP="0063785A">
            <w:pPr>
              <w:suppressAutoHyphens w:val="0"/>
              <w:rPr>
                <w:rFonts w:eastAsia="Arial"/>
              </w:rPr>
            </w:pPr>
          </w:p>
        </w:tc>
      </w:tr>
    </w:tbl>
    <w:p w:rsidR="00FB265F" w:rsidRPr="009F7E97" w:rsidRDefault="00FB265F" w:rsidP="00FB265F">
      <w:pPr>
        <w:pStyle w:val="HChG"/>
      </w:pPr>
      <w:r>
        <w:rPr>
          <w:lang w:val="fr-CH"/>
        </w:rPr>
        <w:tab/>
      </w:r>
      <w:r>
        <w:rPr>
          <w:lang w:val="fr-CH"/>
        </w:rPr>
        <w:tab/>
      </w:r>
      <w:r w:rsidRPr="009F7E97">
        <w:t>Introduction</w:t>
      </w:r>
    </w:p>
    <w:p w:rsidR="00FB265F" w:rsidRPr="009F7E97" w:rsidRDefault="00FB265F" w:rsidP="00FB265F">
      <w:pPr>
        <w:pStyle w:val="SingleTxtG"/>
      </w:pPr>
      <w:r>
        <w:t>1.</w:t>
      </w:r>
      <w:r>
        <w:tab/>
      </w:r>
      <w:r w:rsidRPr="009F7E97">
        <w:t>For the 2017 version of ADR the requirements for vehicles carrying dangerous goods were reconsidered and amended where needed.</w:t>
      </w:r>
    </w:p>
    <w:p w:rsidR="00FB265F" w:rsidRPr="00165FF1" w:rsidRDefault="00FB265F" w:rsidP="00FB265F">
      <w:pPr>
        <w:pStyle w:val="SingleTxtG"/>
      </w:pPr>
      <w:r w:rsidRPr="009F7E97">
        <w:t>2.</w:t>
      </w:r>
      <w:r w:rsidRPr="009F7E97">
        <w:tab/>
      </w:r>
      <w:r w:rsidRPr="00D4763F">
        <w:t>In the table of 9.2.1.1</w:t>
      </w:r>
      <w:r w:rsidRPr="00165FF1">
        <w:t xml:space="preserve"> the following wording can be found:</w:t>
      </w:r>
    </w:p>
    <w:tbl>
      <w:tblPr>
        <w:tblStyle w:val="TableGrid"/>
        <w:tblW w:w="0" w:type="auto"/>
        <w:tblLayout w:type="fixed"/>
        <w:tblLook w:val="04A0" w:firstRow="1" w:lastRow="0" w:firstColumn="1" w:lastColumn="0" w:noHBand="0" w:noVBand="1"/>
      </w:tblPr>
      <w:tblGrid>
        <w:gridCol w:w="675"/>
        <w:gridCol w:w="2127"/>
        <w:gridCol w:w="708"/>
        <w:gridCol w:w="709"/>
        <w:gridCol w:w="567"/>
        <w:gridCol w:w="567"/>
        <w:gridCol w:w="3859"/>
      </w:tblGrid>
      <w:tr w:rsidR="00FB265F" w:rsidRPr="00D4763F" w:rsidTr="0063785A">
        <w:tc>
          <w:tcPr>
            <w:tcW w:w="2802" w:type="dxa"/>
            <w:gridSpan w:val="2"/>
          </w:tcPr>
          <w:p w:rsidR="00FB265F" w:rsidRPr="00D4763F" w:rsidRDefault="00FB265F" w:rsidP="00FB265F">
            <w:pPr>
              <w:spacing w:before="60" w:after="60"/>
              <w:rPr>
                <w:lang w:val="en-US"/>
              </w:rPr>
            </w:pPr>
          </w:p>
        </w:tc>
        <w:tc>
          <w:tcPr>
            <w:tcW w:w="2551" w:type="dxa"/>
            <w:gridSpan w:val="4"/>
          </w:tcPr>
          <w:p w:rsidR="00FB265F" w:rsidRPr="009F7E97" w:rsidRDefault="00FB265F" w:rsidP="00FB265F">
            <w:pPr>
              <w:spacing w:before="60" w:after="60"/>
              <w:jc w:val="center"/>
              <w:rPr>
                <w:lang w:val="en-US"/>
              </w:rPr>
            </w:pPr>
            <w:r w:rsidRPr="009F7E97">
              <w:rPr>
                <w:lang w:val="en-US"/>
              </w:rPr>
              <w:t>VEHICLES</w:t>
            </w:r>
          </w:p>
        </w:tc>
        <w:tc>
          <w:tcPr>
            <w:tcW w:w="3859" w:type="dxa"/>
          </w:tcPr>
          <w:p w:rsidR="00FB265F" w:rsidRPr="009F7E97" w:rsidRDefault="00FB265F" w:rsidP="00FB265F">
            <w:pPr>
              <w:spacing w:before="60" w:after="60"/>
              <w:jc w:val="center"/>
              <w:rPr>
                <w:lang w:val="en-US"/>
              </w:rPr>
            </w:pPr>
            <w:r w:rsidRPr="009F7E97">
              <w:rPr>
                <w:lang w:val="en-US"/>
              </w:rPr>
              <w:t>COMMENTS</w:t>
            </w:r>
          </w:p>
        </w:tc>
      </w:tr>
      <w:tr w:rsidR="00FB265F" w:rsidRPr="00D4763F" w:rsidTr="0063785A">
        <w:tc>
          <w:tcPr>
            <w:tcW w:w="2802" w:type="dxa"/>
            <w:gridSpan w:val="2"/>
          </w:tcPr>
          <w:p w:rsidR="00FB265F" w:rsidRPr="009F7E97" w:rsidRDefault="00FB265F" w:rsidP="00FB265F">
            <w:pPr>
              <w:spacing w:before="60" w:after="60"/>
              <w:jc w:val="both"/>
              <w:rPr>
                <w:lang w:val="en-US"/>
              </w:rPr>
            </w:pPr>
            <w:r w:rsidRPr="009F7E97">
              <w:rPr>
                <w:lang w:val="en-US"/>
              </w:rPr>
              <w:t>TECHNICAL SPECIFICATIONS</w:t>
            </w:r>
          </w:p>
        </w:tc>
        <w:tc>
          <w:tcPr>
            <w:tcW w:w="708" w:type="dxa"/>
          </w:tcPr>
          <w:p w:rsidR="00FB265F" w:rsidRPr="009F7E97" w:rsidRDefault="00FB265F" w:rsidP="00FB265F">
            <w:pPr>
              <w:spacing w:before="60" w:after="60"/>
              <w:jc w:val="center"/>
              <w:rPr>
                <w:lang w:val="en-US"/>
              </w:rPr>
            </w:pPr>
            <w:r w:rsidRPr="009F7E97">
              <w:rPr>
                <w:lang w:val="en-US"/>
              </w:rPr>
              <w:t>EX/II</w:t>
            </w:r>
          </w:p>
        </w:tc>
        <w:tc>
          <w:tcPr>
            <w:tcW w:w="709" w:type="dxa"/>
          </w:tcPr>
          <w:p w:rsidR="00FB265F" w:rsidRPr="009F7E97" w:rsidRDefault="00FB265F" w:rsidP="00FB265F">
            <w:pPr>
              <w:spacing w:before="60" w:after="60"/>
              <w:jc w:val="center"/>
              <w:rPr>
                <w:lang w:val="en-US"/>
              </w:rPr>
            </w:pPr>
            <w:r w:rsidRPr="009F7E97">
              <w:rPr>
                <w:lang w:val="en-US"/>
              </w:rPr>
              <w:t>EX/III</w:t>
            </w:r>
          </w:p>
        </w:tc>
        <w:tc>
          <w:tcPr>
            <w:tcW w:w="567" w:type="dxa"/>
          </w:tcPr>
          <w:p w:rsidR="00FB265F" w:rsidRPr="009F7E97" w:rsidRDefault="00FB265F" w:rsidP="00FB265F">
            <w:pPr>
              <w:spacing w:before="60" w:after="60"/>
              <w:jc w:val="center"/>
              <w:rPr>
                <w:lang w:val="en-US"/>
              </w:rPr>
            </w:pPr>
            <w:r w:rsidRPr="009F7E97">
              <w:rPr>
                <w:lang w:val="en-US"/>
              </w:rPr>
              <w:t>AT</w:t>
            </w:r>
          </w:p>
        </w:tc>
        <w:tc>
          <w:tcPr>
            <w:tcW w:w="567" w:type="dxa"/>
          </w:tcPr>
          <w:p w:rsidR="00FB265F" w:rsidRPr="009F7E97" w:rsidRDefault="00FB265F" w:rsidP="00FB265F">
            <w:pPr>
              <w:spacing w:before="60" w:after="60"/>
              <w:jc w:val="center"/>
              <w:rPr>
                <w:lang w:val="en-US"/>
              </w:rPr>
            </w:pPr>
            <w:r w:rsidRPr="009F7E97">
              <w:rPr>
                <w:lang w:val="en-US"/>
              </w:rPr>
              <w:t>FL</w:t>
            </w:r>
          </w:p>
        </w:tc>
        <w:tc>
          <w:tcPr>
            <w:tcW w:w="3859" w:type="dxa"/>
          </w:tcPr>
          <w:p w:rsidR="00FB265F" w:rsidRPr="00D4763F" w:rsidRDefault="00FB265F" w:rsidP="00FB265F">
            <w:pPr>
              <w:spacing w:before="60" w:after="60"/>
              <w:rPr>
                <w:vertAlign w:val="superscript"/>
                <w:lang w:val="en-US"/>
              </w:rPr>
            </w:pPr>
          </w:p>
        </w:tc>
      </w:tr>
      <w:tr w:rsidR="00FB265F" w:rsidRPr="00D4763F" w:rsidTr="0063785A">
        <w:tc>
          <w:tcPr>
            <w:tcW w:w="675" w:type="dxa"/>
          </w:tcPr>
          <w:p w:rsidR="00FB265F" w:rsidRPr="00D4763F" w:rsidRDefault="00FB265F" w:rsidP="00FB265F">
            <w:pPr>
              <w:spacing w:before="60" w:after="60"/>
              <w:rPr>
                <w:lang w:val="en-US"/>
              </w:rPr>
            </w:pPr>
          </w:p>
        </w:tc>
        <w:tc>
          <w:tcPr>
            <w:tcW w:w="2127" w:type="dxa"/>
          </w:tcPr>
          <w:p w:rsidR="00FB265F" w:rsidRPr="00D4763F" w:rsidRDefault="00FB265F" w:rsidP="00FB265F">
            <w:pPr>
              <w:spacing w:before="60" w:after="60"/>
              <w:rPr>
                <w:lang w:val="en-US"/>
              </w:rPr>
            </w:pPr>
          </w:p>
        </w:tc>
        <w:tc>
          <w:tcPr>
            <w:tcW w:w="708" w:type="dxa"/>
          </w:tcPr>
          <w:p w:rsidR="00FB265F" w:rsidRPr="00D4763F" w:rsidRDefault="00FB265F" w:rsidP="00FB265F">
            <w:pPr>
              <w:spacing w:before="60" w:after="60"/>
              <w:jc w:val="center"/>
              <w:rPr>
                <w:lang w:val="en-US"/>
              </w:rPr>
            </w:pPr>
          </w:p>
        </w:tc>
        <w:tc>
          <w:tcPr>
            <w:tcW w:w="709" w:type="dxa"/>
          </w:tcPr>
          <w:p w:rsidR="00FB265F" w:rsidRPr="00D4763F" w:rsidRDefault="00FB265F" w:rsidP="00FB265F">
            <w:pPr>
              <w:spacing w:before="60" w:after="60"/>
              <w:jc w:val="center"/>
              <w:rPr>
                <w:lang w:val="en-US"/>
              </w:rPr>
            </w:pPr>
          </w:p>
        </w:tc>
        <w:tc>
          <w:tcPr>
            <w:tcW w:w="567" w:type="dxa"/>
          </w:tcPr>
          <w:p w:rsidR="00FB265F" w:rsidRPr="00D4763F" w:rsidRDefault="00FB265F" w:rsidP="00FB265F">
            <w:pPr>
              <w:spacing w:before="60" w:after="60"/>
              <w:jc w:val="center"/>
              <w:rPr>
                <w:lang w:val="en-US"/>
              </w:rPr>
            </w:pPr>
          </w:p>
        </w:tc>
        <w:tc>
          <w:tcPr>
            <w:tcW w:w="567" w:type="dxa"/>
          </w:tcPr>
          <w:p w:rsidR="00FB265F" w:rsidRPr="00D4763F" w:rsidRDefault="00FB265F" w:rsidP="00FB265F">
            <w:pPr>
              <w:spacing w:before="60" w:after="60"/>
              <w:jc w:val="center"/>
              <w:rPr>
                <w:lang w:val="en-US"/>
              </w:rPr>
            </w:pPr>
          </w:p>
        </w:tc>
        <w:tc>
          <w:tcPr>
            <w:tcW w:w="3859" w:type="dxa"/>
          </w:tcPr>
          <w:p w:rsidR="00FB265F" w:rsidRPr="00D4763F" w:rsidRDefault="00FB265F" w:rsidP="00FB265F">
            <w:pPr>
              <w:spacing w:before="60" w:after="60"/>
              <w:rPr>
                <w:vertAlign w:val="superscript"/>
                <w:lang w:val="en-US"/>
              </w:rPr>
            </w:pPr>
          </w:p>
        </w:tc>
      </w:tr>
      <w:tr w:rsidR="00FB265F" w:rsidRPr="00D4763F" w:rsidTr="0063785A">
        <w:tc>
          <w:tcPr>
            <w:tcW w:w="675" w:type="dxa"/>
          </w:tcPr>
          <w:p w:rsidR="00FB265F" w:rsidRPr="009F7E97" w:rsidRDefault="00FB265F" w:rsidP="00FB265F">
            <w:pPr>
              <w:spacing w:before="60" w:after="60"/>
              <w:rPr>
                <w:lang w:val="en-US"/>
              </w:rPr>
            </w:pPr>
            <w:r w:rsidRPr="009F7E97">
              <w:rPr>
                <w:lang w:val="en-US"/>
              </w:rPr>
              <w:t xml:space="preserve">9.2.6 </w:t>
            </w:r>
          </w:p>
        </w:tc>
        <w:tc>
          <w:tcPr>
            <w:tcW w:w="2127" w:type="dxa"/>
          </w:tcPr>
          <w:p w:rsidR="00FB265F" w:rsidRPr="009F7E97" w:rsidRDefault="00FB265F" w:rsidP="00FB265F">
            <w:pPr>
              <w:spacing w:before="60" w:after="60"/>
              <w:rPr>
                <w:lang w:val="en-US"/>
              </w:rPr>
            </w:pPr>
            <w:r w:rsidRPr="009F7E97">
              <w:rPr>
                <w:lang w:val="en-US"/>
              </w:rPr>
              <w:t>COUPLING DEVICES OF MOTOR VEHICLES AND TRAILERS</w:t>
            </w:r>
          </w:p>
        </w:tc>
        <w:tc>
          <w:tcPr>
            <w:tcW w:w="708" w:type="dxa"/>
          </w:tcPr>
          <w:p w:rsidR="00FB265F" w:rsidRPr="00D4763F" w:rsidRDefault="00FB265F" w:rsidP="00FB265F">
            <w:pPr>
              <w:spacing w:before="60" w:after="60"/>
              <w:jc w:val="center"/>
              <w:rPr>
                <w:lang w:val="en-US"/>
              </w:rPr>
            </w:pPr>
            <w:r w:rsidRPr="00D4763F">
              <w:rPr>
                <w:lang w:val="en-US"/>
              </w:rPr>
              <w:t>X</w:t>
            </w:r>
          </w:p>
        </w:tc>
        <w:tc>
          <w:tcPr>
            <w:tcW w:w="709" w:type="dxa"/>
          </w:tcPr>
          <w:p w:rsidR="00FB265F" w:rsidRPr="00D4763F" w:rsidRDefault="00FB265F" w:rsidP="00FB265F">
            <w:pPr>
              <w:spacing w:before="60" w:after="60"/>
              <w:jc w:val="center"/>
              <w:rPr>
                <w:lang w:val="en-US"/>
              </w:rPr>
            </w:pPr>
            <w:r w:rsidRPr="00D4763F">
              <w:rPr>
                <w:lang w:val="en-US"/>
              </w:rPr>
              <w:t>X</w:t>
            </w:r>
          </w:p>
        </w:tc>
        <w:tc>
          <w:tcPr>
            <w:tcW w:w="567" w:type="dxa"/>
          </w:tcPr>
          <w:p w:rsidR="00FB265F" w:rsidRPr="00D4763F" w:rsidRDefault="00FB265F" w:rsidP="00FB265F">
            <w:pPr>
              <w:spacing w:before="60" w:after="60"/>
              <w:jc w:val="center"/>
              <w:rPr>
                <w:lang w:val="en-US"/>
              </w:rPr>
            </w:pPr>
            <w:proofErr w:type="spellStart"/>
            <w:r w:rsidRPr="00D4763F">
              <w:rPr>
                <w:lang w:val="en-US"/>
              </w:rPr>
              <w:t>X</w:t>
            </w:r>
            <w:r w:rsidRPr="00D4763F">
              <w:rPr>
                <w:vertAlign w:val="superscript"/>
                <w:lang w:val="en-US"/>
              </w:rPr>
              <w:t>j</w:t>
            </w:r>
            <w:proofErr w:type="spellEnd"/>
          </w:p>
        </w:tc>
        <w:tc>
          <w:tcPr>
            <w:tcW w:w="567" w:type="dxa"/>
          </w:tcPr>
          <w:p w:rsidR="00FB265F" w:rsidRPr="00D4763F" w:rsidRDefault="00FB265F" w:rsidP="00FB265F">
            <w:pPr>
              <w:spacing w:before="60" w:after="60"/>
              <w:jc w:val="center"/>
              <w:rPr>
                <w:lang w:val="en-US"/>
              </w:rPr>
            </w:pPr>
            <w:proofErr w:type="spellStart"/>
            <w:r w:rsidRPr="00D4763F">
              <w:rPr>
                <w:lang w:val="en-US"/>
              </w:rPr>
              <w:t>X</w:t>
            </w:r>
            <w:r w:rsidRPr="00D4763F">
              <w:rPr>
                <w:vertAlign w:val="superscript"/>
                <w:lang w:val="en-US"/>
              </w:rPr>
              <w:t>j</w:t>
            </w:r>
            <w:proofErr w:type="spellEnd"/>
          </w:p>
        </w:tc>
        <w:tc>
          <w:tcPr>
            <w:tcW w:w="3859" w:type="dxa"/>
          </w:tcPr>
          <w:p w:rsidR="00FB265F" w:rsidRPr="00D4763F" w:rsidRDefault="00FB265F" w:rsidP="00FB265F">
            <w:pPr>
              <w:spacing w:before="60" w:after="60"/>
              <w:rPr>
                <w:lang w:val="en-US"/>
              </w:rPr>
            </w:pPr>
            <w:proofErr w:type="gramStart"/>
            <w:r w:rsidRPr="00D4763F">
              <w:rPr>
                <w:vertAlign w:val="superscript"/>
                <w:lang w:val="en-US"/>
              </w:rPr>
              <w:t>j</w:t>
            </w:r>
            <w:proofErr w:type="gramEnd"/>
            <w:r w:rsidRPr="00D4763F">
              <w:rPr>
                <w:vertAlign w:val="superscript"/>
                <w:lang w:val="en-US"/>
              </w:rPr>
              <w:t xml:space="preserve"> </w:t>
            </w:r>
            <w:r w:rsidRPr="009F7E97">
              <w:rPr>
                <w:lang w:val="en-US"/>
              </w:rPr>
              <w:t>Applicable to coupling devices of motor vehicles and trailers and motor vehicles first registered (or which entered into service if registration is not mandatory) after 31 March 2018.</w:t>
            </w:r>
          </w:p>
        </w:tc>
      </w:tr>
    </w:tbl>
    <w:p w:rsidR="00FB265F" w:rsidRPr="00D4763F" w:rsidRDefault="00FB265F" w:rsidP="00FB265F">
      <w:pPr>
        <w:rPr>
          <w:lang w:val="en-US"/>
        </w:rPr>
      </w:pPr>
    </w:p>
    <w:p w:rsidR="00FB265F" w:rsidRPr="006733A9" w:rsidRDefault="00FB265F" w:rsidP="00FB265F">
      <w:pPr>
        <w:rPr>
          <w:lang w:val="en-US"/>
        </w:rPr>
      </w:pPr>
      <w:r>
        <w:rPr>
          <w:lang w:val="en-US"/>
        </w:rPr>
        <w:t xml:space="preserve"> </w:t>
      </w:r>
    </w:p>
    <w:p w:rsidR="00FB265F" w:rsidRPr="009F7E97" w:rsidRDefault="00FB265F" w:rsidP="00FB265F">
      <w:pPr>
        <w:pStyle w:val="HChG"/>
        <w:rPr>
          <w:i/>
        </w:rPr>
      </w:pPr>
      <w:r>
        <w:rPr>
          <w:lang w:val="fr-CH"/>
        </w:rPr>
        <w:lastRenderedPageBreak/>
        <w:tab/>
      </w:r>
      <w:r>
        <w:rPr>
          <w:lang w:val="fr-CH"/>
        </w:rPr>
        <w:tab/>
      </w:r>
      <w:r w:rsidRPr="009F7E97">
        <w:t>Correction</w:t>
      </w:r>
    </w:p>
    <w:p w:rsidR="00FB265F" w:rsidRPr="00165FF1" w:rsidRDefault="00FB265F" w:rsidP="00FB265F">
      <w:pPr>
        <w:pStyle w:val="SingleTxtG"/>
      </w:pPr>
      <w:r>
        <w:rPr>
          <w:sz w:val="22"/>
          <w:szCs w:val="22"/>
        </w:rPr>
        <w:t>3.</w:t>
      </w:r>
      <w:r>
        <w:rPr>
          <w:sz w:val="22"/>
          <w:szCs w:val="22"/>
        </w:rPr>
        <w:tab/>
      </w:r>
      <w:r w:rsidRPr="00D4763F">
        <w:t xml:space="preserve">Correct the wording of the transitional measure “j” in the column “comments” to read. (deleted </w:t>
      </w:r>
      <w:r w:rsidRPr="00165FF1">
        <w:t xml:space="preserve">text </w:t>
      </w:r>
      <w:r w:rsidRPr="009F7E97">
        <w:rPr>
          <w:strike/>
        </w:rPr>
        <w:t>stricken through</w:t>
      </w:r>
      <w:r w:rsidRPr="00D4763F">
        <w:t>):</w:t>
      </w:r>
    </w:p>
    <w:p w:rsidR="00FB265F" w:rsidRPr="009F7E97" w:rsidRDefault="00FB265F" w:rsidP="00FB265F">
      <w:pPr>
        <w:pStyle w:val="SingleTxtG"/>
      </w:pPr>
      <w:r w:rsidRPr="009F7E97">
        <w:t xml:space="preserve">j Applicable to coupling devices of motor vehicles and trailers </w:t>
      </w:r>
      <w:r w:rsidRPr="009F7E97">
        <w:rPr>
          <w:strike/>
        </w:rPr>
        <w:t>and motor vehicles</w:t>
      </w:r>
      <w:r w:rsidRPr="009F7E97">
        <w:t xml:space="preserve"> first registered (or which entered into service if registration is not mandatory) after 31 March 2018.</w:t>
      </w:r>
    </w:p>
    <w:p w:rsidR="00FB265F" w:rsidRPr="009F7E97" w:rsidRDefault="00FB265F" w:rsidP="00FB265F">
      <w:pPr>
        <w:pStyle w:val="SingleTxtG"/>
      </w:pPr>
      <w:r w:rsidRPr="009F7E97">
        <w:t>The French and Russian versions should be checked if the wording needs correction.</w:t>
      </w:r>
    </w:p>
    <w:p w:rsidR="00FB265F" w:rsidRPr="009F7E97" w:rsidRDefault="00FB265F" w:rsidP="00FB265F">
      <w:pPr>
        <w:pStyle w:val="HChG"/>
      </w:pPr>
      <w:r>
        <w:rPr>
          <w:lang w:val="fr-CH"/>
        </w:rPr>
        <w:tab/>
      </w:r>
      <w:r>
        <w:rPr>
          <w:lang w:val="fr-CH"/>
        </w:rPr>
        <w:tab/>
      </w:r>
      <w:r w:rsidRPr="009F7E97">
        <w:t>Justification</w:t>
      </w:r>
    </w:p>
    <w:p w:rsidR="00FB265F" w:rsidRPr="009F7E97" w:rsidRDefault="00FB265F" w:rsidP="00FB265F">
      <w:pPr>
        <w:pStyle w:val="SingleTxtG"/>
      </w:pPr>
      <w:r w:rsidRPr="009F7E97">
        <w:t>4.</w:t>
      </w:r>
      <w:r w:rsidRPr="009F7E97">
        <w:tab/>
        <w:t xml:space="preserve">During the discussions of document ECE/TRANS/WP.15/2015/15, containing the proposals by the informal working group, the heading of 9.2.6 and the second column of the table in 9.2.1.1 were modified to represent the actual name of Regulation No. 55. Also the wording of the transitional measure “j” in the table of 9.2.1.1 was modified along this line. </w:t>
      </w:r>
    </w:p>
    <w:p w:rsidR="00FB265F" w:rsidRPr="009F7E97" w:rsidRDefault="00FB265F" w:rsidP="00FB265F">
      <w:pPr>
        <w:pStyle w:val="SingleTxtG"/>
      </w:pPr>
      <w:bookmarkStart w:id="0" w:name="_GoBack"/>
      <w:bookmarkEnd w:id="0"/>
      <w:r w:rsidRPr="009F7E97">
        <w:t>5.</w:t>
      </w:r>
      <w:r w:rsidRPr="009F7E97">
        <w:tab/>
        <w:t>Where on basis of document ECE/TRANS/WP.15/2015/15 it read “trailers and motor vehicles”, is was modified to read “motor vehicles and trailers”. However the second mentioning of “and motor vehicle” was not deleted as intended.</w:t>
      </w:r>
    </w:p>
    <w:p w:rsidR="00CF72AA" w:rsidRPr="00CF72AA" w:rsidRDefault="00CF72AA" w:rsidP="00CF72AA">
      <w:pPr>
        <w:pStyle w:val="SingleTxtG"/>
        <w:spacing w:before="240" w:after="0"/>
        <w:jc w:val="center"/>
        <w:rPr>
          <w:u w:val="single"/>
          <w:lang w:val="fr-CH"/>
        </w:rPr>
      </w:pPr>
      <w:r>
        <w:rPr>
          <w:u w:val="single"/>
          <w:lang w:val="fr-CH"/>
        </w:rPr>
        <w:tab/>
      </w:r>
      <w:r>
        <w:rPr>
          <w:u w:val="single"/>
          <w:lang w:val="fr-CH"/>
        </w:rPr>
        <w:tab/>
      </w:r>
      <w:r>
        <w:rPr>
          <w:u w:val="single"/>
          <w:lang w:val="fr-CH"/>
        </w:rPr>
        <w:tab/>
      </w:r>
    </w:p>
    <w:sectPr w:rsidR="00CF72AA" w:rsidRPr="00CF72AA" w:rsidSect="00CF72AA">
      <w:headerReference w:type="even" r:id="rId9"/>
      <w:headerReference w:type="default" r:id="rId10"/>
      <w:footerReference w:type="even" r:id="rId11"/>
      <w:footerReference w:type="default" r:id="rId12"/>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12" w:rsidRDefault="00EF0F12"/>
  </w:endnote>
  <w:endnote w:type="continuationSeparator" w:id="0">
    <w:p w:rsidR="00EF0F12" w:rsidRDefault="00EF0F12"/>
  </w:endnote>
  <w:endnote w:type="continuationNotice" w:id="1">
    <w:p w:rsidR="00EF0F12" w:rsidRDefault="00EF0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12" w:rsidRPr="009D2A5B" w:rsidRDefault="00EF0F12"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FB265F">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12" w:rsidRPr="009D2A5B" w:rsidRDefault="00EF0F12"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0C6293">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12" w:rsidRPr="000B175B" w:rsidRDefault="00EF0F12" w:rsidP="000B175B">
      <w:pPr>
        <w:tabs>
          <w:tab w:val="right" w:pos="2155"/>
        </w:tabs>
        <w:spacing w:after="80"/>
        <w:ind w:left="680"/>
        <w:rPr>
          <w:u w:val="single"/>
        </w:rPr>
      </w:pPr>
      <w:r>
        <w:rPr>
          <w:u w:val="single"/>
        </w:rPr>
        <w:tab/>
      </w:r>
    </w:p>
  </w:footnote>
  <w:footnote w:type="continuationSeparator" w:id="0">
    <w:p w:rsidR="00EF0F12" w:rsidRPr="00FC68B7" w:rsidRDefault="00EF0F12" w:rsidP="00FC68B7">
      <w:pPr>
        <w:tabs>
          <w:tab w:val="left" w:pos="2155"/>
        </w:tabs>
        <w:spacing w:after="80"/>
        <w:ind w:left="680"/>
        <w:rPr>
          <w:u w:val="single"/>
        </w:rPr>
      </w:pPr>
      <w:r>
        <w:rPr>
          <w:u w:val="single"/>
        </w:rPr>
        <w:tab/>
      </w:r>
    </w:p>
  </w:footnote>
  <w:footnote w:type="continuationNotice" w:id="1">
    <w:p w:rsidR="00EF0F12" w:rsidRDefault="00EF0F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12" w:rsidRPr="00FA7F6B" w:rsidRDefault="00EF0F12" w:rsidP="009D2A5B">
    <w:pPr>
      <w:pStyle w:val="Header"/>
      <w:rPr>
        <w:szCs w:val="18"/>
        <w:lang w:val="fr-CH"/>
      </w:rPr>
    </w:pPr>
    <w:r w:rsidRPr="00FA7F6B">
      <w:rPr>
        <w:szCs w:val="18"/>
        <w:lang w:val="fr-CH"/>
      </w:rPr>
      <w:t>INF.</w:t>
    </w:r>
    <w:r>
      <w:rPr>
        <w:szCs w:val="18"/>
        <w:lang w:val="fr-CH"/>
      </w:rPr>
      <w:t>1</w:t>
    </w:r>
    <w:r w:rsidR="00FB265F">
      <w:rPr>
        <w:szCs w:val="18"/>
        <w:lang w:val="fr-CH"/>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12" w:rsidRPr="00CD57D2" w:rsidRDefault="00EF0F12" w:rsidP="009D2A5B">
    <w:pPr>
      <w:pStyle w:val="Header"/>
      <w:jc w:val="right"/>
      <w:rPr>
        <w:lang w:val="fr-CH"/>
      </w:rPr>
    </w:pPr>
    <w:r>
      <w:rPr>
        <w:lang w:val="fr-CH"/>
      </w:rPr>
      <w:t>INF.10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CB6C6C"/>
    <w:multiLevelType w:val="hybridMultilevel"/>
    <w:tmpl w:val="BE3A5CE4"/>
    <w:lvl w:ilvl="0" w:tplc="58DC896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0D206F"/>
    <w:multiLevelType w:val="hybridMultilevel"/>
    <w:tmpl w:val="EA6CAF94"/>
    <w:lvl w:ilvl="0" w:tplc="5404A8FC">
      <w:start w:val="1"/>
      <w:numFmt w:val="bullet"/>
      <w:lvlText w:val=""/>
      <w:lvlJc w:val="left"/>
      <w:pPr>
        <w:tabs>
          <w:tab w:val="num" w:pos="720"/>
        </w:tabs>
        <w:ind w:left="720" w:hanging="360"/>
      </w:pPr>
      <w:rPr>
        <w:rFonts w:ascii="Symbol" w:hAnsi="Symbol" w:hint="default"/>
        <w:sz w:val="20"/>
      </w:rPr>
    </w:lvl>
    <w:lvl w:ilvl="1" w:tplc="80244BC8" w:tentative="1">
      <w:start w:val="1"/>
      <w:numFmt w:val="bullet"/>
      <w:lvlText w:val="o"/>
      <w:lvlJc w:val="left"/>
      <w:pPr>
        <w:tabs>
          <w:tab w:val="num" w:pos="1440"/>
        </w:tabs>
        <w:ind w:left="1440" w:hanging="360"/>
      </w:pPr>
      <w:rPr>
        <w:rFonts w:ascii="Courier New" w:hAnsi="Courier New" w:hint="default"/>
        <w:sz w:val="20"/>
      </w:rPr>
    </w:lvl>
    <w:lvl w:ilvl="2" w:tplc="A1DE630C" w:tentative="1">
      <w:start w:val="1"/>
      <w:numFmt w:val="bullet"/>
      <w:lvlText w:val=""/>
      <w:lvlJc w:val="left"/>
      <w:pPr>
        <w:tabs>
          <w:tab w:val="num" w:pos="2160"/>
        </w:tabs>
        <w:ind w:left="2160" w:hanging="360"/>
      </w:pPr>
      <w:rPr>
        <w:rFonts w:ascii="Wingdings" w:hAnsi="Wingdings" w:hint="default"/>
        <w:sz w:val="20"/>
      </w:rPr>
    </w:lvl>
    <w:lvl w:ilvl="3" w:tplc="5DFCF508" w:tentative="1">
      <w:start w:val="1"/>
      <w:numFmt w:val="bullet"/>
      <w:lvlText w:val=""/>
      <w:lvlJc w:val="left"/>
      <w:pPr>
        <w:tabs>
          <w:tab w:val="num" w:pos="2880"/>
        </w:tabs>
        <w:ind w:left="2880" w:hanging="360"/>
      </w:pPr>
      <w:rPr>
        <w:rFonts w:ascii="Wingdings" w:hAnsi="Wingdings" w:hint="default"/>
        <w:sz w:val="20"/>
      </w:rPr>
    </w:lvl>
    <w:lvl w:ilvl="4" w:tplc="D1647CE4" w:tentative="1">
      <w:start w:val="1"/>
      <w:numFmt w:val="bullet"/>
      <w:lvlText w:val=""/>
      <w:lvlJc w:val="left"/>
      <w:pPr>
        <w:tabs>
          <w:tab w:val="num" w:pos="3600"/>
        </w:tabs>
        <w:ind w:left="3600" w:hanging="360"/>
      </w:pPr>
      <w:rPr>
        <w:rFonts w:ascii="Wingdings" w:hAnsi="Wingdings" w:hint="default"/>
        <w:sz w:val="20"/>
      </w:rPr>
    </w:lvl>
    <w:lvl w:ilvl="5" w:tplc="D9729A78" w:tentative="1">
      <w:start w:val="1"/>
      <w:numFmt w:val="bullet"/>
      <w:lvlText w:val=""/>
      <w:lvlJc w:val="left"/>
      <w:pPr>
        <w:tabs>
          <w:tab w:val="num" w:pos="4320"/>
        </w:tabs>
        <w:ind w:left="4320" w:hanging="360"/>
      </w:pPr>
      <w:rPr>
        <w:rFonts w:ascii="Wingdings" w:hAnsi="Wingdings" w:hint="default"/>
        <w:sz w:val="20"/>
      </w:rPr>
    </w:lvl>
    <w:lvl w:ilvl="6" w:tplc="6A3CDB70" w:tentative="1">
      <w:start w:val="1"/>
      <w:numFmt w:val="bullet"/>
      <w:lvlText w:val=""/>
      <w:lvlJc w:val="left"/>
      <w:pPr>
        <w:tabs>
          <w:tab w:val="num" w:pos="5040"/>
        </w:tabs>
        <w:ind w:left="5040" w:hanging="360"/>
      </w:pPr>
      <w:rPr>
        <w:rFonts w:ascii="Wingdings" w:hAnsi="Wingdings" w:hint="default"/>
        <w:sz w:val="20"/>
      </w:rPr>
    </w:lvl>
    <w:lvl w:ilvl="7" w:tplc="015EF474" w:tentative="1">
      <w:start w:val="1"/>
      <w:numFmt w:val="bullet"/>
      <w:lvlText w:val=""/>
      <w:lvlJc w:val="left"/>
      <w:pPr>
        <w:tabs>
          <w:tab w:val="num" w:pos="5760"/>
        </w:tabs>
        <w:ind w:left="5760" w:hanging="360"/>
      </w:pPr>
      <w:rPr>
        <w:rFonts w:ascii="Wingdings" w:hAnsi="Wingdings" w:hint="default"/>
        <w:sz w:val="20"/>
      </w:rPr>
    </w:lvl>
    <w:lvl w:ilvl="8" w:tplc="8C88DD0A"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7"/>
  </w:num>
  <w:num w:numId="15">
    <w:abstractNumId w:val="12"/>
  </w:num>
  <w:num w:numId="16">
    <w:abstractNumId w:val="11"/>
  </w:num>
  <w:num w:numId="17">
    <w:abstractNumId w:val="19"/>
  </w:num>
  <w:num w:numId="18">
    <w:abstractNumId w:val="18"/>
  </w:num>
  <w:num w:numId="19">
    <w:abstractNumId w:val="16"/>
  </w:num>
  <w:num w:numId="20">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rina mansion">
    <w15:presenceInfo w15:providerId="Windows Live" w15:userId="e0550db0a9b16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35B8"/>
    <w:rsid w:val="00013E97"/>
    <w:rsid w:val="000149A1"/>
    <w:rsid w:val="000218B5"/>
    <w:rsid w:val="000260EE"/>
    <w:rsid w:val="00037F90"/>
    <w:rsid w:val="00046B1F"/>
    <w:rsid w:val="000470B0"/>
    <w:rsid w:val="00047EB7"/>
    <w:rsid w:val="00050F6B"/>
    <w:rsid w:val="00057E97"/>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6293"/>
    <w:rsid w:val="000C7F79"/>
    <w:rsid w:val="000D1E89"/>
    <w:rsid w:val="000D3D97"/>
    <w:rsid w:val="000E0415"/>
    <w:rsid w:val="000E5C70"/>
    <w:rsid w:val="000E6237"/>
    <w:rsid w:val="00101DB8"/>
    <w:rsid w:val="00103CC1"/>
    <w:rsid w:val="00104CDA"/>
    <w:rsid w:val="001103AA"/>
    <w:rsid w:val="0011119B"/>
    <w:rsid w:val="0011666B"/>
    <w:rsid w:val="0012118B"/>
    <w:rsid w:val="001362A8"/>
    <w:rsid w:val="00141383"/>
    <w:rsid w:val="00142AB2"/>
    <w:rsid w:val="00143686"/>
    <w:rsid w:val="00146DC8"/>
    <w:rsid w:val="001529F1"/>
    <w:rsid w:val="00155068"/>
    <w:rsid w:val="00165F3A"/>
    <w:rsid w:val="00177CE8"/>
    <w:rsid w:val="0018210E"/>
    <w:rsid w:val="00192D6D"/>
    <w:rsid w:val="00193CA7"/>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077B"/>
    <w:rsid w:val="00233955"/>
    <w:rsid w:val="0023539C"/>
    <w:rsid w:val="00236A96"/>
    <w:rsid w:val="0023771B"/>
    <w:rsid w:val="0024023A"/>
    <w:rsid w:val="00243217"/>
    <w:rsid w:val="00247BDC"/>
    <w:rsid w:val="00252290"/>
    <w:rsid w:val="00267F5F"/>
    <w:rsid w:val="00280A1D"/>
    <w:rsid w:val="00284DBC"/>
    <w:rsid w:val="00286B4D"/>
    <w:rsid w:val="002A0CC5"/>
    <w:rsid w:val="002A3C85"/>
    <w:rsid w:val="002A603B"/>
    <w:rsid w:val="002B46EB"/>
    <w:rsid w:val="002D0CE4"/>
    <w:rsid w:val="002D2E24"/>
    <w:rsid w:val="002D4643"/>
    <w:rsid w:val="002D4B6C"/>
    <w:rsid w:val="002F175C"/>
    <w:rsid w:val="002F50A7"/>
    <w:rsid w:val="00301D76"/>
    <w:rsid w:val="00302E18"/>
    <w:rsid w:val="0030606F"/>
    <w:rsid w:val="003173A5"/>
    <w:rsid w:val="003229D8"/>
    <w:rsid w:val="0033230E"/>
    <w:rsid w:val="003358CF"/>
    <w:rsid w:val="00335D02"/>
    <w:rsid w:val="0034605E"/>
    <w:rsid w:val="00352709"/>
    <w:rsid w:val="00354ED9"/>
    <w:rsid w:val="003706D8"/>
    <w:rsid w:val="0037107E"/>
    <w:rsid w:val="00371178"/>
    <w:rsid w:val="00375B70"/>
    <w:rsid w:val="0038452A"/>
    <w:rsid w:val="00393A3C"/>
    <w:rsid w:val="003A10AC"/>
    <w:rsid w:val="003A30E1"/>
    <w:rsid w:val="003A6498"/>
    <w:rsid w:val="003A6728"/>
    <w:rsid w:val="003A6810"/>
    <w:rsid w:val="003A7C69"/>
    <w:rsid w:val="003B36D1"/>
    <w:rsid w:val="003B7418"/>
    <w:rsid w:val="003C2CC4"/>
    <w:rsid w:val="003C74DD"/>
    <w:rsid w:val="003D0D2E"/>
    <w:rsid w:val="003D30B0"/>
    <w:rsid w:val="003D3380"/>
    <w:rsid w:val="003D4B23"/>
    <w:rsid w:val="003E0B6D"/>
    <w:rsid w:val="003F310D"/>
    <w:rsid w:val="003F7107"/>
    <w:rsid w:val="004002CE"/>
    <w:rsid w:val="00406D5C"/>
    <w:rsid w:val="00410C89"/>
    <w:rsid w:val="0041397F"/>
    <w:rsid w:val="0041539A"/>
    <w:rsid w:val="0041560D"/>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0939"/>
    <w:rsid w:val="005E6A77"/>
    <w:rsid w:val="005F4EF7"/>
    <w:rsid w:val="005F7B75"/>
    <w:rsid w:val="006001EE"/>
    <w:rsid w:val="00600FA9"/>
    <w:rsid w:val="00605042"/>
    <w:rsid w:val="00611FC4"/>
    <w:rsid w:val="006162FB"/>
    <w:rsid w:val="006176FB"/>
    <w:rsid w:val="006309EF"/>
    <w:rsid w:val="00640B26"/>
    <w:rsid w:val="00642081"/>
    <w:rsid w:val="00651B2F"/>
    <w:rsid w:val="00652D0A"/>
    <w:rsid w:val="006623D5"/>
    <w:rsid w:val="00662531"/>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632A"/>
    <w:rsid w:val="007327D5"/>
    <w:rsid w:val="00733F57"/>
    <w:rsid w:val="00743E81"/>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7829"/>
    <w:rsid w:val="00933E40"/>
    <w:rsid w:val="00934137"/>
    <w:rsid w:val="00940F93"/>
    <w:rsid w:val="0094558F"/>
    <w:rsid w:val="009536F9"/>
    <w:rsid w:val="00961690"/>
    <w:rsid w:val="009760F3"/>
    <w:rsid w:val="00977203"/>
    <w:rsid w:val="00995AB4"/>
    <w:rsid w:val="009A0E8D"/>
    <w:rsid w:val="009B0F25"/>
    <w:rsid w:val="009B1518"/>
    <w:rsid w:val="009B26E7"/>
    <w:rsid w:val="009B350F"/>
    <w:rsid w:val="009C454F"/>
    <w:rsid w:val="009D2486"/>
    <w:rsid w:val="009D2A5B"/>
    <w:rsid w:val="009E1D30"/>
    <w:rsid w:val="009F2BB8"/>
    <w:rsid w:val="00A00A3F"/>
    <w:rsid w:val="00A01489"/>
    <w:rsid w:val="00A12E50"/>
    <w:rsid w:val="00A14388"/>
    <w:rsid w:val="00A1777D"/>
    <w:rsid w:val="00A3009E"/>
    <w:rsid w:val="00A3026E"/>
    <w:rsid w:val="00A31D95"/>
    <w:rsid w:val="00A338F1"/>
    <w:rsid w:val="00A45808"/>
    <w:rsid w:val="00A46763"/>
    <w:rsid w:val="00A477C4"/>
    <w:rsid w:val="00A5402C"/>
    <w:rsid w:val="00A56AAB"/>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5045"/>
    <w:rsid w:val="00AC6EC4"/>
    <w:rsid w:val="00AD44C2"/>
    <w:rsid w:val="00AD48FA"/>
    <w:rsid w:val="00B0614C"/>
    <w:rsid w:val="00B101E9"/>
    <w:rsid w:val="00B117CF"/>
    <w:rsid w:val="00B11BB4"/>
    <w:rsid w:val="00B12CA6"/>
    <w:rsid w:val="00B2148A"/>
    <w:rsid w:val="00B21F96"/>
    <w:rsid w:val="00B22BC2"/>
    <w:rsid w:val="00B24F79"/>
    <w:rsid w:val="00B25EB2"/>
    <w:rsid w:val="00B27148"/>
    <w:rsid w:val="00B30179"/>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74E9"/>
    <w:rsid w:val="00BE4F17"/>
    <w:rsid w:val="00BF3CC6"/>
    <w:rsid w:val="00BF68A8"/>
    <w:rsid w:val="00BF6B31"/>
    <w:rsid w:val="00C00247"/>
    <w:rsid w:val="00C0468A"/>
    <w:rsid w:val="00C10FE6"/>
    <w:rsid w:val="00C11A03"/>
    <w:rsid w:val="00C11B49"/>
    <w:rsid w:val="00C22C0C"/>
    <w:rsid w:val="00C23978"/>
    <w:rsid w:val="00C25E1A"/>
    <w:rsid w:val="00C30215"/>
    <w:rsid w:val="00C33407"/>
    <w:rsid w:val="00C43462"/>
    <w:rsid w:val="00C4527F"/>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A1B"/>
    <w:rsid w:val="00CC5B3B"/>
    <w:rsid w:val="00CD1FCA"/>
    <w:rsid w:val="00CD46A7"/>
    <w:rsid w:val="00CD57D2"/>
    <w:rsid w:val="00CE1761"/>
    <w:rsid w:val="00CE3E6E"/>
    <w:rsid w:val="00CE4A8F"/>
    <w:rsid w:val="00CF72AA"/>
    <w:rsid w:val="00CF7AC0"/>
    <w:rsid w:val="00D13F4D"/>
    <w:rsid w:val="00D2031B"/>
    <w:rsid w:val="00D224BF"/>
    <w:rsid w:val="00D22523"/>
    <w:rsid w:val="00D25FE2"/>
    <w:rsid w:val="00D43252"/>
    <w:rsid w:val="00D44198"/>
    <w:rsid w:val="00D47EEA"/>
    <w:rsid w:val="00D47F36"/>
    <w:rsid w:val="00D550D4"/>
    <w:rsid w:val="00D56292"/>
    <w:rsid w:val="00D62742"/>
    <w:rsid w:val="00D7419E"/>
    <w:rsid w:val="00D773DF"/>
    <w:rsid w:val="00D876F8"/>
    <w:rsid w:val="00D9255F"/>
    <w:rsid w:val="00D95303"/>
    <w:rsid w:val="00D978C6"/>
    <w:rsid w:val="00DA3C1C"/>
    <w:rsid w:val="00DA5024"/>
    <w:rsid w:val="00DB1304"/>
    <w:rsid w:val="00DB43CD"/>
    <w:rsid w:val="00DC12A9"/>
    <w:rsid w:val="00DE37C6"/>
    <w:rsid w:val="00DE4970"/>
    <w:rsid w:val="00DE7486"/>
    <w:rsid w:val="00E01B7D"/>
    <w:rsid w:val="00E046DF"/>
    <w:rsid w:val="00E14853"/>
    <w:rsid w:val="00E15557"/>
    <w:rsid w:val="00E261FA"/>
    <w:rsid w:val="00E26778"/>
    <w:rsid w:val="00E27346"/>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D7E4E"/>
    <w:rsid w:val="00EE6AA0"/>
    <w:rsid w:val="00EE6B3A"/>
    <w:rsid w:val="00EF0F12"/>
    <w:rsid w:val="00EF1D7F"/>
    <w:rsid w:val="00F05E4B"/>
    <w:rsid w:val="00F16B7D"/>
    <w:rsid w:val="00F227A6"/>
    <w:rsid w:val="00F31170"/>
    <w:rsid w:val="00F31E5F"/>
    <w:rsid w:val="00F36F0D"/>
    <w:rsid w:val="00F42999"/>
    <w:rsid w:val="00F51ECD"/>
    <w:rsid w:val="00F57ED1"/>
    <w:rsid w:val="00F6100A"/>
    <w:rsid w:val="00F66565"/>
    <w:rsid w:val="00F8015D"/>
    <w:rsid w:val="00F93781"/>
    <w:rsid w:val="00FA0BB1"/>
    <w:rsid w:val="00FA26FD"/>
    <w:rsid w:val="00FA2814"/>
    <w:rsid w:val="00FA42D6"/>
    <w:rsid w:val="00FA7F6B"/>
    <w:rsid w:val="00FB265F"/>
    <w:rsid w:val="00FB4C10"/>
    <w:rsid w:val="00FB613B"/>
    <w:rsid w:val="00FB7B98"/>
    <w:rsid w:val="00FC1945"/>
    <w:rsid w:val="00FC2EA1"/>
    <w:rsid w:val="00FC3938"/>
    <w:rsid w:val="00FC3C87"/>
    <w:rsid w:val="00FC68B7"/>
    <w:rsid w:val="00FE106A"/>
    <w:rsid w:val="00FE6230"/>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5_GR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character" w:customStyle="1" w:styleId="qpdate">
    <w:name w:val="qp_date"/>
    <w:basedOn w:val="DefaultParagraphFont"/>
    <w:rsid w:val="00192D6D"/>
  </w:style>
  <w:style w:type="character" w:customStyle="1" w:styleId="Heading3Char">
    <w:name w:val="Heading 3 Char"/>
    <w:basedOn w:val="DefaultParagraphFont"/>
    <w:link w:val="Heading3"/>
    <w:rsid w:val="00CF72AA"/>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5_GR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character" w:customStyle="1" w:styleId="qpdate">
    <w:name w:val="qp_date"/>
    <w:basedOn w:val="DefaultParagraphFont"/>
    <w:rsid w:val="00192D6D"/>
  </w:style>
  <w:style w:type="character" w:customStyle="1" w:styleId="Heading3Char">
    <w:name w:val="Heading 3 Char"/>
    <w:basedOn w:val="DefaultParagraphFont"/>
    <w:link w:val="Heading3"/>
    <w:rsid w:val="00CF72A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315BC-4AFE-46A9-BA2F-6AD3A531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338</Words>
  <Characters>1928</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3</cp:revision>
  <cp:lastPrinted>2016-08-17T08:37:00Z</cp:lastPrinted>
  <dcterms:created xsi:type="dcterms:W3CDTF">2016-10-26T12:21:00Z</dcterms:created>
  <dcterms:modified xsi:type="dcterms:W3CDTF">2016-10-26T12:26:00Z</dcterms:modified>
</cp:coreProperties>
</file>