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D43EB6" w:rsidP="00D43EB6">
            <w:pPr>
              <w:suppressAutoHyphens w:val="0"/>
              <w:spacing w:after="20"/>
              <w:jc w:val="right"/>
            </w:pPr>
            <w:r w:rsidRPr="00D43EB6">
              <w:rPr>
                <w:sz w:val="40"/>
              </w:rPr>
              <w:t>ECE</w:t>
            </w:r>
            <w:r>
              <w:t>/TRANS/WP.15/2016/8</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D43EB6" w:rsidP="00D43EB6">
            <w:pPr>
              <w:suppressAutoHyphens w:val="0"/>
              <w:spacing w:before="240" w:line="240" w:lineRule="exact"/>
            </w:pPr>
            <w:r>
              <w:t>Distr.: General</w:t>
            </w:r>
          </w:p>
          <w:p w:rsidR="00D43EB6" w:rsidRDefault="00D43EB6" w:rsidP="00D43EB6">
            <w:pPr>
              <w:suppressAutoHyphens w:val="0"/>
            </w:pPr>
            <w:r>
              <w:t>17 February 2016</w:t>
            </w:r>
          </w:p>
          <w:p w:rsidR="00D43EB6" w:rsidRDefault="00D43EB6" w:rsidP="00D43EB6">
            <w:pPr>
              <w:suppressAutoHyphens w:val="0"/>
            </w:pPr>
          </w:p>
          <w:p w:rsidR="00D43EB6" w:rsidRDefault="00D43EB6" w:rsidP="00D43EB6">
            <w:pPr>
              <w:suppressAutoHyphens w:val="0"/>
            </w:pPr>
            <w:r>
              <w:t>English</w:t>
            </w:r>
          </w:p>
          <w:p w:rsidR="00D43EB6" w:rsidRDefault="00D43EB6" w:rsidP="00D43EB6">
            <w:pPr>
              <w:suppressAutoHyphens w:val="0"/>
            </w:pPr>
            <w:r>
              <w:t>Original: French</w:t>
            </w:r>
          </w:p>
        </w:tc>
      </w:tr>
    </w:tbl>
    <w:p w:rsidR="00D43EB6" w:rsidRDefault="00D43EB6">
      <w:pPr>
        <w:spacing w:before="120"/>
        <w:rPr>
          <w:b/>
          <w:sz w:val="28"/>
          <w:szCs w:val="28"/>
        </w:rPr>
      </w:pPr>
      <w:r>
        <w:rPr>
          <w:b/>
          <w:sz w:val="28"/>
          <w:szCs w:val="28"/>
        </w:rPr>
        <w:t>Economic Commission for Europe</w:t>
      </w:r>
    </w:p>
    <w:p w:rsidR="00D43EB6" w:rsidRDefault="00D43EB6">
      <w:pPr>
        <w:spacing w:before="120"/>
        <w:rPr>
          <w:sz w:val="28"/>
          <w:szCs w:val="28"/>
        </w:rPr>
      </w:pPr>
      <w:r>
        <w:rPr>
          <w:sz w:val="28"/>
          <w:szCs w:val="28"/>
        </w:rPr>
        <w:t>Inland Transport Committee</w:t>
      </w:r>
    </w:p>
    <w:p w:rsidR="002C5C36" w:rsidRPr="002C5C36" w:rsidRDefault="00D43EB6" w:rsidP="002C5C36">
      <w:pPr>
        <w:spacing w:before="120"/>
        <w:rPr>
          <w:b/>
          <w:sz w:val="24"/>
          <w:szCs w:val="24"/>
        </w:rPr>
      </w:pPr>
      <w:r>
        <w:rPr>
          <w:b/>
          <w:sz w:val="24"/>
          <w:szCs w:val="24"/>
        </w:rPr>
        <w:t>Working Party on the Transport of Dangerous Goods</w:t>
      </w:r>
      <w:r w:rsidR="002C5C36">
        <w:rPr>
          <w:b/>
          <w:sz w:val="24"/>
          <w:szCs w:val="24"/>
        </w:rPr>
        <w:br/>
      </w:r>
    </w:p>
    <w:p w:rsidR="00C27DDC" w:rsidRPr="005344C3" w:rsidRDefault="00C27DDC" w:rsidP="00C27DDC">
      <w:pPr>
        <w:rPr>
          <w:rFonts w:eastAsia="SimSun"/>
          <w:b/>
          <w:bCs/>
        </w:rPr>
      </w:pPr>
      <w:r w:rsidRPr="005344C3">
        <w:rPr>
          <w:b/>
          <w:bCs/>
        </w:rPr>
        <w:t xml:space="preserve">100th session </w:t>
      </w:r>
    </w:p>
    <w:p w:rsidR="00C27DDC" w:rsidRPr="004803FF" w:rsidRDefault="006D176E" w:rsidP="00C27DDC">
      <w:pPr>
        <w:rPr>
          <w:rFonts w:eastAsia="SimSun"/>
        </w:rPr>
      </w:pPr>
      <w:r>
        <w:t>Geneva, 9-</w:t>
      </w:r>
      <w:r w:rsidR="00C27DDC" w:rsidRPr="004803FF">
        <w:t xml:space="preserve">13 May 2016 </w:t>
      </w:r>
    </w:p>
    <w:p w:rsidR="00C27DDC" w:rsidRPr="004803FF" w:rsidRDefault="00C27DDC" w:rsidP="00C27DDC">
      <w:r w:rsidRPr="004803FF">
        <w:t>Item 6 (b) of the provisional agenda</w:t>
      </w:r>
    </w:p>
    <w:p w:rsidR="00C27DDC" w:rsidRPr="00A977F0" w:rsidRDefault="00C27DDC" w:rsidP="00C27DDC">
      <w:pPr>
        <w:rPr>
          <w:b/>
          <w:bCs/>
        </w:rPr>
      </w:pPr>
      <w:r w:rsidRPr="00A977F0">
        <w:rPr>
          <w:b/>
          <w:bCs/>
        </w:rPr>
        <w:t>Proposals for amendments to annexes A and B of ADR:</w:t>
      </w:r>
    </w:p>
    <w:p w:rsidR="00C27DDC" w:rsidRPr="00A977F0" w:rsidRDefault="00C27DDC" w:rsidP="00C27DDC">
      <w:pPr>
        <w:rPr>
          <w:b/>
          <w:bCs/>
        </w:rPr>
      </w:pPr>
      <w:r w:rsidRPr="00A977F0">
        <w:rPr>
          <w:b/>
          <w:bCs/>
        </w:rPr>
        <w:t>miscellaneous proposals</w:t>
      </w:r>
    </w:p>
    <w:p w:rsidR="00C27DDC" w:rsidRPr="004803FF" w:rsidRDefault="00C27DDC" w:rsidP="00C27DDC">
      <w:pPr>
        <w:pStyle w:val="HChG"/>
      </w:pPr>
      <w:r w:rsidRPr="004803FF">
        <w:tab/>
      </w:r>
      <w:r w:rsidRPr="004803FF">
        <w:tab/>
        <w:t>National versions of instructions in writing</w:t>
      </w:r>
    </w:p>
    <w:p w:rsidR="00C27DDC" w:rsidRPr="004803FF" w:rsidRDefault="00C27DDC" w:rsidP="002C5C36">
      <w:pPr>
        <w:pStyle w:val="H1G"/>
      </w:pPr>
      <w:r w:rsidRPr="004803FF">
        <w:tab/>
      </w:r>
      <w:r w:rsidRPr="004803FF">
        <w:tab/>
        <w:t>Transmitted by the Chair of the Working Party</w:t>
      </w:r>
      <w:r w:rsidRPr="002C5C36">
        <w:rPr>
          <w:b w:val="0"/>
          <w:bCs/>
          <w:sz w:val="20"/>
          <w:vertAlign w:val="superscript"/>
        </w:rPr>
        <w:footnoteReference w:id="1"/>
      </w:r>
    </w:p>
    <w:tbl>
      <w:tblPr>
        <w:tblStyle w:val="TableGrid1"/>
        <w:tblW w:w="0" w:type="auto"/>
        <w:jc w:val="center"/>
        <w:tblCellMar>
          <w:left w:w="0" w:type="dxa"/>
          <w:right w:w="0" w:type="dxa"/>
        </w:tblCellMar>
        <w:tblLook w:val="01E0" w:firstRow="1" w:lastRow="1" w:firstColumn="1" w:lastColumn="1" w:noHBand="0" w:noVBand="0"/>
      </w:tblPr>
      <w:tblGrid>
        <w:gridCol w:w="9637"/>
      </w:tblGrid>
      <w:tr w:rsidR="00DD26F2" w:rsidRPr="00DD26F2" w:rsidTr="007830A6">
        <w:trPr>
          <w:jc w:val="center"/>
        </w:trPr>
        <w:tc>
          <w:tcPr>
            <w:tcW w:w="9637" w:type="dxa"/>
            <w:tcBorders>
              <w:bottom w:val="nil"/>
            </w:tcBorders>
          </w:tcPr>
          <w:p w:rsidR="00DD26F2" w:rsidRPr="00DD26F2" w:rsidRDefault="00DD26F2" w:rsidP="006F2E87">
            <w:pPr>
              <w:tabs>
                <w:tab w:val="left" w:pos="255"/>
              </w:tabs>
              <w:suppressAutoHyphens w:val="0"/>
              <w:spacing w:before="240" w:after="120"/>
              <w:rPr>
                <w:sz w:val="24"/>
              </w:rPr>
            </w:pPr>
            <w:r w:rsidRPr="00DD26F2">
              <w:tab/>
            </w:r>
            <w:r w:rsidRPr="00DD26F2">
              <w:rPr>
                <w:i/>
                <w:sz w:val="24"/>
              </w:rPr>
              <w:t>Summary</w:t>
            </w:r>
            <w:r>
              <w:rPr>
                <w:i/>
                <w:sz w:val="24"/>
              </w:rPr>
              <w:t xml:space="preserve"> </w:t>
            </w:r>
          </w:p>
        </w:tc>
      </w:tr>
      <w:tr w:rsidR="00DD26F2" w:rsidRPr="00DD26F2" w:rsidTr="007830A6">
        <w:trPr>
          <w:jc w:val="center"/>
        </w:trPr>
        <w:tc>
          <w:tcPr>
            <w:tcW w:w="9637" w:type="dxa"/>
            <w:tcBorders>
              <w:top w:val="nil"/>
              <w:bottom w:val="nil"/>
            </w:tcBorders>
            <w:shd w:val="clear" w:color="auto" w:fill="auto"/>
          </w:tcPr>
          <w:p w:rsidR="00DD26F2" w:rsidRPr="00DD26F2" w:rsidRDefault="00DD26F2" w:rsidP="00BB5B3B">
            <w:pPr>
              <w:spacing w:after="60"/>
              <w:ind w:left="2552" w:right="1134" w:hanging="2268"/>
              <w:jc w:val="both"/>
              <w:rPr>
                <w:color w:val="6699FF"/>
              </w:rPr>
            </w:pPr>
            <w:r w:rsidRPr="00DD26F2">
              <w:rPr>
                <w:b/>
                <w:szCs w:val="22"/>
              </w:rPr>
              <w:t>Executive summary</w:t>
            </w:r>
            <w:r w:rsidRPr="00DD26F2">
              <w:rPr>
                <w:szCs w:val="22"/>
              </w:rPr>
              <w:t>:</w:t>
            </w:r>
            <w:r w:rsidRPr="00DD26F2">
              <w:rPr>
                <w:szCs w:val="22"/>
              </w:rPr>
              <w:tab/>
            </w:r>
            <w:r w:rsidRPr="004803FF">
              <w:t>Publication of the text of the instructions in writing in the national languages of the Contracting Parties on the UNECE website is of great importance for the implementation of ADR and should be seen as an obligation for the States concerned</w:t>
            </w:r>
          </w:p>
        </w:tc>
      </w:tr>
      <w:tr w:rsidR="00DD26F2" w:rsidRPr="00DD26F2" w:rsidTr="007830A6">
        <w:trPr>
          <w:jc w:val="center"/>
        </w:trPr>
        <w:tc>
          <w:tcPr>
            <w:tcW w:w="9637" w:type="dxa"/>
            <w:tcBorders>
              <w:top w:val="nil"/>
              <w:bottom w:val="nil"/>
            </w:tcBorders>
            <w:shd w:val="clear" w:color="auto" w:fill="auto"/>
          </w:tcPr>
          <w:p w:rsidR="00DD26F2" w:rsidRPr="00DD26F2" w:rsidRDefault="00DD26F2" w:rsidP="00DD26F2">
            <w:pPr>
              <w:spacing w:after="120"/>
              <w:ind w:left="2552" w:right="1134" w:hanging="2268"/>
              <w:jc w:val="both"/>
              <w:rPr>
                <w:color w:val="6699FF"/>
                <w:szCs w:val="22"/>
              </w:rPr>
            </w:pPr>
            <w:r w:rsidRPr="00DD26F2">
              <w:rPr>
                <w:b/>
                <w:szCs w:val="22"/>
              </w:rPr>
              <w:t>Action to be taken</w:t>
            </w:r>
            <w:r w:rsidRPr="00DD26F2">
              <w:rPr>
                <w:szCs w:val="22"/>
              </w:rPr>
              <w:t>:</w:t>
            </w:r>
            <w:r w:rsidRPr="00DD26F2">
              <w:rPr>
                <w:szCs w:val="22"/>
              </w:rPr>
              <w:tab/>
            </w:r>
            <w:r w:rsidRPr="004803FF">
              <w:t>Add a new paragraph to ADR 5.4.3</w:t>
            </w:r>
          </w:p>
        </w:tc>
      </w:tr>
      <w:tr w:rsidR="0044086A" w:rsidRPr="00DD26F2" w:rsidTr="007830A6">
        <w:trPr>
          <w:jc w:val="center"/>
        </w:trPr>
        <w:tc>
          <w:tcPr>
            <w:tcW w:w="9637" w:type="dxa"/>
            <w:tcBorders>
              <w:top w:val="nil"/>
              <w:bottom w:val="nil"/>
            </w:tcBorders>
            <w:shd w:val="clear" w:color="auto" w:fill="auto"/>
          </w:tcPr>
          <w:p w:rsidR="0044086A" w:rsidRPr="00DD26F2" w:rsidRDefault="0044086A" w:rsidP="00DD26F2">
            <w:pPr>
              <w:spacing w:after="120"/>
              <w:ind w:left="2552" w:right="1134" w:hanging="2268"/>
              <w:jc w:val="both"/>
              <w:rPr>
                <w:b/>
                <w:szCs w:val="22"/>
              </w:rPr>
            </w:pPr>
            <w:r>
              <w:rPr>
                <w:b/>
                <w:szCs w:val="22"/>
              </w:rPr>
              <w:t>Background documents</w:t>
            </w:r>
            <w:r w:rsidRPr="002C5C36">
              <w:rPr>
                <w:bCs/>
                <w:szCs w:val="22"/>
              </w:rPr>
              <w:t>:</w:t>
            </w:r>
            <w:r>
              <w:rPr>
                <w:b/>
                <w:szCs w:val="22"/>
              </w:rPr>
              <w:tab/>
            </w:r>
            <w:r w:rsidR="00BB5B3B">
              <w:t>Paragraph 8.2.2.8.6 of ADR 2015</w:t>
            </w:r>
          </w:p>
        </w:tc>
      </w:tr>
      <w:tr w:rsidR="00DD26F2" w:rsidRPr="00DD26F2" w:rsidTr="007830A6">
        <w:trPr>
          <w:jc w:val="center"/>
        </w:trPr>
        <w:tc>
          <w:tcPr>
            <w:tcW w:w="9637" w:type="dxa"/>
            <w:tcBorders>
              <w:top w:val="nil"/>
            </w:tcBorders>
          </w:tcPr>
          <w:p w:rsidR="00DD26F2" w:rsidRPr="00DD26F2" w:rsidRDefault="00DD26F2" w:rsidP="00DD26F2">
            <w:pPr>
              <w:suppressAutoHyphens w:val="0"/>
            </w:pPr>
            <w:r w:rsidRPr="00DD26F2">
              <w:rPr>
                <w:color w:val="6699FF"/>
              </w:rPr>
              <w:tab/>
            </w:r>
            <w:r w:rsidRPr="00DD26F2">
              <w:rPr>
                <w:color w:val="6699FF"/>
              </w:rPr>
              <w:tab/>
            </w:r>
            <w:r w:rsidRPr="00DD26F2">
              <w:rPr>
                <w:color w:val="6699FF"/>
              </w:rPr>
              <w:tab/>
            </w:r>
            <w:r w:rsidRPr="00DD26F2">
              <w:rPr>
                <w:color w:val="6699FF"/>
              </w:rPr>
              <w:tab/>
            </w:r>
            <w:r w:rsidRPr="00DD26F2">
              <w:rPr>
                <w:color w:val="6699FF"/>
              </w:rPr>
              <w:tab/>
            </w:r>
          </w:p>
        </w:tc>
      </w:tr>
    </w:tbl>
    <w:p w:rsidR="005344C3" w:rsidRPr="005344C3" w:rsidRDefault="005344C3" w:rsidP="005344C3">
      <w:pPr>
        <w:pStyle w:val="HChG"/>
      </w:pPr>
      <w:r w:rsidRPr="005344C3">
        <w:tab/>
      </w:r>
      <w:r w:rsidRPr="005344C3">
        <w:tab/>
        <w:t>Introduction</w:t>
      </w:r>
    </w:p>
    <w:p w:rsidR="005344C3" w:rsidRPr="005344C3" w:rsidRDefault="005344C3" w:rsidP="005344C3">
      <w:pPr>
        <w:pStyle w:val="SingleTxtG"/>
      </w:pPr>
      <w:r w:rsidRPr="005344C3">
        <w:t>1.</w:t>
      </w:r>
      <w:r w:rsidRPr="005344C3">
        <w:tab/>
        <w:t>The UNECE website already contains 24 national language versions of the instructions in writing, provided to the UNECE Secretariat by a large number of the 48 Contracting Parties to ADR (</w:t>
      </w:r>
      <w:r w:rsidR="006D176E" w:rsidRPr="006D176E">
        <w:t>http://www.unece.org/trans/danger/publi</w:t>
      </w:r>
      <w:r w:rsidR="006D176E">
        <w:br/>
      </w:r>
      <w:r w:rsidRPr="005344C3">
        <w:t xml:space="preserve">/adr/adr_linguistic_e.html). It is nevertheless important to emphasise that this is an </w:t>
      </w:r>
      <w:r w:rsidRPr="005344C3">
        <w:lastRenderedPageBreak/>
        <w:t>obligation for Contracting Parties, in the same way as for the national models of training certificates for drivers.</w:t>
      </w:r>
    </w:p>
    <w:p w:rsidR="005344C3" w:rsidRPr="005344C3" w:rsidRDefault="006F2E87" w:rsidP="006F2E87">
      <w:pPr>
        <w:pStyle w:val="HChG"/>
      </w:pPr>
      <w:r>
        <w:tab/>
      </w:r>
      <w:r>
        <w:tab/>
      </w:r>
      <w:r w:rsidR="005344C3" w:rsidRPr="005344C3">
        <w:t>Proposal</w:t>
      </w:r>
    </w:p>
    <w:p w:rsidR="005344C3" w:rsidRPr="005344C3" w:rsidRDefault="005344C3" w:rsidP="005344C3">
      <w:pPr>
        <w:pStyle w:val="SingleTxtG"/>
      </w:pPr>
      <w:r w:rsidRPr="005344C3">
        <w:t>2.</w:t>
      </w:r>
      <w:r w:rsidRPr="005344C3">
        <w:tab/>
        <w:t>Add the following new paragraph to section 5.4.3:</w:t>
      </w:r>
    </w:p>
    <w:p w:rsidR="005344C3" w:rsidRPr="005344C3" w:rsidRDefault="005344C3" w:rsidP="00B82BBC">
      <w:pPr>
        <w:pStyle w:val="SingleTxtG"/>
        <w:ind w:left="1701"/>
      </w:pPr>
      <w:r w:rsidRPr="005344C3">
        <w:t xml:space="preserve">“5.4.3.5 </w:t>
      </w:r>
      <w:r w:rsidR="002C5C36">
        <w:tab/>
      </w:r>
      <w:r w:rsidRPr="005344C3">
        <w:t>The Contracting Parties should provide the UNECE Secretariat with the official translation of the instructions in writing in their national language(s), in accordance with this section. The UNECE Secretariat shall make the national versions of the instructions in writing that it has received available to all the Contracting Parties.”</w:t>
      </w:r>
    </w:p>
    <w:p w:rsidR="005344C3" w:rsidRPr="005344C3" w:rsidRDefault="0000026E" w:rsidP="0000026E">
      <w:pPr>
        <w:pStyle w:val="H1G"/>
      </w:pPr>
      <w:r>
        <w:tab/>
      </w:r>
      <w:r>
        <w:tab/>
      </w:r>
      <w:r w:rsidR="005344C3" w:rsidRPr="005344C3">
        <w:t>Justification</w:t>
      </w:r>
    </w:p>
    <w:p w:rsidR="005344C3" w:rsidRPr="005344C3" w:rsidRDefault="00025341" w:rsidP="005344C3">
      <w:pPr>
        <w:pStyle w:val="SingleTxtG"/>
      </w:pPr>
      <w:r>
        <w:t>Safety:</w:t>
      </w:r>
      <w:r>
        <w:tab/>
      </w:r>
      <w:r>
        <w:tab/>
      </w:r>
      <w:r>
        <w:tab/>
      </w:r>
      <w:r>
        <w:tab/>
      </w:r>
      <w:r w:rsidR="005344C3" w:rsidRPr="005344C3">
        <w:t>Positive influence.</w:t>
      </w:r>
    </w:p>
    <w:p w:rsidR="005344C3" w:rsidRPr="005344C3" w:rsidRDefault="005344C3" w:rsidP="00025341">
      <w:pPr>
        <w:pStyle w:val="SingleTxtG"/>
        <w:ind w:left="3402" w:hanging="2268"/>
      </w:pPr>
      <w:r w:rsidRPr="005344C3">
        <w:t xml:space="preserve">Feasibility: </w:t>
      </w:r>
      <w:r w:rsidR="00025341">
        <w:tab/>
      </w:r>
      <w:r w:rsidR="00025341">
        <w:tab/>
      </w:r>
      <w:r w:rsidRPr="005344C3">
        <w:t>Affects the governments of the Contracting Parties. There should be no transitional period.</w:t>
      </w:r>
    </w:p>
    <w:p w:rsidR="005344C3" w:rsidRDefault="00025341" w:rsidP="00025341">
      <w:pPr>
        <w:pStyle w:val="SingleTxtG"/>
        <w:ind w:left="3402" w:hanging="2268"/>
      </w:pPr>
      <w:r>
        <w:t>Enforceability:</w:t>
      </w:r>
      <w:r>
        <w:tab/>
      </w:r>
      <w:r>
        <w:tab/>
      </w:r>
      <w:r w:rsidR="005344C3" w:rsidRPr="005344C3">
        <w:t>Application of these amendments can be easily observed or verified.</w:t>
      </w:r>
    </w:p>
    <w:p w:rsidR="00025341" w:rsidRPr="00025341" w:rsidRDefault="00025341" w:rsidP="00025341">
      <w:pPr>
        <w:kinsoku w:val="0"/>
        <w:overflowPunct w:val="0"/>
        <w:autoSpaceDE w:val="0"/>
        <w:autoSpaceDN w:val="0"/>
        <w:adjustRightInd w:val="0"/>
        <w:snapToGrid w:val="0"/>
        <w:spacing w:before="240"/>
        <w:ind w:left="1134" w:right="1134"/>
        <w:jc w:val="center"/>
        <w:rPr>
          <w:u w:val="single"/>
        </w:rPr>
      </w:pPr>
      <w:r w:rsidRPr="00025341">
        <w:rPr>
          <w:u w:val="single"/>
        </w:rPr>
        <w:tab/>
      </w:r>
      <w:r w:rsidRPr="00025341">
        <w:rPr>
          <w:u w:val="single"/>
        </w:rPr>
        <w:tab/>
      </w:r>
      <w:r w:rsidRPr="00025341">
        <w:rPr>
          <w:u w:val="single"/>
        </w:rPr>
        <w:tab/>
      </w:r>
    </w:p>
    <w:sectPr w:rsidR="00025341" w:rsidRPr="00025341" w:rsidSect="00D43EB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D9" w:rsidRPr="00FB1744" w:rsidRDefault="000176D9" w:rsidP="00FB1744">
      <w:pPr>
        <w:pStyle w:val="Footer"/>
      </w:pPr>
    </w:p>
  </w:endnote>
  <w:endnote w:type="continuationSeparator" w:id="0">
    <w:p w:rsidR="000176D9" w:rsidRPr="00FB1744" w:rsidRDefault="000176D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B6" w:rsidRPr="00D43EB6" w:rsidRDefault="00D43EB6" w:rsidP="00D43EB6">
    <w:pPr>
      <w:pStyle w:val="Footer"/>
      <w:tabs>
        <w:tab w:val="right" w:pos="9598"/>
      </w:tabs>
    </w:pPr>
    <w:r w:rsidRPr="00D43EB6">
      <w:rPr>
        <w:b/>
        <w:sz w:val="18"/>
      </w:rPr>
      <w:fldChar w:fldCharType="begin"/>
    </w:r>
    <w:r w:rsidRPr="00D43EB6">
      <w:rPr>
        <w:b/>
        <w:sz w:val="18"/>
      </w:rPr>
      <w:instrText xml:space="preserve"> PAGE  \* MERGEFORMAT </w:instrText>
    </w:r>
    <w:r w:rsidRPr="00D43EB6">
      <w:rPr>
        <w:b/>
        <w:sz w:val="18"/>
      </w:rPr>
      <w:fldChar w:fldCharType="separate"/>
    </w:r>
    <w:r w:rsidR="0027595F">
      <w:rPr>
        <w:b/>
        <w:noProof/>
        <w:sz w:val="18"/>
      </w:rPr>
      <w:t>2</w:t>
    </w:r>
    <w:r w:rsidRPr="00D43EB6">
      <w:rPr>
        <w:b/>
        <w:sz w:val="18"/>
      </w:rPr>
      <w:fldChar w:fldCharType="end"/>
    </w:r>
    <w:r>
      <w:rPr>
        <w:sz w:val="18"/>
      </w:rPr>
      <w:tab/>
    </w:r>
    <w:r>
      <w:t>GE.16-02293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B6" w:rsidRPr="00D43EB6" w:rsidRDefault="00D43EB6" w:rsidP="00D43EB6">
    <w:pPr>
      <w:pStyle w:val="Footer"/>
      <w:tabs>
        <w:tab w:val="right" w:pos="9598"/>
      </w:tabs>
      <w:rPr>
        <w:b/>
        <w:sz w:val="18"/>
      </w:rPr>
    </w:pPr>
    <w:r>
      <w:t>GE.16-02293</w:t>
    </w:r>
    <w:r>
      <w:tab/>
    </w:r>
    <w:r w:rsidRPr="00D43EB6">
      <w:rPr>
        <w:b/>
        <w:sz w:val="18"/>
      </w:rPr>
      <w:fldChar w:fldCharType="begin"/>
    </w:r>
    <w:r w:rsidRPr="00D43EB6">
      <w:rPr>
        <w:b/>
        <w:sz w:val="18"/>
      </w:rPr>
      <w:instrText xml:space="preserve"> PAGE  \* MERGEFORMAT </w:instrText>
    </w:r>
    <w:r w:rsidRPr="00D43EB6">
      <w:rPr>
        <w:b/>
        <w:sz w:val="18"/>
      </w:rPr>
      <w:fldChar w:fldCharType="separate"/>
    </w:r>
    <w:r>
      <w:rPr>
        <w:b/>
        <w:noProof/>
        <w:sz w:val="18"/>
      </w:rPr>
      <w:t>3</w:t>
    </w:r>
    <w:r w:rsidRPr="00D43E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717266" w:rsidP="00AB3C7E">
    <w:r>
      <w:rPr>
        <w:noProof/>
        <w:lang w:eastAsia="en-GB"/>
      </w:rPr>
      <w:drawing>
        <wp:anchor distT="0" distB="0" distL="114300" distR="114300" simplePos="0" relativeHeight="251659264" behindDoc="0" locked="1" layoutInCell="1" allowOverlap="1" wp14:anchorId="4283C15F" wp14:editId="539E2C4E">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EB6" w:rsidRDefault="00D43EB6" w:rsidP="00D43EB6">
    <w:r>
      <w:t>GE.16-02293  (E)</w:t>
    </w:r>
    <w:r w:rsidR="002C5C36">
      <w:t xml:space="preserve">    040316    080316</w:t>
    </w:r>
  </w:p>
  <w:p w:rsidR="00D43EB6" w:rsidRPr="00D43EB6" w:rsidRDefault="00D43EB6" w:rsidP="00D43EB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7616A185" wp14:editId="5D3F6ED0">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2016/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6/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D9" w:rsidRPr="002C5C36" w:rsidRDefault="002C5C36" w:rsidP="002C5C36">
      <w:pPr>
        <w:pStyle w:val="Footer"/>
        <w:spacing w:after="80"/>
        <w:ind w:left="792"/>
        <w:rPr>
          <w:b/>
        </w:rPr>
      </w:pPr>
      <w:r w:rsidRPr="002C5C36">
        <w:rPr>
          <w:b/>
        </w:rPr>
        <w:t>__________________</w:t>
      </w:r>
    </w:p>
  </w:footnote>
  <w:footnote w:type="continuationSeparator" w:id="0">
    <w:p w:rsidR="000176D9" w:rsidRPr="002C5C36" w:rsidRDefault="002C5C36" w:rsidP="002C5C36">
      <w:pPr>
        <w:pStyle w:val="Footer"/>
        <w:spacing w:after="80"/>
        <w:ind w:left="792"/>
        <w:rPr>
          <w:b/>
        </w:rPr>
      </w:pPr>
      <w:r w:rsidRPr="002C5C36">
        <w:rPr>
          <w:b/>
        </w:rPr>
        <w:t>__________________</w:t>
      </w:r>
    </w:p>
  </w:footnote>
  <w:footnote w:id="1">
    <w:p w:rsidR="00C27DDC" w:rsidRPr="003C23B1" w:rsidRDefault="002C5C36" w:rsidP="002C5C36">
      <w:pPr>
        <w:pStyle w:val="FootnoteText"/>
        <w:tabs>
          <w:tab w:val="clear" w:pos="1021"/>
          <w:tab w:val="right" w:pos="1195"/>
          <w:tab w:val="left" w:pos="1267"/>
          <w:tab w:val="left" w:pos="1742"/>
          <w:tab w:val="left" w:pos="2218"/>
          <w:tab w:val="left" w:pos="2693"/>
        </w:tabs>
        <w:ind w:left="1267" w:right="1260" w:hanging="432"/>
        <w:rPr>
          <w:lang w:val="en-US"/>
        </w:rPr>
      </w:pPr>
      <w:r>
        <w:tab/>
      </w:r>
      <w:r w:rsidR="00C27DDC">
        <w:rPr>
          <w:rStyle w:val="FootnoteReference"/>
        </w:rPr>
        <w:footnoteRef/>
      </w:r>
      <w:r w:rsidR="00C27DDC">
        <w:t xml:space="preserve"> </w:t>
      </w:r>
      <w:r w:rsidR="00C27DDC">
        <w:tab/>
        <w:t xml:space="preserve">In accordance with the draft programme of work of the Inland </w:t>
      </w:r>
      <w:r>
        <w:t>Transport Committee for 2016-</w:t>
      </w:r>
      <w:r w:rsidR="00C27DDC">
        <w:t>2017 (ECE/TRANS/WP.15/2015/19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B6" w:rsidRPr="00D43EB6" w:rsidRDefault="00D43EB6" w:rsidP="00D43EB6">
    <w:pPr>
      <w:pStyle w:val="Header"/>
    </w:pPr>
    <w:r w:rsidRPr="00D43EB6">
      <w:t>ECE/TRANS/WP.15/2016/8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B6" w:rsidRPr="00D43EB6" w:rsidRDefault="00D43EB6" w:rsidP="00D43EB6">
    <w:pPr>
      <w:pStyle w:val="Header"/>
      <w:jc w:val="right"/>
    </w:pPr>
    <w:r w:rsidRPr="00D43EB6">
      <w:t>ECE/TRANS/WP.15/2016/8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76D9"/>
    <w:rsid w:val="0000026E"/>
    <w:rsid w:val="000176D9"/>
    <w:rsid w:val="00025341"/>
    <w:rsid w:val="00046E92"/>
    <w:rsid w:val="001170DC"/>
    <w:rsid w:val="00247E2C"/>
    <w:rsid w:val="0027595F"/>
    <w:rsid w:val="002C5C36"/>
    <w:rsid w:val="002D6C53"/>
    <w:rsid w:val="002F5595"/>
    <w:rsid w:val="00334F6A"/>
    <w:rsid w:val="00342AC8"/>
    <w:rsid w:val="003B4550"/>
    <w:rsid w:val="0044086A"/>
    <w:rsid w:val="00461253"/>
    <w:rsid w:val="004C5F5B"/>
    <w:rsid w:val="005042C2"/>
    <w:rsid w:val="005344C3"/>
    <w:rsid w:val="006032A2"/>
    <w:rsid w:val="00671529"/>
    <w:rsid w:val="006D176E"/>
    <w:rsid w:val="006F2E87"/>
    <w:rsid w:val="00717266"/>
    <w:rsid w:val="007268F9"/>
    <w:rsid w:val="00790D3B"/>
    <w:rsid w:val="007B1983"/>
    <w:rsid w:val="007C52B0"/>
    <w:rsid w:val="009411B4"/>
    <w:rsid w:val="009D0139"/>
    <w:rsid w:val="009F490F"/>
    <w:rsid w:val="009F5CDC"/>
    <w:rsid w:val="00A775CF"/>
    <w:rsid w:val="00A977F0"/>
    <w:rsid w:val="00AB3C7E"/>
    <w:rsid w:val="00B06045"/>
    <w:rsid w:val="00B53414"/>
    <w:rsid w:val="00B82BBC"/>
    <w:rsid w:val="00BB5B3B"/>
    <w:rsid w:val="00C27DDC"/>
    <w:rsid w:val="00C35A27"/>
    <w:rsid w:val="00D43EB6"/>
    <w:rsid w:val="00DD26F2"/>
    <w:rsid w:val="00E02C2B"/>
    <w:rsid w:val="00ED6C48"/>
    <w:rsid w:val="00F65F5D"/>
    <w:rsid w:val="00F86A3A"/>
    <w:rsid w:val="00FB1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table" w:customStyle="1" w:styleId="TableGrid1">
    <w:name w:val="Table Grid1"/>
    <w:basedOn w:val="TableNormal"/>
    <w:next w:val="TableGrid"/>
    <w:semiHidden/>
    <w:rsid w:val="00DD26F2"/>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17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table" w:customStyle="1" w:styleId="TableGrid1">
    <w:name w:val="Table Grid1"/>
    <w:basedOn w:val="TableNormal"/>
    <w:next w:val="TableGrid"/>
    <w:semiHidden/>
    <w:rsid w:val="00DD26F2"/>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17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8DB67-B778-49CF-B8B6-48CDED94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1602293</vt:lpstr>
    </vt:vector>
  </TitlesOfParts>
  <Company>DCM</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1602293</dc:title>
  <dc:subject>ECE/TRANS/WP.15/2016/8</dc:subject>
  <dc:creator>Moses Okello</dc:creator>
  <cp:lastModifiedBy>barrio-champeau</cp:lastModifiedBy>
  <cp:revision>2</cp:revision>
  <cp:lastPrinted>2016-03-08T15:46:00Z</cp:lastPrinted>
  <dcterms:created xsi:type="dcterms:W3CDTF">2016-03-09T07:28:00Z</dcterms:created>
  <dcterms:modified xsi:type="dcterms:W3CDTF">2016-03-09T07:28:00Z</dcterms:modified>
</cp:coreProperties>
</file>