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431638" w:rsidTr="001C778D">
        <w:trPr>
          <w:trHeight w:val="851"/>
        </w:trPr>
        <w:tc>
          <w:tcPr>
            <w:tcW w:w="1259" w:type="dxa"/>
            <w:tcBorders>
              <w:top w:val="nil"/>
              <w:left w:val="nil"/>
              <w:bottom w:val="single" w:sz="4" w:space="0" w:color="auto"/>
              <w:right w:val="nil"/>
            </w:tcBorders>
          </w:tcPr>
          <w:p w:rsidR="00431638" w:rsidRDefault="00431638" w:rsidP="00E13E39">
            <w:bookmarkStart w:id="0" w:name="_GoBack"/>
            <w:bookmarkEnd w:id="0"/>
          </w:p>
        </w:tc>
        <w:tc>
          <w:tcPr>
            <w:tcW w:w="2236" w:type="dxa"/>
            <w:tcBorders>
              <w:top w:val="nil"/>
              <w:left w:val="nil"/>
              <w:bottom w:val="single" w:sz="4" w:space="0" w:color="auto"/>
              <w:right w:val="nil"/>
            </w:tcBorders>
            <w:vAlign w:val="bottom"/>
          </w:tcPr>
          <w:p w:rsidR="00431638" w:rsidRPr="00963CBA" w:rsidRDefault="001A0F88" w:rsidP="00E13E39">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31638" w:rsidRPr="009F3A17" w:rsidRDefault="00004ACE" w:rsidP="00004ACE">
            <w:pPr>
              <w:suppressAutoHyphens w:val="0"/>
              <w:spacing w:after="20"/>
              <w:jc w:val="right"/>
            </w:pPr>
            <w:r w:rsidRPr="00004ACE">
              <w:rPr>
                <w:sz w:val="40"/>
              </w:rPr>
              <w:t>ECE</w:t>
            </w:r>
            <w:r>
              <w:t>/TRANS/WP.15/2016/11</w:t>
            </w:r>
          </w:p>
        </w:tc>
      </w:tr>
      <w:tr w:rsidR="00431638" w:rsidTr="001C778D">
        <w:trPr>
          <w:trHeight w:val="2835"/>
        </w:trPr>
        <w:tc>
          <w:tcPr>
            <w:tcW w:w="1259" w:type="dxa"/>
            <w:tcBorders>
              <w:top w:val="single" w:sz="4" w:space="0" w:color="auto"/>
              <w:left w:val="nil"/>
              <w:bottom w:val="single" w:sz="12" w:space="0" w:color="auto"/>
              <w:right w:val="nil"/>
            </w:tcBorders>
          </w:tcPr>
          <w:p w:rsidR="00431638" w:rsidRDefault="001A0F88" w:rsidP="00E13E39">
            <w:pPr>
              <w:spacing w:before="120"/>
            </w:pPr>
            <w:r>
              <w:rPr>
                <w:noProof/>
                <w:lang w:eastAsia="en-GB"/>
              </w:rPr>
              <w:drawing>
                <wp:inline distT="0" distB="0" distL="0" distR="0" wp14:anchorId="5B4B2BFD" wp14:editId="6DE3788D">
                  <wp:extent cx="714375" cy="590550"/>
                  <wp:effectExtent l="0" t="0" r="9525" b="0"/>
                  <wp:docPr id="5" name="Picture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431638" w:rsidRDefault="001A0F88" w:rsidP="001A0F88">
            <w:pPr>
              <w:spacing w:before="120" w:line="380" w:lineRule="exact"/>
            </w:pPr>
            <w:r w:rsidRPr="001A0F88">
              <w:rPr>
                <w:b/>
                <w:sz w:val="34"/>
                <w:szCs w:val="40"/>
              </w:rPr>
              <w:t>Economic and Social Council</w:t>
            </w:r>
          </w:p>
        </w:tc>
        <w:tc>
          <w:tcPr>
            <w:tcW w:w="2930" w:type="dxa"/>
            <w:tcBorders>
              <w:top w:val="single" w:sz="4" w:space="0" w:color="auto"/>
              <w:left w:val="nil"/>
              <w:bottom w:val="single" w:sz="12" w:space="0" w:color="auto"/>
              <w:right w:val="nil"/>
            </w:tcBorders>
          </w:tcPr>
          <w:p w:rsidR="00431638" w:rsidRDefault="00004ACE" w:rsidP="00004ACE">
            <w:pPr>
              <w:suppressAutoHyphens w:val="0"/>
              <w:spacing w:before="240" w:line="240" w:lineRule="exact"/>
            </w:pPr>
            <w:r>
              <w:t>Distr.: General</w:t>
            </w:r>
          </w:p>
          <w:p w:rsidR="00004ACE" w:rsidRDefault="00004ACE" w:rsidP="00004ACE">
            <w:pPr>
              <w:suppressAutoHyphens w:val="0"/>
            </w:pPr>
            <w:r>
              <w:t>22 August 2016</w:t>
            </w:r>
          </w:p>
          <w:p w:rsidR="00004ACE" w:rsidRDefault="00004ACE" w:rsidP="00004ACE">
            <w:pPr>
              <w:suppressAutoHyphens w:val="0"/>
            </w:pPr>
            <w:r>
              <w:t>English</w:t>
            </w:r>
          </w:p>
          <w:p w:rsidR="00004ACE" w:rsidRDefault="00004ACE" w:rsidP="00004ACE">
            <w:pPr>
              <w:suppressAutoHyphens w:val="0"/>
            </w:pPr>
            <w:r>
              <w:t>Original: French</w:t>
            </w:r>
          </w:p>
        </w:tc>
      </w:tr>
    </w:tbl>
    <w:p w:rsidR="001C778D" w:rsidRPr="001C778D" w:rsidRDefault="001C778D" w:rsidP="001C778D">
      <w:pPr>
        <w:spacing w:before="120"/>
        <w:rPr>
          <w:b/>
          <w:sz w:val="28"/>
          <w:szCs w:val="28"/>
        </w:rPr>
      </w:pPr>
      <w:r w:rsidRPr="001C778D">
        <w:rPr>
          <w:b/>
          <w:sz w:val="28"/>
          <w:szCs w:val="28"/>
        </w:rPr>
        <w:t>Economic Commission for Europe</w:t>
      </w:r>
    </w:p>
    <w:p w:rsidR="001C778D" w:rsidRPr="001C778D" w:rsidRDefault="001C778D" w:rsidP="001C778D">
      <w:pPr>
        <w:spacing w:before="120"/>
        <w:rPr>
          <w:sz w:val="28"/>
          <w:szCs w:val="28"/>
        </w:rPr>
      </w:pPr>
      <w:r w:rsidRPr="001C778D">
        <w:rPr>
          <w:sz w:val="28"/>
          <w:szCs w:val="28"/>
        </w:rPr>
        <w:t>Inland Transport Committee</w:t>
      </w:r>
    </w:p>
    <w:p w:rsidR="001C778D" w:rsidRPr="001C778D" w:rsidRDefault="001C778D" w:rsidP="001C778D">
      <w:pPr>
        <w:spacing w:before="120"/>
        <w:rPr>
          <w:b/>
          <w:sz w:val="24"/>
          <w:szCs w:val="24"/>
        </w:rPr>
      </w:pPr>
      <w:r w:rsidRPr="001C778D">
        <w:rPr>
          <w:b/>
          <w:sz w:val="24"/>
          <w:szCs w:val="24"/>
        </w:rPr>
        <w:t>Working Party on the Transport of Dangerous Goods</w:t>
      </w:r>
    </w:p>
    <w:p w:rsidR="001C778D" w:rsidRPr="001C778D" w:rsidRDefault="001C778D" w:rsidP="001C778D">
      <w:pPr>
        <w:rPr>
          <w:b/>
          <w:bCs/>
        </w:rPr>
      </w:pPr>
      <w:r w:rsidRPr="001C778D">
        <w:rPr>
          <w:b/>
          <w:bCs/>
        </w:rPr>
        <w:t>101st session</w:t>
      </w:r>
    </w:p>
    <w:p w:rsidR="001C778D" w:rsidRPr="008B0768" w:rsidRDefault="001C778D" w:rsidP="001C778D">
      <w:r w:rsidRPr="008B0768">
        <w:t>Geneva, 8-11 November 2016</w:t>
      </w:r>
    </w:p>
    <w:p w:rsidR="001C778D" w:rsidRPr="008B0768" w:rsidRDefault="001C778D" w:rsidP="001C778D">
      <w:r w:rsidRPr="008B0768">
        <w:t xml:space="preserve">Item 5 (b) of the provisional agenda </w:t>
      </w:r>
    </w:p>
    <w:p w:rsidR="001C778D" w:rsidRPr="001C778D" w:rsidRDefault="001C778D" w:rsidP="001C778D">
      <w:pPr>
        <w:rPr>
          <w:b/>
          <w:bCs/>
        </w:rPr>
      </w:pPr>
      <w:r w:rsidRPr="001C778D">
        <w:rPr>
          <w:b/>
          <w:bCs/>
        </w:rPr>
        <w:t>Proposals for amendments to annexes A and B of ADR:</w:t>
      </w:r>
    </w:p>
    <w:p w:rsidR="001C778D" w:rsidRPr="001C778D" w:rsidRDefault="001C778D" w:rsidP="001C778D">
      <w:pPr>
        <w:rPr>
          <w:b/>
          <w:bCs/>
        </w:rPr>
      </w:pPr>
      <w:r w:rsidRPr="001C778D">
        <w:rPr>
          <w:b/>
          <w:bCs/>
        </w:rPr>
        <w:t xml:space="preserve">Miscellaneous proposals </w:t>
      </w:r>
    </w:p>
    <w:p w:rsidR="001C778D" w:rsidRPr="008B0768" w:rsidRDefault="001C778D" w:rsidP="007C3189">
      <w:pPr>
        <w:pStyle w:val="HChG"/>
      </w:pPr>
      <w:r w:rsidRPr="008B0768">
        <w:tab/>
      </w:r>
      <w:r w:rsidRPr="008B0768">
        <w:tab/>
        <w:t xml:space="preserve">Mixed loading on mobile explosives manufacturing units (MEMUs) of ammonium nitrate emulsions under UN No. 3375 with blasting explosives </w:t>
      </w:r>
      <w:r w:rsidR="007C3189">
        <w:t>—</w:t>
      </w:r>
      <w:r w:rsidRPr="008B0768">
        <w:t xml:space="preserve"> 7.5.5.2.3 (f) </w:t>
      </w:r>
    </w:p>
    <w:p w:rsidR="001C778D" w:rsidRPr="008B0768" w:rsidRDefault="001C778D" w:rsidP="001C778D">
      <w:pPr>
        <w:pStyle w:val="H1G"/>
        <w:rPr>
          <w:rFonts w:eastAsia="SimSun"/>
        </w:rPr>
      </w:pPr>
      <w:r w:rsidRPr="008B0768">
        <w:tab/>
      </w:r>
      <w:r w:rsidRPr="008B0768">
        <w:tab/>
        <w:t>Transmitted by the Government of Switzerland</w:t>
      </w:r>
      <w:r w:rsidRPr="001C778D">
        <w:rPr>
          <w:rStyle w:val="FootnoteReference"/>
          <w:b w:val="0"/>
          <w:bCs/>
        </w:rPr>
        <w:footnoteReference w:id="1"/>
      </w:r>
      <w:r w:rsidRPr="001C778D">
        <w:rPr>
          <w:rStyle w:val="FootnoteReference"/>
          <w:rFonts w:eastAsia="SimSun"/>
          <w:b w:val="0"/>
          <w:bCs/>
        </w:rPr>
        <w:t xml:space="preserve"> </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1C778D" w:rsidTr="001C778D">
        <w:trPr>
          <w:jc w:val="center"/>
        </w:trPr>
        <w:tc>
          <w:tcPr>
            <w:tcW w:w="9637" w:type="dxa"/>
            <w:tcBorders>
              <w:bottom w:val="nil"/>
            </w:tcBorders>
          </w:tcPr>
          <w:p w:rsidR="001C778D" w:rsidRPr="001C778D" w:rsidRDefault="001C778D" w:rsidP="001C778D">
            <w:pPr>
              <w:tabs>
                <w:tab w:val="left" w:pos="255"/>
              </w:tabs>
              <w:suppressAutoHyphens w:val="0"/>
              <w:spacing w:before="240" w:after="120"/>
              <w:rPr>
                <w:sz w:val="24"/>
              </w:rPr>
            </w:pPr>
            <w:r>
              <w:tab/>
            </w:r>
            <w:r>
              <w:rPr>
                <w:i/>
                <w:sz w:val="24"/>
              </w:rPr>
              <w:t>Summary</w:t>
            </w:r>
          </w:p>
        </w:tc>
      </w:tr>
      <w:tr w:rsidR="00E36BBD" w:rsidTr="001C778D">
        <w:trPr>
          <w:jc w:val="center"/>
        </w:trPr>
        <w:tc>
          <w:tcPr>
            <w:tcW w:w="9637" w:type="dxa"/>
            <w:tcBorders>
              <w:top w:val="nil"/>
              <w:bottom w:val="nil"/>
            </w:tcBorders>
            <w:shd w:val="clear" w:color="auto" w:fill="auto"/>
          </w:tcPr>
          <w:p w:rsidR="00E36BBD" w:rsidRPr="008B0768" w:rsidRDefault="00E36BBD" w:rsidP="00777DF5">
            <w:pPr>
              <w:pStyle w:val="SingleTxtG"/>
              <w:spacing w:after="60"/>
              <w:ind w:left="2552" w:hanging="2268"/>
            </w:pPr>
            <w:r w:rsidRPr="001C778D">
              <w:rPr>
                <w:rFonts w:eastAsia="Times New Roman"/>
                <w:b/>
                <w:szCs w:val="22"/>
                <w:lang w:eastAsia="en-US"/>
              </w:rPr>
              <w:t>Executive summary</w:t>
            </w:r>
            <w:r w:rsidRPr="008B0768">
              <w:t>:</w:t>
            </w:r>
            <w:r w:rsidRPr="008B0768">
              <w:tab/>
              <w:t xml:space="preserve">The prohibition against the mixed loading of ammonium nitrate emulsions under UN No. 3375 with blasting </w:t>
            </w:r>
            <w:r w:rsidRPr="001C778D">
              <w:rPr>
                <w:rFonts w:eastAsia="Times New Roman"/>
                <w:bCs/>
                <w:lang w:eastAsia="en-US"/>
              </w:rPr>
              <w:t>explosives</w:t>
            </w:r>
            <w:r w:rsidRPr="008B0768">
              <w:t xml:space="preserve"> has been removed from footnote (d) to the Table under 7.5.2.1</w:t>
            </w:r>
            <w:r w:rsidR="00777DF5">
              <w:t xml:space="preserve"> in ADR 2017</w:t>
            </w:r>
            <w:r w:rsidRPr="008B0768">
              <w:t>. The text of 7.5.5.2.3 (f) relating to the mixed loading of such emulsions with blasting explosives has thus become obsolete and can be removed.</w:t>
            </w:r>
          </w:p>
        </w:tc>
      </w:tr>
      <w:tr w:rsidR="00E36BBD" w:rsidTr="001C778D">
        <w:trPr>
          <w:jc w:val="center"/>
        </w:trPr>
        <w:tc>
          <w:tcPr>
            <w:tcW w:w="9637" w:type="dxa"/>
            <w:tcBorders>
              <w:top w:val="nil"/>
              <w:bottom w:val="nil"/>
            </w:tcBorders>
            <w:shd w:val="clear" w:color="auto" w:fill="auto"/>
          </w:tcPr>
          <w:p w:rsidR="00E36BBD" w:rsidRPr="008B0768" w:rsidRDefault="00E36BBD" w:rsidP="00B87DCA">
            <w:pPr>
              <w:pStyle w:val="SingleTxtG"/>
              <w:ind w:left="2552" w:hanging="2268"/>
            </w:pPr>
            <w:r w:rsidRPr="001C778D">
              <w:rPr>
                <w:rFonts w:eastAsia="Times New Roman"/>
                <w:b/>
                <w:szCs w:val="22"/>
                <w:lang w:eastAsia="en-US"/>
              </w:rPr>
              <w:t>Action to be taken</w:t>
            </w:r>
            <w:r w:rsidRPr="001C778D">
              <w:rPr>
                <w:lang w:eastAsia="en-US"/>
              </w:rPr>
              <w:t>:</w:t>
            </w:r>
            <w:r w:rsidRPr="008B0768">
              <w:tab/>
              <w:t>Delete 7.5.5.2.3 (f).</w:t>
            </w:r>
          </w:p>
        </w:tc>
      </w:tr>
      <w:tr w:rsidR="00E36BBD" w:rsidTr="001C778D">
        <w:trPr>
          <w:jc w:val="center"/>
        </w:trPr>
        <w:tc>
          <w:tcPr>
            <w:tcW w:w="9637" w:type="dxa"/>
            <w:tcBorders>
              <w:top w:val="nil"/>
              <w:bottom w:val="nil"/>
            </w:tcBorders>
            <w:shd w:val="clear" w:color="auto" w:fill="auto"/>
          </w:tcPr>
          <w:p w:rsidR="00E36BBD" w:rsidRDefault="00E36BBD" w:rsidP="00B87DCA">
            <w:pPr>
              <w:pStyle w:val="SingleTxtG"/>
              <w:ind w:left="2552" w:hanging="2268"/>
            </w:pPr>
            <w:r w:rsidRPr="001C778D">
              <w:rPr>
                <w:rFonts w:eastAsia="Times New Roman"/>
                <w:b/>
                <w:szCs w:val="22"/>
                <w:lang w:eastAsia="en-US"/>
              </w:rPr>
              <w:t>Reference document</w:t>
            </w:r>
            <w:r w:rsidRPr="001C778D">
              <w:rPr>
                <w:lang w:eastAsia="en-US"/>
              </w:rPr>
              <w:t>:</w:t>
            </w:r>
            <w:r w:rsidRPr="008B0768">
              <w:tab/>
              <w:t>ECE/TRANS/WP.15/231</w:t>
            </w:r>
          </w:p>
        </w:tc>
      </w:tr>
      <w:tr w:rsidR="00E36BBD" w:rsidTr="001C778D">
        <w:trPr>
          <w:jc w:val="center"/>
        </w:trPr>
        <w:tc>
          <w:tcPr>
            <w:tcW w:w="9637" w:type="dxa"/>
            <w:tcBorders>
              <w:top w:val="nil"/>
            </w:tcBorders>
          </w:tcPr>
          <w:p w:rsidR="00E36BBD" w:rsidRDefault="00E36BBD" w:rsidP="001C778D">
            <w:pPr>
              <w:suppressAutoHyphens w:val="0"/>
            </w:pPr>
          </w:p>
        </w:tc>
      </w:tr>
    </w:tbl>
    <w:p w:rsidR="001C778D" w:rsidRPr="008B0768" w:rsidRDefault="001C778D" w:rsidP="00E36BBD">
      <w:pPr>
        <w:pStyle w:val="HChG"/>
      </w:pPr>
      <w:r w:rsidRPr="008B0768">
        <w:lastRenderedPageBreak/>
        <w:tab/>
      </w:r>
      <w:r w:rsidRPr="008B0768">
        <w:tab/>
        <w:t>Introduction</w:t>
      </w:r>
    </w:p>
    <w:p w:rsidR="001C778D" w:rsidRPr="008B0768" w:rsidRDefault="001C778D" w:rsidP="00E36BBD">
      <w:pPr>
        <w:pStyle w:val="SingleTxtG"/>
        <w:keepNext/>
        <w:keepLines/>
      </w:pPr>
      <w:r w:rsidRPr="008B0768">
        <w:t>1.</w:t>
      </w:r>
      <w:r w:rsidRPr="008B0768">
        <w:tab/>
        <w:t>Footnote (d) to the Table in 7.5.2.1 has been amended in ADR 2017</w:t>
      </w:r>
      <w:r w:rsidR="00E53801">
        <w:t>,</w:t>
      </w:r>
      <w:r w:rsidRPr="008B0768">
        <w:t xml:space="preserve"> as follows:</w:t>
      </w:r>
    </w:p>
    <w:p w:rsidR="001C778D" w:rsidRPr="008B0768" w:rsidRDefault="0019244C" w:rsidP="003D3361">
      <w:pPr>
        <w:pStyle w:val="SingleTxtG"/>
        <w:ind w:left="2268" w:hanging="1134"/>
      </w:pPr>
      <w:r>
        <w:t>“</w:t>
      </w:r>
      <w:r w:rsidR="001C778D" w:rsidRPr="008B0768">
        <w:t>7.5.2.1</w:t>
      </w:r>
      <w:r w:rsidR="001C778D" w:rsidRPr="008B0768">
        <w:tab/>
        <w:t xml:space="preserve">In table </w:t>
      </w:r>
      <w:proofErr w:type="spellStart"/>
      <w:r w:rsidR="001C778D" w:rsidRPr="008B0768">
        <w:t>note d</w:t>
      </w:r>
      <w:proofErr w:type="spellEnd"/>
      <w:r w:rsidR="001C778D" w:rsidRPr="008B0768">
        <w:t>, insert the phrase</w:t>
      </w:r>
      <w:r w:rsidR="003D3361">
        <w:t>‘</w:t>
      </w:r>
      <w:r w:rsidR="001C778D" w:rsidRPr="008B0768">
        <w:t>, ammonium nitrate emulsion or suspension or gel (UN No. 3375)</w:t>
      </w:r>
      <w:r w:rsidR="003D3361">
        <w:t>’</w:t>
      </w:r>
      <w:r w:rsidR="001C778D" w:rsidRPr="008B0768">
        <w:t xml:space="preserve"> after </w:t>
      </w:r>
      <w:r w:rsidR="003D3361">
        <w:t>‘</w:t>
      </w:r>
      <w:r w:rsidR="001C778D" w:rsidRPr="008B0768">
        <w:t>(UN Nos. 1942 and 2067)</w:t>
      </w:r>
      <w:r w:rsidR="003D3361">
        <w:t>’.</w:t>
      </w:r>
      <w:r w:rsidR="00A61070">
        <w:t>”</w:t>
      </w:r>
    </w:p>
    <w:p w:rsidR="001C778D" w:rsidRPr="008B0768" w:rsidRDefault="001C778D" w:rsidP="00E36BBD">
      <w:pPr>
        <w:pStyle w:val="SingleTxtG"/>
      </w:pPr>
      <w:r w:rsidRPr="008B0768">
        <w:t>2.</w:t>
      </w:r>
      <w:r w:rsidRPr="008B0768">
        <w:tab/>
        <w:t>The text of 7.5.5.2.3 (f) also refers to the prohibition against the mixed loading of UN No. 3375 with blasting explosives, which is prohibited under ADR until the end of 2016.</w:t>
      </w:r>
    </w:p>
    <w:p w:rsidR="001C778D" w:rsidRPr="008B0768" w:rsidRDefault="001C778D" w:rsidP="00A61070">
      <w:pPr>
        <w:pStyle w:val="SingleTxtG"/>
      </w:pPr>
      <w:r w:rsidRPr="008B0768">
        <w:t>3.</w:t>
      </w:r>
      <w:r w:rsidRPr="008B0768">
        <w:tab/>
        <w:t>The amendment mentioned in paragraph 1, above, removes this prohibition, thus making obsolete the authorization in 7.5.5.2.3 of mixed loading for MEMUs. Beginning on 1 January 2017, mixed loading will always be allowed by footnote (d) to the Table under 7.5.2.1. As a consequential amendment, we propose</w:t>
      </w:r>
      <w:r w:rsidR="00A61070">
        <w:t xml:space="preserve"> </w:t>
      </w:r>
      <w:r w:rsidRPr="008B0768">
        <w:t>delet</w:t>
      </w:r>
      <w:r w:rsidR="00A61070">
        <w:t>ing</w:t>
      </w:r>
      <w:r w:rsidRPr="008B0768">
        <w:t xml:space="preserve"> 7.5.5.2.3 (f), which has lost its purpose, as the subject it addresses is already covered by the ADR provisions entering into force on 1 January 2017.</w:t>
      </w:r>
    </w:p>
    <w:p w:rsidR="001C778D" w:rsidRPr="008B0768" w:rsidRDefault="00D6480C" w:rsidP="00D6480C">
      <w:pPr>
        <w:pStyle w:val="HChG"/>
      </w:pPr>
      <w:r>
        <w:tab/>
      </w:r>
      <w:r>
        <w:tab/>
      </w:r>
      <w:r w:rsidR="001C778D" w:rsidRPr="008B0768">
        <w:t>Proposal</w:t>
      </w:r>
    </w:p>
    <w:p w:rsidR="001C778D" w:rsidRDefault="001C778D" w:rsidP="00D6480C">
      <w:pPr>
        <w:pStyle w:val="SingleTxtG"/>
      </w:pPr>
      <w:proofErr w:type="gramStart"/>
      <w:r w:rsidRPr="008B0768">
        <w:t>Delete 7.5.5.2.3 (f).</w:t>
      </w:r>
      <w:proofErr w:type="gramEnd"/>
    </w:p>
    <w:p w:rsidR="00D6480C" w:rsidRPr="00106A43" w:rsidRDefault="00D6480C">
      <w:pPr>
        <w:spacing w:before="240"/>
        <w:jc w:val="center"/>
        <w:rPr>
          <w:u w:val="single"/>
        </w:rPr>
      </w:pPr>
      <w:r>
        <w:rPr>
          <w:u w:val="single"/>
        </w:rPr>
        <w:tab/>
      </w:r>
      <w:r>
        <w:rPr>
          <w:u w:val="single"/>
        </w:rPr>
        <w:tab/>
      </w:r>
      <w:r>
        <w:rPr>
          <w:u w:val="single"/>
        </w:rPr>
        <w:tab/>
      </w:r>
    </w:p>
    <w:sectPr w:rsidR="00D6480C" w:rsidRPr="00106A43" w:rsidSect="00004AC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CCB" w:rsidRPr="00966B17" w:rsidRDefault="003E1CCB" w:rsidP="00966B17">
      <w:pPr>
        <w:pStyle w:val="Footer"/>
      </w:pPr>
    </w:p>
  </w:endnote>
  <w:endnote w:type="continuationSeparator" w:id="0">
    <w:p w:rsidR="003E1CCB" w:rsidRPr="00966B17" w:rsidRDefault="003E1CCB" w:rsidP="00966B1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CE" w:rsidRPr="00004ACE" w:rsidRDefault="00004ACE" w:rsidP="00004ACE">
    <w:pPr>
      <w:pStyle w:val="Footer"/>
      <w:tabs>
        <w:tab w:val="right" w:pos="9598"/>
      </w:tabs>
    </w:pPr>
    <w:r w:rsidRPr="00004ACE">
      <w:rPr>
        <w:b/>
        <w:sz w:val="18"/>
      </w:rPr>
      <w:fldChar w:fldCharType="begin"/>
    </w:r>
    <w:r w:rsidRPr="00004ACE">
      <w:rPr>
        <w:b/>
        <w:sz w:val="18"/>
      </w:rPr>
      <w:instrText xml:space="preserve"> PAGE  \* MERGEFORMAT </w:instrText>
    </w:r>
    <w:r w:rsidRPr="00004ACE">
      <w:rPr>
        <w:b/>
        <w:sz w:val="18"/>
      </w:rPr>
      <w:fldChar w:fldCharType="separate"/>
    </w:r>
    <w:r w:rsidR="00E86036">
      <w:rPr>
        <w:b/>
        <w:noProof/>
        <w:sz w:val="18"/>
      </w:rPr>
      <w:t>2</w:t>
    </w:r>
    <w:r w:rsidRPr="00004ACE">
      <w:rPr>
        <w:b/>
        <w:sz w:val="18"/>
      </w:rPr>
      <w:fldChar w:fldCharType="end"/>
    </w:r>
    <w:r>
      <w:rPr>
        <w:sz w:val="18"/>
      </w:rPr>
      <w:tab/>
    </w:r>
    <w:r>
      <w:t>GE.16-14499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CE" w:rsidRPr="00004ACE" w:rsidRDefault="00004ACE" w:rsidP="00004ACE">
    <w:pPr>
      <w:pStyle w:val="Footer"/>
      <w:tabs>
        <w:tab w:val="right" w:pos="9598"/>
      </w:tabs>
      <w:rPr>
        <w:b/>
        <w:sz w:val="18"/>
      </w:rPr>
    </w:pPr>
    <w:r>
      <w:t>GE.16-14499</w:t>
    </w:r>
    <w:r>
      <w:tab/>
    </w:r>
    <w:r w:rsidRPr="00004ACE">
      <w:rPr>
        <w:b/>
        <w:sz w:val="18"/>
      </w:rPr>
      <w:fldChar w:fldCharType="begin"/>
    </w:r>
    <w:r w:rsidRPr="00004ACE">
      <w:rPr>
        <w:b/>
        <w:sz w:val="18"/>
      </w:rPr>
      <w:instrText xml:space="preserve"> PAGE  \* MERGEFORMAT </w:instrText>
    </w:r>
    <w:r w:rsidRPr="00004ACE">
      <w:rPr>
        <w:b/>
        <w:sz w:val="18"/>
      </w:rPr>
      <w:fldChar w:fldCharType="separate"/>
    </w:r>
    <w:r>
      <w:rPr>
        <w:b/>
        <w:noProof/>
        <w:sz w:val="18"/>
      </w:rPr>
      <w:t>3</w:t>
    </w:r>
    <w:r w:rsidRPr="00004AC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1A3" w:rsidRDefault="00431638" w:rsidP="00B80410">
    <w:r>
      <w:rPr>
        <w:noProof/>
        <w:lang w:eastAsia="en-GB"/>
      </w:rPr>
      <w:drawing>
        <wp:anchor distT="0" distB="0" distL="114300" distR="114300" simplePos="0" relativeHeight="251659264" behindDoc="0" locked="1" layoutInCell="1" allowOverlap="1" wp14:anchorId="53D6DB04" wp14:editId="749D1672">
          <wp:simplePos x="0" y="0"/>
          <wp:positionH relativeFrom="margin">
            <wp:posOffset>4319905</wp:posOffset>
          </wp:positionH>
          <wp:positionV relativeFrom="margin">
            <wp:posOffset>8279765</wp:posOffset>
          </wp:positionV>
          <wp:extent cx="933450" cy="228600"/>
          <wp:effectExtent l="0" t="0" r="0" b="0"/>
          <wp:wrapSquare wrapText="bothSides"/>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ACE" w:rsidRDefault="00004ACE" w:rsidP="00004ACE">
    <w:r>
      <w:t>GE.16-</w:t>
    </w:r>
    <w:proofErr w:type="gramStart"/>
    <w:r>
      <w:t>14499  (</w:t>
    </w:r>
    <w:proofErr w:type="gramEnd"/>
    <w:r>
      <w:t>E)</w:t>
    </w:r>
    <w:r w:rsidR="00E36BBD">
      <w:t xml:space="preserve">    300816    300816</w:t>
    </w:r>
  </w:p>
  <w:p w:rsidR="00004ACE" w:rsidRPr="00004ACE" w:rsidRDefault="00004ACE" w:rsidP="00004ACE">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49730621" wp14:editId="5CBEFD6C">
          <wp:simplePos x="0" y="0"/>
          <wp:positionH relativeFrom="margin">
            <wp:posOffset>5489575</wp:posOffset>
          </wp:positionH>
          <wp:positionV relativeFrom="margin">
            <wp:posOffset>8027670</wp:posOffset>
          </wp:positionV>
          <wp:extent cx="638175" cy="638175"/>
          <wp:effectExtent l="0" t="0" r="9525" b="9525"/>
          <wp:wrapNone/>
          <wp:docPr id="2" name="Picture 1" descr="http://undocs.org/m2/QRCode.ashx?DS=ECE/TRANS/WP.15/2016/1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2016/1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CCB" w:rsidRPr="00966B17" w:rsidRDefault="003E1CCB" w:rsidP="00966B17">
      <w:pPr>
        <w:tabs>
          <w:tab w:val="right" w:pos="2155"/>
        </w:tabs>
        <w:spacing w:after="80" w:line="240" w:lineRule="auto"/>
        <w:ind w:left="680"/>
      </w:pPr>
      <w:r>
        <w:rPr>
          <w:u w:val="single"/>
        </w:rPr>
        <w:tab/>
      </w:r>
    </w:p>
  </w:footnote>
  <w:footnote w:type="continuationSeparator" w:id="0">
    <w:p w:rsidR="003E1CCB" w:rsidRPr="00966B17" w:rsidRDefault="003E1CCB" w:rsidP="00966B17">
      <w:pPr>
        <w:tabs>
          <w:tab w:val="right" w:pos="2155"/>
        </w:tabs>
        <w:spacing w:after="80" w:line="240" w:lineRule="auto"/>
        <w:ind w:left="680"/>
      </w:pPr>
      <w:r>
        <w:rPr>
          <w:u w:val="single"/>
        </w:rPr>
        <w:tab/>
      </w:r>
    </w:p>
  </w:footnote>
  <w:footnote w:id="1">
    <w:p w:rsidR="001C778D" w:rsidRPr="005B0317" w:rsidRDefault="001C778D" w:rsidP="00E53801">
      <w:pPr>
        <w:pStyle w:val="FootnoteText"/>
        <w:rPr>
          <w:lang w:val="en-US"/>
        </w:rPr>
      </w:pPr>
      <w:r>
        <w:tab/>
      </w:r>
      <w:r w:rsidRPr="001C778D">
        <w:rPr>
          <w:rStyle w:val="FootnoteReference"/>
        </w:rPr>
        <w:footnoteRef/>
      </w:r>
      <w:r w:rsidRPr="005B0317">
        <w:rPr>
          <w:lang w:val="en-US"/>
        </w:rPr>
        <w:tab/>
      </w:r>
      <w:proofErr w:type="gramStart"/>
      <w:r w:rsidRPr="005B0317">
        <w:rPr>
          <w:lang w:val="en-US"/>
        </w:rPr>
        <w:t xml:space="preserve">In accordance with the </w:t>
      </w:r>
      <w:proofErr w:type="spellStart"/>
      <w:r w:rsidRPr="005B0317">
        <w:rPr>
          <w:lang w:val="en-US"/>
        </w:rPr>
        <w:t>programme</w:t>
      </w:r>
      <w:proofErr w:type="spellEnd"/>
      <w:r w:rsidRPr="005B0317">
        <w:rPr>
          <w:lang w:val="en-US"/>
        </w:rPr>
        <w:t xml:space="preserve"> of work of the Inland Transport Committee for 2016-2017, (ECE/TRANS/2016/28/Add.1 (9.</w:t>
      </w:r>
      <w:r w:rsidR="00E53801">
        <w:rPr>
          <w:lang w:val="en-US"/>
        </w:rPr>
        <w:t>1</w:t>
      </w:r>
      <w:r w:rsidRPr="005B0317">
        <w:rPr>
          <w:lang w:val="en-US"/>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CE" w:rsidRPr="00004ACE" w:rsidRDefault="00004ACE" w:rsidP="00004ACE">
    <w:pPr>
      <w:pStyle w:val="Header"/>
    </w:pPr>
    <w:r w:rsidRPr="00004ACE">
      <w:t>ECE/TRANS/WP.15/2016/11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CE" w:rsidRPr="00004ACE" w:rsidRDefault="00004ACE" w:rsidP="00004ACE">
    <w:pPr>
      <w:pStyle w:val="Header"/>
      <w:jc w:val="right"/>
    </w:pPr>
    <w:r w:rsidRPr="00004ACE">
      <w:t>ECE/TRANS/WP.15/2016/11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1CCB"/>
    <w:rsid w:val="00004ACE"/>
    <w:rsid w:val="00046E92"/>
    <w:rsid w:val="00132A63"/>
    <w:rsid w:val="0019244C"/>
    <w:rsid w:val="001A0F88"/>
    <w:rsid w:val="001C778D"/>
    <w:rsid w:val="00247E2C"/>
    <w:rsid w:val="002D6C53"/>
    <w:rsid w:val="002F4C76"/>
    <w:rsid w:val="002F5595"/>
    <w:rsid w:val="00334F6A"/>
    <w:rsid w:val="00342AC8"/>
    <w:rsid w:val="003B4550"/>
    <w:rsid w:val="003D3361"/>
    <w:rsid w:val="003E1CCB"/>
    <w:rsid w:val="00431638"/>
    <w:rsid w:val="00461253"/>
    <w:rsid w:val="005042C2"/>
    <w:rsid w:val="00671529"/>
    <w:rsid w:val="007268F9"/>
    <w:rsid w:val="0073631A"/>
    <w:rsid w:val="00777DF5"/>
    <w:rsid w:val="007C3189"/>
    <w:rsid w:val="007C52B0"/>
    <w:rsid w:val="008D7745"/>
    <w:rsid w:val="009411B4"/>
    <w:rsid w:val="00966B17"/>
    <w:rsid w:val="009D0139"/>
    <w:rsid w:val="009F5CDC"/>
    <w:rsid w:val="00A61070"/>
    <w:rsid w:val="00A775CF"/>
    <w:rsid w:val="00B06045"/>
    <w:rsid w:val="00B80410"/>
    <w:rsid w:val="00B87DCA"/>
    <w:rsid w:val="00B9412E"/>
    <w:rsid w:val="00C35A27"/>
    <w:rsid w:val="00D6480C"/>
    <w:rsid w:val="00E02C2B"/>
    <w:rsid w:val="00E36BBD"/>
    <w:rsid w:val="00E53801"/>
    <w:rsid w:val="00E84DA5"/>
    <w:rsid w:val="00E86036"/>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3163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character" w:styleId="FootnoteReference">
    <w:name w:val="footnote reference"/>
    <w:aliases w:val="4_G"/>
    <w:rsid w:val="001C778D"/>
    <w:rPr>
      <w:rFonts w:ascii="Times New Roman" w:hAnsi="Times New Roman"/>
      <w:sz w:val="18"/>
      <w:vertAlign w:val="superscript"/>
    </w:rPr>
  </w:style>
  <w:style w:type="paragraph" w:styleId="FootnoteText">
    <w:name w:val="footnote text"/>
    <w:aliases w:val="5_G"/>
    <w:basedOn w:val="Normal"/>
    <w:link w:val="FootnoteTextChar"/>
    <w:rsid w:val="001C778D"/>
    <w:pPr>
      <w:tabs>
        <w:tab w:val="right" w:pos="1021"/>
      </w:tabs>
      <w:suppressAutoHyphens w:val="0"/>
      <w:spacing w:line="220" w:lineRule="exact"/>
      <w:ind w:left="1134" w:right="1134" w:hanging="1134"/>
    </w:pPr>
    <w:rPr>
      <w:rFonts w:eastAsia="SimSun"/>
      <w:sz w:val="18"/>
      <w:lang w:eastAsia="zh-CN"/>
    </w:rPr>
  </w:style>
  <w:style w:type="paragraph" w:styleId="EndnoteText">
    <w:name w:val="endnote text"/>
    <w:aliases w:val="2_G"/>
    <w:basedOn w:val="Normal"/>
    <w:link w:val="EndnoteTextChar"/>
    <w:rsid w:val="001C778D"/>
    <w:pPr>
      <w:tabs>
        <w:tab w:val="right" w:pos="1021"/>
      </w:tabs>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customStyle="1" w:styleId="FootnoteTextChar">
    <w:name w:val="Footnote Text Char"/>
    <w:aliases w:val="5_G Char"/>
    <w:basedOn w:val="DefaultParagraphFont"/>
    <w:link w:val="FootnoteText"/>
    <w:rsid w:val="001C778D"/>
    <w:rPr>
      <w:rFonts w:ascii="Times New Roman" w:hAnsi="Times New Roman" w:cs="Times New Roman"/>
      <w:sz w:val="18"/>
      <w:szCs w:val="20"/>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431638"/>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31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18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3163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character" w:styleId="FootnoteReference">
    <w:name w:val="footnote reference"/>
    <w:aliases w:val="4_G"/>
    <w:rsid w:val="001C778D"/>
    <w:rPr>
      <w:rFonts w:ascii="Times New Roman" w:hAnsi="Times New Roman"/>
      <w:sz w:val="18"/>
      <w:vertAlign w:val="superscript"/>
    </w:rPr>
  </w:style>
  <w:style w:type="paragraph" w:styleId="FootnoteText">
    <w:name w:val="footnote text"/>
    <w:aliases w:val="5_G"/>
    <w:basedOn w:val="Normal"/>
    <w:link w:val="FootnoteTextChar"/>
    <w:rsid w:val="001C778D"/>
    <w:pPr>
      <w:tabs>
        <w:tab w:val="right" w:pos="1021"/>
      </w:tabs>
      <w:suppressAutoHyphens w:val="0"/>
      <w:spacing w:line="220" w:lineRule="exact"/>
      <w:ind w:left="1134" w:right="1134" w:hanging="1134"/>
    </w:pPr>
    <w:rPr>
      <w:rFonts w:eastAsia="SimSun"/>
      <w:sz w:val="18"/>
      <w:lang w:eastAsia="zh-CN"/>
    </w:rPr>
  </w:style>
  <w:style w:type="paragraph" w:styleId="EndnoteText">
    <w:name w:val="endnote text"/>
    <w:aliases w:val="2_G"/>
    <w:basedOn w:val="Normal"/>
    <w:link w:val="EndnoteTextChar"/>
    <w:rsid w:val="001C778D"/>
    <w:pPr>
      <w:tabs>
        <w:tab w:val="right" w:pos="1021"/>
      </w:tabs>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customStyle="1" w:styleId="FootnoteTextChar">
    <w:name w:val="Footnote Text Char"/>
    <w:aliases w:val="5_G Char"/>
    <w:basedOn w:val="DefaultParagraphFont"/>
    <w:link w:val="FootnoteText"/>
    <w:rsid w:val="001C778D"/>
    <w:rPr>
      <w:rFonts w:ascii="Times New Roman" w:hAnsi="Times New Roman" w:cs="Times New Roman"/>
      <w:sz w:val="18"/>
      <w:szCs w:val="20"/>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431638"/>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31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18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70322">
      <w:bodyDiv w:val="1"/>
      <w:marLeft w:val="0"/>
      <w:marRight w:val="0"/>
      <w:marTop w:val="0"/>
      <w:marBottom w:val="0"/>
      <w:divBdr>
        <w:top w:val="none" w:sz="0" w:space="0" w:color="auto"/>
        <w:left w:val="none" w:sz="0" w:space="0" w:color="auto"/>
        <w:bottom w:val="none" w:sz="0" w:space="0" w:color="auto"/>
        <w:right w:val="none" w:sz="0" w:space="0" w:color="auto"/>
      </w:divBdr>
    </w:div>
    <w:div w:id="156572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3017F-917B-469C-9254-72BED8922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1614499</vt:lpstr>
    </vt:vector>
  </TitlesOfParts>
  <Company>DCM</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1614499</dc:title>
  <dc:subject>ECE/TRANS/WP.15/2016/11</dc:subject>
  <dc:creator>Gatmaytan</dc:creator>
  <cp:lastModifiedBy>barrio-champeau</cp:lastModifiedBy>
  <cp:revision>2</cp:revision>
  <cp:lastPrinted>2016-08-30T11:52:00Z</cp:lastPrinted>
  <dcterms:created xsi:type="dcterms:W3CDTF">2016-09-07T09:39:00Z</dcterms:created>
  <dcterms:modified xsi:type="dcterms:W3CDTF">2016-09-07T09:39:00Z</dcterms:modified>
</cp:coreProperties>
</file>