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6A05B3">
            <w:pPr>
              <w:suppressAutoHyphens w:val="0"/>
              <w:spacing w:after="20"/>
              <w:jc w:val="right"/>
            </w:pPr>
            <w:r w:rsidRPr="008D4A19">
              <w:rPr>
                <w:sz w:val="40"/>
              </w:rPr>
              <w:t>ECE</w:t>
            </w:r>
            <w:r>
              <w:t>/TRANS/WP.15/201</w:t>
            </w:r>
            <w:r w:rsidR="00DE40E0">
              <w:t>6</w:t>
            </w:r>
            <w:r>
              <w:t>/</w:t>
            </w:r>
            <w:r w:rsidR="009F7604">
              <w:t>1</w:t>
            </w:r>
            <w:r w:rsidR="006A05B3">
              <w:t>4</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F339A3" w:rsidP="008D4A19">
            <w:pPr>
              <w:suppressAutoHyphens w:val="0"/>
            </w:pPr>
            <w:r>
              <w:t>22</w:t>
            </w:r>
            <w:r w:rsidR="00796DF0">
              <w:t xml:space="preserve"> </w:t>
            </w:r>
            <w:r w:rsidR="00BB0F07">
              <w:t>August</w:t>
            </w:r>
            <w:r w:rsidR="001330DE">
              <w:t xml:space="preserve"> 201</w:t>
            </w:r>
            <w:r w:rsidR="00DE40E0">
              <w:t>6</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4043E8" w:rsidP="001330DE">
      <w:pPr>
        <w:spacing w:before="120"/>
        <w:rPr>
          <w:rFonts w:eastAsia="SimSun"/>
          <w:b/>
        </w:rPr>
      </w:pPr>
      <w:r>
        <w:rPr>
          <w:rFonts w:eastAsia="SimSun"/>
          <w:b/>
        </w:rPr>
        <w:t>101</w:t>
      </w:r>
      <w:r w:rsidR="002B0B93">
        <w:rPr>
          <w:rFonts w:eastAsia="SimSun"/>
          <w:b/>
        </w:rPr>
        <w:t>st</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7766AD">
        <w:t>8</w:t>
      </w:r>
      <w:r w:rsidR="00BB0F07">
        <w:t>–11 November</w:t>
      </w:r>
      <w:r w:rsidRPr="00BA64A8">
        <w:rPr>
          <w:rFonts w:eastAsia="SimSun"/>
        </w:rPr>
        <w:t xml:space="preserve"> 201</w:t>
      </w:r>
      <w:r w:rsidR="00DE40E0">
        <w:rPr>
          <w:rFonts w:eastAsia="SimSun"/>
        </w:rPr>
        <w:t>6</w:t>
      </w:r>
      <w:r w:rsidRPr="00BA64A8">
        <w:rPr>
          <w:rFonts w:eastAsia="SimSun"/>
        </w:rPr>
        <w:t xml:space="preserve"> </w:t>
      </w:r>
    </w:p>
    <w:p w:rsidR="00796DF0" w:rsidRDefault="00796DF0" w:rsidP="00796DF0">
      <w:r>
        <w:t xml:space="preserve">Item </w:t>
      </w:r>
      <w:r w:rsidR="007D1FC7">
        <w:t>5</w:t>
      </w:r>
      <w:r w:rsidR="004759A2">
        <w:t xml:space="preserve"> (</w:t>
      </w:r>
      <w:r w:rsidR="006A05B3">
        <w:t>a</w:t>
      </w:r>
      <w:r>
        <w:t>) of the provisional agenda</w:t>
      </w:r>
    </w:p>
    <w:p w:rsidR="006A05B3" w:rsidRPr="003D777F" w:rsidRDefault="006A05B3" w:rsidP="006A05B3">
      <w:pPr>
        <w:rPr>
          <w:b/>
        </w:rPr>
      </w:pPr>
      <w:r w:rsidRPr="003D777F">
        <w:rPr>
          <w:b/>
        </w:rPr>
        <w:t>Proposals for amendments to Annexes A and B of ADR:</w:t>
      </w:r>
      <w:r>
        <w:rPr>
          <w:b/>
        </w:rPr>
        <w:t xml:space="preserve"> </w:t>
      </w:r>
    </w:p>
    <w:p w:rsidR="006A05B3" w:rsidRPr="005D2A6C" w:rsidRDefault="006A05B3" w:rsidP="006A05B3">
      <w:pPr>
        <w:rPr>
          <w:b/>
        </w:rPr>
      </w:pPr>
      <w:proofErr w:type="gramStart"/>
      <w:r>
        <w:rPr>
          <w:b/>
        </w:rPr>
        <w:t>c</w:t>
      </w:r>
      <w:r w:rsidRPr="005D2A6C">
        <w:rPr>
          <w:b/>
        </w:rPr>
        <w:t>onstruction</w:t>
      </w:r>
      <w:proofErr w:type="gramEnd"/>
      <w:r w:rsidRPr="005D2A6C">
        <w:rPr>
          <w:b/>
        </w:rPr>
        <w:t xml:space="preserve"> and approval of vehicles</w:t>
      </w:r>
      <w:r w:rsidRPr="005D2A6C">
        <w:rPr>
          <w:b/>
          <w:highlight w:val="yellow"/>
        </w:rPr>
        <w:t xml:space="preserve"> </w:t>
      </w:r>
    </w:p>
    <w:p w:rsidR="006A05B3" w:rsidRDefault="00AF2944" w:rsidP="006A05B3">
      <w:pPr>
        <w:pStyle w:val="HChG"/>
      </w:pPr>
      <w:r>
        <w:tab/>
      </w:r>
      <w:r>
        <w:tab/>
      </w:r>
      <w:bookmarkStart w:id="0" w:name="_GoBack"/>
      <w:r w:rsidR="006A05B3">
        <w:t xml:space="preserve">Amendment of the table of 9.2.1.1 </w:t>
      </w:r>
      <w:bookmarkEnd w:id="0"/>
    </w:p>
    <w:p w:rsidR="004759A2" w:rsidRDefault="006A05B3" w:rsidP="006A05B3">
      <w:pPr>
        <w:pStyle w:val="H1G"/>
        <w:rPr>
          <w:color w:val="FF0000"/>
        </w:rPr>
      </w:pPr>
      <w:r>
        <w:tab/>
      </w:r>
      <w:r>
        <w:tab/>
      </w:r>
      <w:r w:rsidRPr="00A66E8A">
        <w:t xml:space="preserve">Transmitted by the </w:t>
      </w:r>
      <w:r>
        <w:t>Government of the Netherlands</w:t>
      </w:r>
      <w:r w:rsidR="00C403F6">
        <w:rPr>
          <w:rStyle w:val="FootnoteReference"/>
        </w:rPr>
        <w:footnoteReference w:id="2"/>
      </w:r>
      <w:r>
        <w:rPr>
          <w:color w:val="FF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7766AD" w:rsidRPr="00E62341" w:rsidTr="00650FE2">
        <w:trPr>
          <w:jc w:val="center"/>
        </w:trPr>
        <w:tc>
          <w:tcPr>
            <w:tcW w:w="9637" w:type="dxa"/>
            <w:tcBorders>
              <w:bottom w:val="nil"/>
            </w:tcBorders>
            <w:shd w:val="clear" w:color="auto" w:fill="auto"/>
          </w:tcPr>
          <w:p w:rsidR="007766AD" w:rsidRPr="00E62341" w:rsidRDefault="007766AD" w:rsidP="00650FE2">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7766AD" w:rsidRPr="00E62341" w:rsidTr="00650FE2">
        <w:trPr>
          <w:jc w:val="center"/>
        </w:trPr>
        <w:tc>
          <w:tcPr>
            <w:tcW w:w="9637" w:type="dxa"/>
            <w:tcBorders>
              <w:top w:val="nil"/>
              <w:bottom w:val="nil"/>
            </w:tcBorders>
            <w:shd w:val="clear" w:color="auto" w:fill="auto"/>
          </w:tcPr>
          <w:p w:rsidR="007766AD" w:rsidRPr="00E62341" w:rsidRDefault="007766AD" w:rsidP="00650FE2">
            <w:pPr>
              <w:pStyle w:val="SingleTxtG"/>
              <w:tabs>
                <w:tab w:val="left" w:pos="3260"/>
              </w:tabs>
              <w:ind w:left="3260" w:hanging="2126"/>
              <w:rPr>
                <w:b/>
                <w:szCs w:val="22"/>
              </w:rPr>
            </w:pPr>
            <w:r w:rsidRPr="00E62341">
              <w:rPr>
                <w:b/>
                <w:szCs w:val="22"/>
              </w:rPr>
              <w:t>Executive summary</w:t>
            </w:r>
            <w:r w:rsidRPr="00E62341">
              <w:rPr>
                <w:szCs w:val="22"/>
              </w:rPr>
              <w:t>:</w:t>
            </w:r>
            <w:r w:rsidRPr="00E62341">
              <w:rPr>
                <w:szCs w:val="22"/>
              </w:rPr>
              <w:tab/>
            </w:r>
            <w:r>
              <w:rPr>
                <w:szCs w:val="22"/>
              </w:rPr>
              <w:t>The new 9.2.7 of ADR concerning “other risks by the fuel” introduced in ADR 2017 is not included in the table of 9.2.1.1.</w:t>
            </w:r>
          </w:p>
        </w:tc>
      </w:tr>
      <w:tr w:rsidR="007766AD" w:rsidRPr="00E62341" w:rsidTr="00650FE2">
        <w:trPr>
          <w:jc w:val="center"/>
        </w:trPr>
        <w:tc>
          <w:tcPr>
            <w:tcW w:w="9637" w:type="dxa"/>
            <w:tcBorders>
              <w:top w:val="nil"/>
              <w:bottom w:val="nil"/>
            </w:tcBorders>
            <w:shd w:val="clear" w:color="auto" w:fill="auto"/>
          </w:tcPr>
          <w:p w:rsidR="007766AD" w:rsidRPr="00E62341" w:rsidRDefault="007766AD" w:rsidP="00650FE2">
            <w:pPr>
              <w:pStyle w:val="SingleTxtG"/>
              <w:tabs>
                <w:tab w:val="left" w:pos="3260"/>
              </w:tabs>
              <w:ind w:left="3260" w:hanging="2126"/>
              <w:jc w:val="left"/>
              <w:rPr>
                <w:rFonts w:eastAsia="Arial"/>
              </w:rPr>
            </w:pPr>
            <w:r w:rsidRPr="00E62341">
              <w:rPr>
                <w:rFonts w:eastAsia="Arial"/>
                <w:b/>
              </w:rPr>
              <w:t>Action to be taken</w:t>
            </w:r>
            <w:r w:rsidRPr="00E62341">
              <w:rPr>
                <w:rFonts w:eastAsia="Arial"/>
              </w:rPr>
              <w:t>:</w:t>
            </w:r>
            <w:r w:rsidRPr="00E62341">
              <w:rPr>
                <w:rFonts w:eastAsia="Arial"/>
              </w:rPr>
              <w:tab/>
            </w:r>
            <w:r w:rsidRPr="004803FF">
              <w:t xml:space="preserve">Add a new </w:t>
            </w:r>
            <w:r>
              <w:t>line in the table of 9.2.1.1 for 9.2.7</w:t>
            </w:r>
          </w:p>
        </w:tc>
      </w:tr>
      <w:tr w:rsidR="007766AD" w:rsidRPr="00E62341" w:rsidTr="00650FE2">
        <w:trPr>
          <w:jc w:val="center"/>
        </w:trPr>
        <w:tc>
          <w:tcPr>
            <w:tcW w:w="9637" w:type="dxa"/>
            <w:tcBorders>
              <w:top w:val="nil"/>
              <w:bottom w:val="nil"/>
            </w:tcBorders>
            <w:shd w:val="clear" w:color="auto" w:fill="auto"/>
          </w:tcPr>
          <w:p w:rsidR="007766AD" w:rsidRPr="00E132FB" w:rsidRDefault="007766AD" w:rsidP="00650FE2">
            <w:pPr>
              <w:pStyle w:val="SingleTxtG"/>
              <w:tabs>
                <w:tab w:val="left" w:pos="3260"/>
              </w:tabs>
              <w:spacing w:after="0"/>
              <w:ind w:left="3260" w:hanging="2126"/>
              <w:jc w:val="left"/>
            </w:pPr>
            <w:r w:rsidRPr="00E62341">
              <w:rPr>
                <w:rFonts w:eastAsia="Arial"/>
                <w:b/>
              </w:rPr>
              <w:t>Reference document</w:t>
            </w:r>
            <w:r w:rsidRPr="00E62341">
              <w:rPr>
                <w:rFonts w:eastAsia="Arial"/>
              </w:rPr>
              <w:t>:</w:t>
            </w:r>
            <w:r w:rsidRPr="00E62341">
              <w:rPr>
                <w:rFonts w:eastAsia="Arial"/>
              </w:rPr>
              <w:tab/>
            </w:r>
            <w:r>
              <w:rPr>
                <w:szCs w:val="22"/>
              </w:rPr>
              <w:t>ECE/TRANS/WP.15/</w:t>
            </w:r>
            <w:r w:rsidRPr="00162172">
              <w:rPr>
                <w:szCs w:val="22"/>
              </w:rPr>
              <w:t>2015/17 and ECE/TRANS/WP.15/230 paragraph 39.</w:t>
            </w:r>
          </w:p>
        </w:tc>
      </w:tr>
      <w:tr w:rsidR="007766AD" w:rsidRPr="00E62341" w:rsidTr="00650FE2">
        <w:trPr>
          <w:jc w:val="center"/>
        </w:trPr>
        <w:tc>
          <w:tcPr>
            <w:tcW w:w="9637" w:type="dxa"/>
            <w:tcBorders>
              <w:top w:val="nil"/>
            </w:tcBorders>
            <w:shd w:val="clear" w:color="auto" w:fill="auto"/>
          </w:tcPr>
          <w:p w:rsidR="007766AD" w:rsidRPr="00E62341" w:rsidRDefault="007766AD" w:rsidP="00650FE2">
            <w:pPr>
              <w:suppressAutoHyphens w:val="0"/>
              <w:rPr>
                <w:rFonts w:eastAsia="Arial"/>
              </w:rPr>
            </w:pPr>
          </w:p>
        </w:tc>
      </w:tr>
    </w:tbl>
    <w:p w:rsidR="007766AD" w:rsidRDefault="007766AD" w:rsidP="007766AD"/>
    <w:p w:rsidR="006A05B3" w:rsidRPr="00C443AE" w:rsidRDefault="006A05B3" w:rsidP="006A05B3">
      <w:pPr>
        <w:pStyle w:val="HChG"/>
        <w:rPr>
          <w:rFonts w:eastAsiaTheme="minorEastAsia"/>
          <w:lang w:val="en-US" w:eastAsia="zh-CN"/>
        </w:rPr>
      </w:pPr>
      <w:r>
        <w:rPr>
          <w:rFonts w:eastAsiaTheme="minorEastAsia"/>
          <w:lang w:val="en-US" w:eastAsia="zh-CN"/>
        </w:rPr>
        <w:tab/>
      </w:r>
      <w:r>
        <w:rPr>
          <w:rFonts w:eastAsiaTheme="minorEastAsia"/>
          <w:lang w:val="en-US" w:eastAsia="zh-CN"/>
        </w:rPr>
        <w:tab/>
        <w:t>Introduction</w:t>
      </w:r>
    </w:p>
    <w:p w:rsidR="006A05B3" w:rsidRDefault="007766AD" w:rsidP="006A05B3">
      <w:pPr>
        <w:pStyle w:val="SingleTxtG"/>
        <w:jc w:val="left"/>
        <w:rPr>
          <w:rFonts w:eastAsiaTheme="minorEastAsia"/>
          <w:lang w:val="en-US" w:eastAsia="zh-CN"/>
        </w:rPr>
      </w:pPr>
      <w:r>
        <w:rPr>
          <w:rFonts w:eastAsiaTheme="minorEastAsia"/>
          <w:lang w:val="en-US" w:eastAsia="zh-CN"/>
        </w:rPr>
        <w:t>1.</w:t>
      </w:r>
      <w:r>
        <w:rPr>
          <w:rFonts w:eastAsiaTheme="minorEastAsia"/>
          <w:lang w:val="en-US" w:eastAsia="zh-CN"/>
        </w:rPr>
        <w:tab/>
      </w:r>
      <w:r w:rsidR="006A05B3" w:rsidRPr="00C443AE">
        <w:rPr>
          <w:rFonts w:eastAsiaTheme="minorEastAsia"/>
          <w:lang w:val="en-US" w:eastAsia="zh-CN"/>
        </w:rPr>
        <w:t xml:space="preserve">During the </w:t>
      </w:r>
      <w:r>
        <w:rPr>
          <w:rFonts w:eastAsiaTheme="minorEastAsia"/>
          <w:lang w:val="en-US" w:eastAsia="zh-CN"/>
        </w:rPr>
        <w:t>ninety-ninth</w:t>
      </w:r>
      <w:r w:rsidR="006A05B3" w:rsidRPr="00C443AE">
        <w:rPr>
          <w:rFonts w:eastAsiaTheme="minorEastAsia"/>
          <w:lang w:val="en-US" w:eastAsia="zh-CN"/>
        </w:rPr>
        <w:t xml:space="preserve"> session of </w:t>
      </w:r>
      <w:r>
        <w:rPr>
          <w:rFonts w:eastAsiaTheme="minorEastAsia"/>
          <w:lang w:val="en-US" w:eastAsia="zh-CN"/>
        </w:rPr>
        <w:t>the Working Party</w:t>
      </w:r>
      <w:r w:rsidR="006A05B3" w:rsidRPr="00C443AE">
        <w:rPr>
          <w:rFonts w:eastAsiaTheme="minorEastAsia"/>
          <w:lang w:val="en-US" w:eastAsia="zh-CN"/>
        </w:rPr>
        <w:t xml:space="preserve"> new requirements concerning the use of gaseous fuels were introduced in </w:t>
      </w:r>
      <w:r>
        <w:rPr>
          <w:rFonts w:eastAsiaTheme="minorEastAsia"/>
          <w:lang w:val="en-US" w:eastAsia="zh-CN"/>
        </w:rPr>
        <w:t>C</w:t>
      </w:r>
      <w:r w:rsidR="006A05B3" w:rsidRPr="00C443AE">
        <w:rPr>
          <w:rFonts w:eastAsiaTheme="minorEastAsia"/>
          <w:lang w:val="en-US" w:eastAsia="zh-CN"/>
        </w:rPr>
        <w:t xml:space="preserve">hapter 9.2. </w:t>
      </w:r>
    </w:p>
    <w:p w:rsidR="006A05B3" w:rsidRDefault="007766AD" w:rsidP="006A05B3">
      <w:pPr>
        <w:pStyle w:val="SingleTxtG"/>
        <w:rPr>
          <w:rFonts w:eastAsiaTheme="minorEastAsia"/>
          <w:lang w:val="en-US" w:eastAsia="zh-CN"/>
        </w:rPr>
      </w:pPr>
      <w:r>
        <w:rPr>
          <w:rFonts w:eastAsiaTheme="minorEastAsia"/>
          <w:lang w:val="en-US" w:eastAsia="zh-CN"/>
        </w:rPr>
        <w:t>2.</w:t>
      </w:r>
      <w:r>
        <w:rPr>
          <w:rFonts w:eastAsiaTheme="minorEastAsia"/>
          <w:lang w:val="en-US" w:eastAsia="zh-CN"/>
        </w:rPr>
        <w:tab/>
      </w:r>
      <w:proofErr w:type="gramStart"/>
      <w:r w:rsidR="006A05B3" w:rsidRPr="00C443AE">
        <w:rPr>
          <w:rFonts w:eastAsiaTheme="minorEastAsia"/>
          <w:lang w:val="en-US" w:eastAsia="zh-CN"/>
        </w:rPr>
        <w:t>In  9.2.1.1</w:t>
      </w:r>
      <w:proofErr w:type="gramEnd"/>
      <w:r w:rsidR="006A05B3" w:rsidRPr="00C443AE">
        <w:rPr>
          <w:rFonts w:eastAsiaTheme="minorEastAsia"/>
          <w:lang w:val="en-US" w:eastAsia="zh-CN"/>
        </w:rPr>
        <w:t xml:space="preserve"> a table defines the applicability of the requirements given in </w:t>
      </w:r>
      <w:r w:rsidR="006A05B3">
        <w:rPr>
          <w:rFonts w:eastAsiaTheme="minorEastAsia"/>
          <w:lang w:val="en-US" w:eastAsia="zh-CN"/>
        </w:rPr>
        <w:t xml:space="preserve">chapter </w:t>
      </w:r>
      <w:r w:rsidR="006A05B3" w:rsidRPr="00C443AE">
        <w:rPr>
          <w:rFonts w:eastAsiaTheme="minorEastAsia"/>
          <w:lang w:val="en-US" w:eastAsia="zh-CN"/>
        </w:rPr>
        <w:t>9.2  for vehicles intended for the carriage of substances with a specific risk. It appears that the inclusion in the table of the new requirement in 9.2.7 was overlooked.</w:t>
      </w:r>
    </w:p>
    <w:p w:rsidR="006A05B3" w:rsidRDefault="006A05B3" w:rsidP="006A05B3">
      <w:pPr>
        <w:suppressAutoHyphens w:val="0"/>
        <w:spacing w:after="200" w:line="276" w:lineRule="auto"/>
        <w:rPr>
          <w:rFonts w:eastAsiaTheme="minorEastAsia"/>
          <w:lang w:val="en-US" w:eastAsia="zh-CN"/>
        </w:rPr>
      </w:pPr>
      <w:r>
        <w:rPr>
          <w:rFonts w:eastAsiaTheme="minorEastAsia"/>
          <w:lang w:val="en-US" w:eastAsia="zh-CN"/>
        </w:rPr>
        <w:br w:type="page"/>
      </w:r>
    </w:p>
    <w:p w:rsidR="006A05B3" w:rsidRPr="00C443AE" w:rsidRDefault="006A05B3" w:rsidP="006A05B3">
      <w:pPr>
        <w:pStyle w:val="HChG"/>
        <w:rPr>
          <w:rFonts w:eastAsiaTheme="minorEastAsia"/>
          <w:lang w:val="en-US" w:eastAsia="zh-CN"/>
        </w:rPr>
      </w:pPr>
      <w:r>
        <w:rPr>
          <w:rFonts w:eastAsiaTheme="minorEastAsia"/>
          <w:lang w:val="en-US" w:eastAsia="zh-CN"/>
        </w:rPr>
        <w:lastRenderedPageBreak/>
        <w:tab/>
      </w:r>
      <w:r>
        <w:rPr>
          <w:rFonts w:eastAsiaTheme="minorEastAsia"/>
          <w:lang w:val="en-US" w:eastAsia="zh-CN"/>
        </w:rPr>
        <w:tab/>
        <w:t>Proposal</w:t>
      </w:r>
    </w:p>
    <w:p w:rsidR="006A05B3" w:rsidRPr="00C443AE" w:rsidRDefault="007766AD" w:rsidP="006A05B3">
      <w:pPr>
        <w:pStyle w:val="SingleTxtG"/>
        <w:rPr>
          <w:rFonts w:eastAsiaTheme="minorEastAsia"/>
          <w:lang w:val="en-US" w:eastAsia="zh-CN"/>
        </w:rPr>
      </w:pPr>
      <w:r>
        <w:rPr>
          <w:rFonts w:eastAsiaTheme="minorEastAsia"/>
          <w:lang w:val="en-US" w:eastAsia="zh-CN"/>
        </w:rPr>
        <w:t>3.</w:t>
      </w:r>
      <w:r>
        <w:rPr>
          <w:rFonts w:eastAsiaTheme="minorEastAsia"/>
          <w:lang w:val="en-US" w:eastAsia="zh-CN"/>
        </w:rPr>
        <w:tab/>
      </w:r>
      <w:r w:rsidR="006A05B3" w:rsidRPr="00C443AE">
        <w:rPr>
          <w:rFonts w:eastAsiaTheme="minorEastAsia"/>
          <w:lang w:val="en-US" w:eastAsia="zh-CN"/>
        </w:rPr>
        <w:t>Amend the table in 9.2.1.1 of ADR by adding a new line at the end to read:</w:t>
      </w:r>
    </w:p>
    <w:tbl>
      <w:tblPr>
        <w:tblStyle w:val="TableGrid"/>
        <w:tblW w:w="0" w:type="auto"/>
        <w:jc w:val="center"/>
        <w:tblLook w:val="04A0" w:firstRow="1" w:lastRow="0" w:firstColumn="1" w:lastColumn="0" w:noHBand="0" w:noVBand="1"/>
      </w:tblPr>
      <w:tblGrid>
        <w:gridCol w:w="829"/>
        <w:gridCol w:w="2823"/>
        <w:gridCol w:w="851"/>
        <w:gridCol w:w="761"/>
        <w:gridCol w:w="940"/>
        <w:gridCol w:w="850"/>
        <w:gridCol w:w="2158"/>
      </w:tblGrid>
      <w:tr w:rsidR="006A05B3" w:rsidRPr="00C443AE" w:rsidTr="006A05B3">
        <w:trPr>
          <w:jc w:val="center"/>
        </w:trPr>
        <w:tc>
          <w:tcPr>
            <w:tcW w:w="3652" w:type="dxa"/>
            <w:gridSpan w:val="2"/>
          </w:tcPr>
          <w:p w:rsidR="006A05B3" w:rsidRPr="00C443AE" w:rsidRDefault="006A05B3" w:rsidP="006A05B3">
            <w:pPr>
              <w:suppressAutoHyphens w:val="0"/>
              <w:spacing w:before="60" w:after="60" w:line="240" w:lineRule="auto"/>
              <w:rPr>
                <w:rFonts w:eastAsiaTheme="minorEastAsia"/>
                <w:color w:val="FF0000"/>
                <w:lang w:val="en-US" w:eastAsia="zh-CN"/>
              </w:rPr>
            </w:pPr>
          </w:p>
        </w:tc>
        <w:tc>
          <w:tcPr>
            <w:tcW w:w="3402" w:type="dxa"/>
            <w:gridSpan w:val="4"/>
          </w:tcPr>
          <w:p w:rsidR="006A05B3" w:rsidRPr="00C443AE" w:rsidRDefault="006A05B3" w:rsidP="006A05B3">
            <w:pPr>
              <w:suppressAutoHyphens w:val="0"/>
              <w:spacing w:before="60" w:after="60" w:line="240" w:lineRule="auto"/>
              <w:rPr>
                <w:rFonts w:eastAsiaTheme="minorEastAsia"/>
                <w:lang w:val="en-US" w:eastAsia="zh-CN"/>
              </w:rPr>
            </w:pPr>
            <w:r w:rsidRPr="00C443AE">
              <w:rPr>
                <w:rFonts w:eastAsiaTheme="minorEastAsia"/>
                <w:lang w:val="en-US" w:eastAsia="zh-CN"/>
              </w:rPr>
              <w:t>VEHICLES</w:t>
            </w:r>
          </w:p>
        </w:tc>
        <w:tc>
          <w:tcPr>
            <w:tcW w:w="2158" w:type="dxa"/>
          </w:tcPr>
          <w:p w:rsidR="006A05B3" w:rsidRPr="00C443AE" w:rsidRDefault="006A05B3" w:rsidP="006A05B3">
            <w:pPr>
              <w:suppressAutoHyphens w:val="0"/>
              <w:spacing w:before="60" w:after="60" w:line="240" w:lineRule="auto"/>
              <w:rPr>
                <w:rFonts w:eastAsiaTheme="minorEastAsia"/>
                <w:lang w:val="en-US" w:eastAsia="zh-CN"/>
              </w:rPr>
            </w:pPr>
            <w:r w:rsidRPr="00C443AE">
              <w:rPr>
                <w:rFonts w:eastAsiaTheme="minorEastAsia"/>
                <w:lang w:val="en-US" w:eastAsia="zh-CN"/>
              </w:rPr>
              <w:t>COMMENTS</w:t>
            </w:r>
          </w:p>
        </w:tc>
      </w:tr>
      <w:tr w:rsidR="006A05B3" w:rsidRPr="00C443AE" w:rsidTr="006A05B3">
        <w:trPr>
          <w:jc w:val="center"/>
        </w:trPr>
        <w:tc>
          <w:tcPr>
            <w:tcW w:w="3652" w:type="dxa"/>
            <w:gridSpan w:val="2"/>
            <w:tcBorders>
              <w:bottom w:val="single" w:sz="4" w:space="0" w:color="auto"/>
            </w:tcBorders>
          </w:tcPr>
          <w:p w:rsidR="006A05B3" w:rsidRPr="00C443AE" w:rsidRDefault="006A05B3" w:rsidP="006A05B3">
            <w:pPr>
              <w:suppressAutoHyphens w:val="0"/>
              <w:spacing w:before="60" w:after="60" w:line="240" w:lineRule="auto"/>
              <w:rPr>
                <w:rFonts w:eastAsiaTheme="minorEastAsia"/>
                <w:color w:val="FF0000"/>
                <w:lang w:val="en-US" w:eastAsia="zh-CN"/>
              </w:rPr>
            </w:pPr>
            <w:r w:rsidRPr="00C443AE">
              <w:rPr>
                <w:rFonts w:eastAsiaTheme="minorEastAsia"/>
                <w:lang w:val="en-US" w:eastAsia="zh-CN"/>
              </w:rPr>
              <w:t>TECHNICAL SPECIFICATIONS</w:t>
            </w:r>
          </w:p>
        </w:tc>
        <w:tc>
          <w:tcPr>
            <w:tcW w:w="851" w:type="dxa"/>
            <w:tcBorders>
              <w:bottom w:val="single" w:sz="4" w:space="0" w:color="auto"/>
            </w:tcBorders>
          </w:tcPr>
          <w:p w:rsidR="006A05B3" w:rsidRPr="00C443AE" w:rsidRDefault="006A05B3" w:rsidP="006A05B3">
            <w:pPr>
              <w:suppressAutoHyphens w:val="0"/>
              <w:spacing w:before="60" w:after="60" w:line="240" w:lineRule="auto"/>
              <w:rPr>
                <w:rFonts w:eastAsiaTheme="minorEastAsia"/>
                <w:lang w:val="en-US" w:eastAsia="zh-CN"/>
              </w:rPr>
            </w:pPr>
            <w:r w:rsidRPr="00C443AE">
              <w:rPr>
                <w:rFonts w:eastAsiaTheme="minorEastAsia"/>
                <w:lang w:val="en-US" w:eastAsia="zh-CN"/>
              </w:rPr>
              <w:t>EX/II</w:t>
            </w:r>
          </w:p>
        </w:tc>
        <w:tc>
          <w:tcPr>
            <w:tcW w:w="761" w:type="dxa"/>
            <w:tcBorders>
              <w:bottom w:val="single" w:sz="4" w:space="0" w:color="auto"/>
            </w:tcBorders>
          </w:tcPr>
          <w:p w:rsidR="006A05B3" w:rsidRPr="00C443AE" w:rsidRDefault="006A05B3" w:rsidP="006A05B3">
            <w:pPr>
              <w:suppressAutoHyphens w:val="0"/>
              <w:spacing w:before="60" w:after="60" w:line="240" w:lineRule="auto"/>
              <w:rPr>
                <w:rFonts w:eastAsiaTheme="minorEastAsia"/>
                <w:lang w:val="en-US" w:eastAsia="zh-CN"/>
              </w:rPr>
            </w:pPr>
            <w:r w:rsidRPr="00C443AE">
              <w:rPr>
                <w:rFonts w:eastAsiaTheme="minorEastAsia"/>
                <w:lang w:val="en-US" w:eastAsia="zh-CN"/>
              </w:rPr>
              <w:t>EX/III</w:t>
            </w:r>
          </w:p>
        </w:tc>
        <w:tc>
          <w:tcPr>
            <w:tcW w:w="940" w:type="dxa"/>
            <w:tcBorders>
              <w:bottom w:val="single" w:sz="4" w:space="0" w:color="auto"/>
            </w:tcBorders>
          </w:tcPr>
          <w:p w:rsidR="006A05B3" w:rsidRPr="00C443AE" w:rsidRDefault="006A05B3" w:rsidP="006A05B3">
            <w:pPr>
              <w:suppressAutoHyphens w:val="0"/>
              <w:spacing w:before="60" w:after="60" w:line="240" w:lineRule="auto"/>
              <w:rPr>
                <w:rFonts w:eastAsiaTheme="minorEastAsia"/>
                <w:lang w:val="en-US" w:eastAsia="zh-CN"/>
              </w:rPr>
            </w:pPr>
            <w:r w:rsidRPr="00C443AE">
              <w:rPr>
                <w:rFonts w:eastAsiaTheme="minorEastAsia"/>
                <w:lang w:val="en-US" w:eastAsia="zh-CN"/>
              </w:rPr>
              <w:t>FL</w:t>
            </w:r>
          </w:p>
        </w:tc>
        <w:tc>
          <w:tcPr>
            <w:tcW w:w="850" w:type="dxa"/>
            <w:tcBorders>
              <w:bottom w:val="single" w:sz="4" w:space="0" w:color="auto"/>
            </w:tcBorders>
          </w:tcPr>
          <w:p w:rsidR="006A05B3" w:rsidRPr="00C443AE" w:rsidRDefault="006A05B3" w:rsidP="006A05B3">
            <w:pPr>
              <w:suppressAutoHyphens w:val="0"/>
              <w:spacing w:before="60" w:after="60" w:line="240" w:lineRule="auto"/>
              <w:rPr>
                <w:rFonts w:eastAsiaTheme="minorEastAsia"/>
                <w:lang w:val="en-US" w:eastAsia="zh-CN"/>
              </w:rPr>
            </w:pPr>
            <w:r w:rsidRPr="00C443AE">
              <w:rPr>
                <w:rFonts w:eastAsiaTheme="minorEastAsia"/>
                <w:lang w:val="en-US" w:eastAsia="zh-CN"/>
              </w:rPr>
              <w:t>AT</w:t>
            </w:r>
          </w:p>
        </w:tc>
        <w:tc>
          <w:tcPr>
            <w:tcW w:w="2158" w:type="dxa"/>
            <w:tcBorders>
              <w:bottom w:val="single" w:sz="4" w:space="0" w:color="auto"/>
            </w:tcBorders>
          </w:tcPr>
          <w:p w:rsidR="006A05B3" w:rsidRPr="00C443AE" w:rsidRDefault="006A05B3" w:rsidP="006A05B3">
            <w:pPr>
              <w:suppressAutoHyphens w:val="0"/>
              <w:spacing w:before="60" w:after="60" w:line="240" w:lineRule="auto"/>
              <w:rPr>
                <w:rFonts w:eastAsiaTheme="minorEastAsia"/>
                <w:lang w:val="en-US" w:eastAsia="zh-CN"/>
              </w:rPr>
            </w:pPr>
          </w:p>
        </w:tc>
      </w:tr>
      <w:tr w:rsidR="006A05B3" w:rsidRPr="00C443AE" w:rsidTr="006A05B3">
        <w:trPr>
          <w:jc w:val="center"/>
        </w:trPr>
        <w:tc>
          <w:tcPr>
            <w:tcW w:w="9212" w:type="dxa"/>
            <w:gridSpan w:val="7"/>
            <w:tcBorders>
              <w:left w:val="nil"/>
              <w:right w:val="nil"/>
            </w:tcBorders>
          </w:tcPr>
          <w:p w:rsidR="006A05B3" w:rsidRPr="00C443AE" w:rsidRDefault="006A05B3" w:rsidP="006A05B3">
            <w:pPr>
              <w:suppressAutoHyphens w:val="0"/>
              <w:spacing w:before="60" w:after="60" w:line="240" w:lineRule="auto"/>
              <w:rPr>
                <w:rFonts w:eastAsiaTheme="minorEastAsia"/>
                <w:lang w:val="en-US" w:eastAsia="zh-CN"/>
              </w:rPr>
            </w:pPr>
          </w:p>
        </w:tc>
      </w:tr>
      <w:tr w:rsidR="006A05B3" w:rsidRPr="00C443AE" w:rsidTr="006A05B3">
        <w:trPr>
          <w:jc w:val="center"/>
        </w:trPr>
        <w:tc>
          <w:tcPr>
            <w:tcW w:w="829" w:type="dxa"/>
          </w:tcPr>
          <w:p w:rsidR="006A05B3" w:rsidRPr="00C443AE" w:rsidRDefault="006A05B3" w:rsidP="006A05B3">
            <w:pPr>
              <w:suppressAutoHyphens w:val="0"/>
              <w:spacing w:before="60" w:after="60" w:line="240" w:lineRule="auto"/>
              <w:rPr>
                <w:rFonts w:eastAsiaTheme="minorEastAsia"/>
                <w:lang w:val="en-US" w:eastAsia="zh-CN"/>
              </w:rPr>
            </w:pPr>
            <w:r w:rsidRPr="00C443AE">
              <w:rPr>
                <w:rFonts w:eastAsiaTheme="minorEastAsia"/>
                <w:lang w:val="en-US" w:eastAsia="zh-CN"/>
              </w:rPr>
              <w:t>9.2.7</w:t>
            </w:r>
          </w:p>
        </w:tc>
        <w:tc>
          <w:tcPr>
            <w:tcW w:w="2823" w:type="dxa"/>
          </w:tcPr>
          <w:p w:rsidR="006A05B3" w:rsidRPr="00C443AE" w:rsidRDefault="006A05B3" w:rsidP="006A05B3">
            <w:pPr>
              <w:suppressAutoHyphens w:val="0"/>
              <w:spacing w:before="60" w:after="60" w:line="240" w:lineRule="auto"/>
              <w:rPr>
                <w:rFonts w:eastAsiaTheme="minorEastAsia"/>
                <w:lang w:val="en-US" w:eastAsia="zh-CN"/>
              </w:rPr>
            </w:pPr>
            <w:r w:rsidRPr="00C443AE">
              <w:rPr>
                <w:rFonts w:eastAsiaTheme="minorEastAsia"/>
                <w:lang w:val="en-US" w:eastAsia="zh-CN"/>
              </w:rPr>
              <w:t>Prevention of other risks caused by fuels</w:t>
            </w:r>
          </w:p>
        </w:tc>
        <w:tc>
          <w:tcPr>
            <w:tcW w:w="851" w:type="dxa"/>
          </w:tcPr>
          <w:p w:rsidR="006A05B3" w:rsidRPr="00C443AE" w:rsidRDefault="006A05B3" w:rsidP="006A05B3">
            <w:pPr>
              <w:suppressAutoHyphens w:val="0"/>
              <w:spacing w:before="60" w:after="60" w:line="240" w:lineRule="auto"/>
              <w:rPr>
                <w:rFonts w:eastAsiaTheme="minorEastAsia"/>
                <w:lang w:val="en-US" w:eastAsia="zh-CN"/>
              </w:rPr>
            </w:pPr>
          </w:p>
        </w:tc>
        <w:tc>
          <w:tcPr>
            <w:tcW w:w="761" w:type="dxa"/>
          </w:tcPr>
          <w:p w:rsidR="006A05B3" w:rsidRPr="00C443AE" w:rsidRDefault="006A05B3" w:rsidP="006A05B3">
            <w:pPr>
              <w:suppressAutoHyphens w:val="0"/>
              <w:spacing w:before="60" w:after="60" w:line="240" w:lineRule="auto"/>
              <w:rPr>
                <w:rFonts w:eastAsiaTheme="minorEastAsia"/>
                <w:lang w:val="en-US" w:eastAsia="zh-CN"/>
              </w:rPr>
            </w:pPr>
          </w:p>
        </w:tc>
        <w:tc>
          <w:tcPr>
            <w:tcW w:w="940" w:type="dxa"/>
          </w:tcPr>
          <w:p w:rsidR="006A05B3" w:rsidRPr="00C443AE" w:rsidRDefault="006A05B3" w:rsidP="006A05B3">
            <w:pPr>
              <w:suppressAutoHyphens w:val="0"/>
              <w:spacing w:before="60" w:after="60" w:line="240" w:lineRule="auto"/>
              <w:rPr>
                <w:rFonts w:eastAsiaTheme="minorEastAsia"/>
                <w:lang w:val="en-US" w:eastAsia="zh-CN"/>
              </w:rPr>
            </w:pPr>
            <w:r w:rsidRPr="00C443AE">
              <w:rPr>
                <w:rFonts w:eastAsiaTheme="minorEastAsia"/>
                <w:lang w:val="en-US" w:eastAsia="zh-CN"/>
              </w:rPr>
              <w:t>X</w:t>
            </w:r>
            <w:r w:rsidRPr="00C443AE">
              <w:rPr>
                <w:rFonts w:eastAsiaTheme="minorEastAsia"/>
                <w:vertAlign w:val="superscript"/>
                <w:lang w:val="en-US" w:eastAsia="zh-CN"/>
              </w:rPr>
              <w:t>(y)</w:t>
            </w:r>
          </w:p>
        </w:tc>
        <w:tc>
          <w:tcPr>
            <w:tcW w:w="850" w:type="dxa"/>
          </w:tcPr>
          <w:p w:rsidR="006A05B3" w:rsidRPr="00C443AE" w:rsidRDefault="006A05B3" w:rsidP="006A05B3">
            <w:pPr>
              <w:suppressAutoHyphens w:val="0"/>
              <w:spacing w:before="60" w:after="60" w:line="240" w:lineRule="auto"/>
              <w:rPr>
                <w:rFonts w:eastAsiaTheme="minorEastAsia"/>
                <w:lang w:val="en-US" w:eastAsia="zh-CN"/>
              </w:rPr>
            </w:pPr>
            <w:r w:rsidRPr="00C443AE">
              <w:rPr>
                <w:rFonts w:eastAsiaTheme="minorEastAsia"/>
                <w:lang w:val="en-US" w:eastAsia="zh-CN"/>
              </w:rPr>
              <w:t xml:space="preserve">X </w:t>
            </w:r>
            <w:r w:rsidRPr="00C443AE">
              <w:rPr>
                <w:rFonts w:eastAsiaTheme="minorEastAsia"/>
                <w:vertAlign w:val="superscript"/>
                <w:lang w:val="en-US" w:eastAsia="zh-CN"/>
              </w:rPr>
              <w:t>(y)</w:t>
            </w:r>
          </w:p>
        </w:tc>
        <w:tc>
          <w:tcPr>
            <w:tcW w:w="2158" w:type="dxa"/>
          </w:tcPr>
          <w:p w:rsidR="006A05B3" w:rsidRPr="00C443AE" w:rsidRDefault="006A05B3" w:rsidP="006A05B3">
            <w:pPr>
              <w:suppressAutoHyphens w:val="0"/>
              <w:spacing w:before="60" w:after="60" w:line="240" w:lineRule="auto"/>
              <w:rPr>
                <w:rFonts w:eastAsiaTheme="minorEastAsia"/>
                <w:lang w:val="en-US" w:eastAsia="zh-CN"/>
              </w:rPr>
            </w:pPr>
            <w:r w:rsidRPr="00C443AE">
              <w:rPr>
                <w:rFonts w:eastAsiaTheme="minorEastAsia"/>
                <w:vertAlign w:val="superscript"/>
                <w:lang w:val="en-US" w:eastAsia="zh-CN"/>
              </w:rPr>
              <w:t>(</w:t>
            </w:r>
            <w:proofErr w:type="gramStart"/>
            <w:r w:rsidRPr="00C443AE">
              <w:rPr>
                <w:rFonts w:eastAsiaTheme="minorEastAsia"/>
                <w:vertAlign w:val="superscript"/>
                <w:lang w:val="en-US" w:eastAsia="zh-CN"/>
              </w:rPr>
              <w:t>y</w:t>
            </w:r>
            <w:proofErr w:type="gramEnd"/>
            <w:r w:rsidRPr="00C443AE">
              <w:rPr>
                <w:rFonts w:eastAsiaTheme="minorEastAsia"/>
                <w:vertAlign w:val="superscript"/>
                <w:lang w:val="en-US" w:eastAsia="zh-CN"/>
              </w:rPr>
              <w:t xml:space="preserve">) </w:t>
            </w:r>
            <w:r w:rsidRPr="00C443AE">
              <w:rPr>
                <w:rFonts w:eastAsiaTheme="minorEastAsia"/>
                <w:lang w:val="en-US" w:eastAsia="zh-CN"/>
              </w:rPr>
              <w:t>Applicable to motor vehicles first registered (or which entered into service if registration is not mandatory) as from 1 July 2017.</w:t>
            </w:r>
          </w:p>
        </w:tc>
      </w:tr>
    </w:tbl>
    <w:p w:rsidR="006A05B3" w:rsidRPr="00C443AE" w:rsidRDefault="006A05B3" w:rsidP="006A05B3">
      <w:pPr>
        <w:pStyle w:val="HChG"/>
        <w:rPr>
          <w:rFonts w:eastAsiaTheme="minorEastAsia"/>
          <w:lang w:val="en-US" w:eastAsia="zh-CN"/>
        </w:rPr>
      </w:pPr>
      <w:r>
        <w:rPr>
          <w:rFonts w:eastAsiaTheme="minorEastAsia"/>
          <w:lang w:val="en-US" w:eastAsia="zh-CN"/>
        </w:rPr>
        <w:tab/>
      </w:r>
      <w:r>
        <w:rPr>
          <w:rFonts w:eastAsiaTheme="minorEastAsia"/>
          <w:lang w:val="en-US" w:eastAsia="zh-CN"/>
        </w:rPr>
        <w:tab/>
        <w:t>Justification</w:t>
      </w:r>
    </w:p>
    <w:p w:rsidR="007766AD" w:rsidRDefault="007766AD" w:rsidP="006A05B3">
      <w:pPr>
        <w:pStyle w:val="SingleTxtG"/>
        <w:rPr>
          <w:rFonts w:eastAsiaTheme="minorEastAsia"/>
          <w:lang w:val="en-US" w:eastAsia="zh-CN"/>
        </w:rPr>
      </w:pPr>
      <w:r>
        <w:rPr>
          <w:rFonts w:eastAsiaTheme="minorEastAsia"/>
          <w:lang w:val="en-US" w:eastAsia="zh-CN"/>
        </w:rPr>
        <w:t>4.</w:t>
      </w:r>
      <w:r>
        <w:rPr>
          <w:rFonts w:eastAsiaTheme="minorEastAsia"/>
          <w:lang w:val="en-US" w:eastAsia="zh-CN"/>
        </w:rPr>
        <w:tab/>
      </w:r>
      <w:r w:rsidR="006A05B3" w:rsidRPr="00C443AE">
        <w:rPr>
          <w:rFonts w:eastAsiaTheme="minorEastAsia"/>
          <w:lang w:val="en-US" w:eastAsia="zh-CN"/>
        </w:rPr>
        <w:t xml:space="preserve">To be consistent </w:t>
      </w:r>
      <w:r w:rsidR="006A05B3">
        <w:rPr>
          <w:rFonts w:eastAsiaTheme="minorEastAsia"/>
          <w:lang w:val="en-US" w:eastAsia="zh-CN"/>
        </w:rPr>
        <w:t xml:space="preserve">with 9.2.7 </w:t>
      </w:r>
      <w:r w:rsidR="006A05B3" w:rsidRPr="00C443AE">
        <w:rPr>
          <w:rFonts w:eastAsiaTheme="minorEastAsia"/>
          <w:lang w:val="en-US" w:eastAsia="zh-CN"/>
        </w:rPr>
        <w:t>the new requirement needs to be included in the table of 9.2.1.1. The inclusion was overlooked during the preparation of ADR 2017.</w:t>
      </w:r>
    </w:p>
    <w:p w:rsidR="007766AD" w:rsidRDefault="007766AD" w:rsidP="006A05B3">
      <w:pPr>
        <w:pStyle w:val="SingleTxtG"/>
        <w:rPr>
          <w:rFonts w:eastAsiaTheme="minorEastAsia"/>
          <w:lang w:val="en-US" w:eastAsia="zh-CN"/>
        </w:rPr>
      </w:pPr>
      <w:r>
        <w:rPr>
          <w:rFonts w:eastAsiaTheme="minorEastAsia"/>
          <w:lang w:val="en-US" w:eastAsia="zh-CN"/>
        </w:rPr>
        <w:t>5.</w:t>
      </w:r>
      <w:r>
        <w:rPr>
          <w:rFonts w:eastAsiaTheme="minorEastAsia"/>
          <w:lang w:val="en-US" w:eastAsia="zh-CN"/>
        </w:rPr>
        <w:tab/>
      </w:r>
      <w:r w:rsidR="006A05B3" w:rsidRPr="00C443AE">
        <w:rPr>
          <w:rFonts w:eastAsiaTheme="minorEastAsia"/>
          <w:lang w:val="en-US" w:eastAsia="zh-CN"/>
        </w:rPr>
        <w:t xml:space="preserve">Gaseous fuels are not allowed to be used on EX vehicles (see 9.2.4.4). No </w:t>
      </w:r>
      <w:r w:rsidR="006A05B3">
        <w:rPr>
          <w:rFonts w:eastAsiaTheme="minorEastAsia"/>
          <w:lang w:val="en-US" w:eastAsia="zh-CN"/>
        </w:rPr>
        <w:t>“X”</w:t>
      </w:r>
      <w:r w:rsidR="006A05B3" w:rsidRPr="00C443AE">
        <w:rPr>
          <w:rFonts w:eastAsiaTheme="minorEastAsia"/>
          <w:lang w:val="en-US" w:eastAsia="zh-CN"/>
        </w:rPr>
        <w:t xml:space="preserve"> should be </w:t>
      </w:r>
      <w:r w:rsidR="006A05B3">
        <w:rPr>
          <w:rFonts w:eastAsiaTheme="minorEastAsia"/>
          <w:lang w:val="en-US" w:eastAsia="zh-CN"/>
        </w:rPr>
        <w:t>placed</w:t>
      </w:r>
      <w:r w:rsidR="006A05B3" w:rsidRPr="00C443AE">
        <w:rPr>
          <w:rFonts w:eastAsiaTheme="minorEastAsia"/>
          <w:lang w:val="en-US" w:eastAsia="zh-CN"/>
        </w:rPr>
        <w:t xml:space="preserve"> in </w:t>
      </w:r>
      <w:r w:rsidR="006A05B3">
        <w:rPr>
          <w:rFonts w:eastAsiaTheme="minorEastAsia"/>
          <w:lang w:val="en-US" w:eastAsia="zh-CN"/>
        </w:rPr>
        <w:t xml:space="preserve">the </w:t>
      </w:r>
      <w:r w:rsidR="006A05B3" w:rsidRPr="00C443AE">
        <w:rPr>
          <w:rFonts w:eastAsiaTheme="minorEastAsia"/>
          <w:lang w:val="en-US" w:eastAsia="zh-CN"/>
        </w:rPr>
        <w:t>applicable columns of the table</w:t>
      </w:r>
      <w:r w:rsidR="006A05B3">
        <w:rPr>
          <w:rFonts w:eastAsiaTheme="minorEastAsia"/>
          <w:lang w:val="en-US" w:eastAsia="zh-CN"/>
        </w:rPr>
        <w:t xml:space="preserve"> for EX vehicles</w:t>
      </w:r>
      <w:r w:rsidR="006A05B3" w:rsidRPr="00C443AE">
        <w:rPr>
          <w:rFonts w:eastAsiaTheme="minorEastAsia"/>
          <w:lang w:val="en-US" w:eastAsia="zh-CN"/>
        </w:rPr>
        <w:t>.</w:t>
      </w:r>
    </w:p>
    <w:p w:rsidR="006A05B3" w:rsidRPr="00C443AE" w:rsidRDefault="007766AD" w:rsidP="006A05B3">
      <w:pPr>
        <w:pStyle w:val="SingleTxtG"/>
        <w:rPr>
          <w:rFonts w:eastAsiaTheme="minorEastAsia"/>
          <w:lang w:val="en-US" w:eastAsia="zh-CN"/>
        </w:rPr>
      </w:pPr>
      <w:r>
        <w:rPr>
          <w:rFonts w:eastAsiaTheme="minorEastAsia"/>
          <w:lang w:val="en-US" w:eastAsia="zh-CN"/>
        </w:rPr>
        <w:t>6.</w:t>
      </w:r>
      <w:r>
        <w:rPr>
          <w:rFonts w:eastAsiaTheme="minorEastAsia"/>
          <w:lang w:val="en-US" w:eastAsia="zh-CN"/>
        </w:rPr>
        <w:tab/>
      </w:r>
      <w:r w:rsidR="006A05B3" w:rsidRPr="00C443AE">
        <w:rPr>
          <w:rFonts w:eastAsiaTheme="minorEastAsia"/>
          <w:lang w:val="en-US" w:eastAsia="zh-CN"/>
        </w:rPr>
        <w:t xml:space="preserve">The risk to be prevented in 9.2.7 is damage to </w:t>
      </w:r>
      <w:r w:rsidR="006A05B3">
        <w:rPr>
          <w:rFonts w:eastAsiaTheme="minorEastAsia"/>
          <w:lang w:val="en-US" w:eastAsia="zh-CN"/>
        </w:rPr>
        <w:t xml:space="preserve">the load </w:t>
      </w:r>
      <w:r w:rsidR="006A05B3" w:rsidRPr="00C443AE">
        <w:rPr>
          <w:rFonts w:eastAsiaTheme="minorEastAsia"/>
          <w:lang w:val="en-US" w:eastAsia="zh-CN"/>
        </w:rPr>
        <w:t xml:space="preserve">due to </w:t>
      </w:r>
      <w:r w:rsidR="006A05B3">
        <w:rPr>
          <w:rFonts w:eastAsiaTheme="minorEastAsia"/>
          <w:lang w:val="en-US" w:eastAsia="zh-CN"/>
        </w:rPr>
        <w:t xml:space="preserve">cooling effect of </w:t>
      </w:r>
      <w:r w:rsidR="006A05B3" w:rsidRPr="00C443AE">
        <w:rPr>
          <w:rFonts w:eastAsiaTheme="minorEastAsia"/>
          <w:lang w:val="en-US" w:eastAsia="zh-CN"/>
        </w:rPr>
        <w:t xml:space="preserve">leaking refrigerated liquefied </w:t>
      </w:r>
      <w:r w:rsidR="006A05B3">
        <w:rPr>
          <w:rFonts w:eastAsiaTheme="minorEastAsia"/>
          <w:lang w:val="en-US" w:eastAsia="zh-CN"/>
        </w:rPr>
        <w:t xml:space="preserve">natural </w:t>
      </w:r>
      <w:r w:rsidR="006A05B3" w:rsidRPr="00C443AE">
        <w:rPr>
          <w:rFonts w:eastAsiaTheme="minorEastAsia"/>
          <w:lang w:val="en-US" w:eastAsia="zh-CN"/>
        </w:rPr>
        <w:t xml:space="preserve">gas </w:t>
      </w:r>
      <w:r w:rsidR="006A05B3">
        <w:rPr>
          <w:rFonts w:eastAsiaTheme="minorEastAsia"/>
          <w:lang w:val="en-US" w:eastAsia="zh-CN"/>
        </w:rPr>
        <w:t xml:space="preserve">(LNG) </w:t>
      </w:r>
      <w:r w:rsidR="006A05B3" w:rsidRPr="00C443AE">
        <w:rPr>
          <w:rFonts w:eastAsiaTheme="minorEastAsia"/>
          <w:lang w:val="en-US" w:eastAsia="zh-CN"/>
        </w:rPr>
        <w:t xml:space="preserve">by a defect in the fuel system and not a particular reaction with a specific substance. In such </w:t>
      </w:r>
      <w:r w:rsidR="006A05B3">
        <w:rPr>
          <w:rFonts w:eastAsiaTheme="minorEastAsia"/>
          <w:lang w:val="en-US" w:eastAsia="zh-CN"/>
        </w:rPr>
        <w:t>9.2.7</w:t>
      </w:r>
      <w:r w:rsidR="006A05B3" w:rsidRPr="00C443AE">
        <w:rPr>
          <w:rFonts w:eastAsiaTheme="minorEastAsia"/>
          <w:lang w:val="en-US" w:eastAsia="zh-CN"/>
        </w:rPr>
        <w:t xml:space="preserve"> is equally applicable to AT and FL vehicles and in both columns an “X” should be placed.  </w:t>
      </w:r>
    </w:p>
    <w:p w:rsidR="007766AD" w:rsidRDefault="007766AD" w:rsidP="006A05B3">
      <w:pPr>
        <w:pStyle w:val="SingleTxtG"/>
        <w:rPr>
          <w:rFonts w:eastAsiaTheme="minorEastAsia"/>
          <w:lang w:val="en-US" w:eastAsia="zh-CN"/>
        </w:rPr>
      </w:pPr>
      <w:r>
        <w:rPr>
          <w:rFonts w:eastAsiaTheme="minorEastAsia"/>
          <w:lang w:val="en-US" w:eastAsia="zh-CN"/>
        </w:rPr>
        <w:t>7.</w:t>
      </w:r>
      <w:r>
        <w:rPr>
          <w:rFonts w:eastAsiaTheme="minorEastAsia"/>
          <w:lang w:val="en-US" w:eastAsia="zh-CN"/>
        </w:rPr>
        <w:tab/>
      </w:r>
      <w:r w:rsidR="006A05B3" w:rsidRPr="00C443AE">
        <w:rPr>
          <w:rFonts w:eastAsiaTheme="minorEastAsia"/>
          <w:lang w:val="en-US" w:eastAsia="zh-CN"/>
        </w:rPr>
        <w:t xml:space="preserve">The transitional measure in the column “Comments” is applicable to FL as well AT vehicles. </w:t>
      </w:r>
    </w:p>
    <w:p w:rsidR="007766AD" w:rsidRDefault="007766AD" w:rsidP="006A05B3">
      <w:pPr>
        <w:pStyle w:val="SingleTxtG"/>
        <w:rPr>
          <w:rFonts w:eastAsiaTheme="minorEastAsia"/>
          <w:lang w:val="en-US" w:eastAsia="zh-CN"/>
        </w:rPr>
      </w:pPr>
      <w:r>
        <w:rPr>
          <w:rFonts w:eastAsiaTheme="minorEastAsia"/>
          <w:lang w:val="en-US" w:eastAsia="zh-CN"/>
        </w:rPr>
        <w:t>8.</w:t>
      </w:r>
      <w:r>
        <w:rPr>
          <w:rFonts w:eastAsiaTheme="minorEastAsia"/>
          <w:lang w:val="en-US" w:eastAsia="zh-CN"/>
        </w:rPr>
        <w:tab/>
      </w:r>
      <w:r w:rsidR="006A05B3" w:rsidRPr="00C443AE">
        <w:rPr>
          <w:rFonts w:eastAsiaTheme="minorEastAsia"/>
          <w:lang w:val="en-US" w:eastAsia="zh-CN"/>
        </w:rPr>
        <w:t xml:space="preserve">For AT vehicles the expressed limitations for the use of gaseous fuels were not applicable. AT vehicles may already have been registered with LNG before the coming into force of ADR 2017. </w:t>
      </w:r>
    </w:p>
    <w:p w:rsidR="007766AD" w:rsidRDefault="007766AD" w:rsidP="006A05B3">
      <w:pPr>
        <w:pStyle w:val="SingleTxtG"/>
        <w:rPr>
          <w:rFonts w:eastAsiaTheme="minorEastAsia"/>
          <w:lang w:val="en-US" w:eastAsia="zh-CN"/>
        </w:rPr>
      </w:pPr>
      <w:r>
        <w:rPr>
          <w:rFonts w:eastAsiaTheme="minorEastAsia"/>
          <w:lang w:val="en-US" w:eastAsia="zh-CN"/>
        </w:rPr>
        <w:t>9.</w:t>
      </w:r>
      <w:r>
        <w:rPr>
          <w:rFonts w:eastAsiaTheme="minorEastAsia"/>
          <w:lang w:val="en-US" w:eastAsia="zh-CN"/>
        </w:rPr>
        <w:tab/>
      </w:r>
      <w:r w:rsidR="006A05B3" w:rsidRPr="00C443AE">
        <w:rPr>
          <w:rFonts w:eastAsiaTheme="minorEastAsia"/>
          <w:lang w:val="en-US" w:eastAsia="zh-CN"/>
        </w:rPr>
        <w:t xml:space="preserve">FL vehicles fully in compliance with UN ECE </w:t>
      </w:r>
      <w:proofErr w:type="spellStart"/>
      <w:r w:rsidR="006A05B3" w:rsidRPr="00C443AE">
        <w:rPr>
          <w:rFonts w:eastAsiaTheme="minorEastAsia"/>
          <w:lang w:val="en-US" w:eastAsia="zh-CN"/>
        </w:rPr>
        <w:t>Regl</w:t>
      </w:r>
      <w:proofErr w:type="spellEnd"/>
      <w:r w:rsidR="006A05B3" w:rsidRPr="00C443AE">
        <w:rPr>
          <w:rFonts w:eastAsiaTheme="minorEastAsia"/>
          <w:lang w:val="en-US" w:eastAsia="zh-CN"/>
        </w:rPr>
        <w:t xml:space="preserve">. No. 110 registered before the coming into force of ADR 2017 </w:t>
      </w:r>
      <w:proofErr w:type="gramStart"/>
      <w:r w:rsidR="006A05B3" w:rsidRPr="00C443AE">
        <w:rPr>
          <w:rFonts w:eastAsiaTheme="minorEastAsia"/>
          <w:lang w:val="en-US" w:eastAsia="zh-CN"/>
        </w:rPr>
        <w:t>have</w:t>
      </w:r>
      <w:proofErr w:type="gramEnd"/>
      <w:r w:rsidR="006A05B3" w:rsidRPr="00C443AE">
        <w:rPr>
          <w:rFonts w:eastAsiaTheme="minorEastAsia"/>
          <w:lang w:val="en-US" w:eastAsia="zh-CN"/>
        </w:rPr>
        <w:t xml:space="preserve"> no limitation in their use. </w:t>
      </w:r>
    </w:p>
    <w:p w:rsidR="006A05B3" w:rsidRDefault="007766AD" w:rsidP="006A05B3">
      <w:pPr>
        <w:pStyle w:val="SingleTxtG"/>
        <w:rPr>
          <w:rFonts w:eastAsiaTheme="minorEastAsia"/>
          <w:lang w:val="en-US" w:eastAsia="zh-CN"/>
        </w:rPr>
      </w:pPr>
      <w:r>
        <w:rPr>
          <w:rFonts w:eastAsiaTheme="minorEastAsia"/>
          <w:lang w:val="en-US" w:eastAsia="zh-CN"/>
        </w:rPr>
        <w:t>10.</w:t>
      </w:r>
      <w:r>
        <w:rPr>
          <w:rFonts w:eastAsiaTheme="minorEastAsia"/>
          <w:lang w:val="en-US" w:eastAsia="zh-CN"/>
        </w:rPr>
        <w:tab/>
      </w:r>
      <w:r w:rsidR="006A05B3" w:rsidRPr="00C443AE">
        <w:rPr>
          <w:rFonts w:eastAsiaTheme="minorEastAsia"/>
          <w:lang w:val="en-US" w:eastAsia="zh-CN"/>
        </w:rPr>
        <w:t xml:space="preserve">These AT and FL vehicles may not comply, or not have been </w:t>
      </w:r>
      <w:r w:rsidR="006A05B3">
        <w:rPr>
          <w:rFonts w:eastAsiaTheme="minorEastAsia"/>
          <w:lang w:val="en-US" w:eastAsia="zh-CN"/>
        </w:rPr>
        <w:t>approved</w:t>
      </w:r>
      <w:r w:rsidR="006A05B3" w:rsidRPr="00C443AE">
        <w:rPr>
          <w:rFonts w:eastAsiaTheme="minorEastAsia"/>
          <w:lang w:val="en-US" w:eastAsia="zh-CN"/>
        </w:rPr>
        <w:t>, according the requirement of 9.2.7 and a transitional measure seems to be appropriate.</w:t>
      </w:r>
      <w:r>
        <w:rPr>
          <w:rFonts w:eastAsiaTheme="minorEastAsia"/>
          <w:lang w:val="en-US" w:eastAsia="zh-CN"/>
        </w:rPr>
        <w:t xml:space="preserve"> </w:t>
      </w:r>
      <w:r w:rsidR="006A05B3" w:rsidRPr="00C443AE">
        <w:rPr>
          <w:rFonts w:eastAsiaTheme="minorEastAsia"/>
          <w:lang w:val="en-US" w:eastAsia="zh-CN"/>
        </w:rPr>
        <w:t xml:space="preserve">Because 9.2.7 is already applicable to AT and FL vehicles since 1 July 2017 no transitional measure is needed for the period between 1 July 2017 and 1 July 2019.  </w:t>
      </w:r>
    </w:p>
    <w:p w:rsidR="009B7FFB" w:rsidRPr="009B7FFB" w:rsidRDefault="009B7FFB" w:rsidP="009B7FFB">
      <w:pPr>
        <w:spacing w:before="240"/>
        <w:ind w:left="1134" w:right="1134"/>
        <w:jc w:val="center"/>
        <w:rPr>
          <w:u w:val="single"/>
        </w:rPr>
      </w:pPr>
      <w:r>
        <w:rPr>
          <w:u w:val="single"/>
        </w:rPr>
        <w:tab/>
      </w:r>
      <w:r>
        <w:rPr>
          <w:u w:val="single"/>
        </w:rPr>
        <w:tab/>
      </w:r>
      <w:r>
        <w:rPr>
          <w:u w:val="single"/>
        </w:rPr>
        <w:tab/>
      </w:r>
    </w:p>
    <w:sectPr w:rsidR="009B7FFB" w:rsidRPr="009B7FFB" w:rsidSect="001330DE">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9D" w:rsidRDefault="0045149D"/>
  </w:endnote>
  <w:endnote w:type="continuationSeparator" w:id="0">
    <w:p w:rsidR="0045149D" w:rsidRDefault="0045149D"/>
  </w:endnote>
  <w:endnote w:type="continuationNotice" w:id="1">
    <w:p w:rsidR="0045149D" w:rsidRDefault="00451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D9" w:rsidRPr="001330DE" w:rsidRDefault="005147D9"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F339A3">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D9" w:rsidRPr="001330DE" w:rsidRDefault="005147D9" w:rsidP="001330DE">
    <w:pPr>
      <w:pStyle w:val="Footer"/>
      <w:tabs>
        <w:tab w:val="right" w:pos="9598"/>
      </w:tabs>
      <w:rPr>
        <w:b/>
        <w:sz w:val="18"/>
      </w:rPr>
    </w:pPr>
    <w:r>
      <w:t>GE.14-20747</w:t>
    </w:r>
    <w:r>
      <w:tab/>
    </w:r>
    <w:r w:rsidRPr="001330DE">
      <w:rPr>
        <w:b/>
        <w:sz w:val="18"/>
      </w:rPr>
      <w:fldChar w:fldCharType="begin"/>
    </w:r>
    <w:r w:rsidRPr="001330DE">
      <w:rPr>
        <w:b/>
        <w:sz w:val="18"/>
      </w:rPr>
      <w:instrText xml:space="preserve"> PAGE  \* MERGEFORMAT </w:instrText>
    </w:r>
    <w:r w:rsidRPr="001330DE">
      <w:rPr>
        <w:b/>
        <w:sz w:val="18"/>
      </w:rPr>
      <w:fldChar w:fldCharType="separate"/>
    </w:r>
    <w:r w:rsidR="007766AD">
      <w:rPr>
        <w:b/>
        <w:noProof/>
        <w:sz w:val="18"/>
      </w:rPr>
      <w:t>3</w:t>
    </w:r>
    <w:r w:rsidRPr="001330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9D" w:rsidRPr="000B175B" w:rsidRDefault="0045149D" w:rsidP="000B175B">
      <w:pPr>
        <w:tabs>
          <w:tab w:val="right" w:pos="2155"/>
        </w:tabs>
        <w:spacing w:after="80"/>
        <w:ind w:left="680"/>
        <w:rPr>
          <w:u w:val="single"/>
        </w:rPr>
      </w:pPr>
      <w:r>
        <w:rPr>
          <w:u w:val="single"/>
        </w:rPr>
        <w:tab/>
      </w:r>
    </w:p>
  </w:footnote>
  <w:footnote w:type="continuationSeparator" w:id="0">
    <w:p w:rsidR="0045149D" w:rsidRPr="00FC68B7" w:rsidRDefault="0045149D" w:rsidP="00FC68B7">
      <w:pPr>
        <w:tabs>
          <w:tab w:val="left" w:pos="2155"/>
        </w:tabs>
        <w:spacing w:after="80"/>
        <w:ind w:left="680"/>
        <w:rPr>
          <w:u w:val="single"/>
        </w:rPr>
      </w:pPr>
      <w:r>
        <w:rPr>
          <w:u w:val="single"/>
        </w:rPr>
        <w:tab/>
      </w:r>
    </w:p>
  </w:footnote>
  <w:footnote w:type="continuationNotice" w:id="1">
    <w:p w:rsidR="0045149D" w:rsidRDefault="0045149D"/>
  </w:footnote>
  <w:footnote w:id="2">
    <w:p w:rsidR="00C403F6" w:rsidRPr="00741BCC" w:rsidRDefault="00C403F6" w:rsidP="00C403F6">
      <w:pPr>
        <w:pStyle w:val="FootnoteText"/>
      </w:pPr>
      <w:r>
        <w:tab/>
      </w:r>
      <w:r>
        <w:tab/>
      </w:r>
      <w:r>
        <w:rPr>
          <w:rStyle w:val="FootnoteReference"/>
        </w:rPr>
        <w:footnoteRef/>
      </w:r>
      <w:r>
        <w:tab/>
      </w:r>
      <w:proofErr w:type="gramStart"/>
      <w:r>
        <w:rPr>
          <w:color w:val="000000"/>
          <w:lang w:eastAsia="en-GB"/>
        </w:rPr>
        <w:t xml:space="preserve">In accordance with the programme of work of the Inland Transport Committee for 2016-2017, </w:t>
      </w:r>
      <w:r>
        <w:rPr>
          <w:color w:val="000000"/>
          <w:lang w:eastAsia="en-GB"/>
        </w:rPr>
        <w:tab/>
        <w:t>(ECE/TRANS/2016/28/Add.1 (9.1)).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D9" w:rsidRPr="001330DE" w:rsidRDefault="005147D9" w:rsidP="001330DE">
    <w:pPr>
      <w:pStyle w:val="Header"/>
    </w:pPr>
    <w:r w:rsidRPr="001330DE">
      <w:t>ECE/TRANS/WP.15/201</w:t>
    </w:r>
    <w:r>
      <w:t>6</w:t>
    </w:r>
    <w:r w:rsidRPr="001330DE">
      <w:t>/</w:t>
    </w:r>
    <w:r w:rsidR="009F7604">
      <w:t>1</w:t>
    </w:r>
    <w:r w:rsidR="006A05B3">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D9" w:rsidRPr="001330DE" w:rsidRDefault="005147D9" w:rsidP="001330DE">
    <w:pPr>
      <w:pStyle w:val="Header"/>
      <w:jc w:val="right"/>
    </w:pPr>
    <w:r w:rsidRPr="001330DE">
      <w:t>ECE/TRANS/WP.15/201</w:t>
    </w:r>
    <w:r>
      <w:t>6</w:t>
    </w:r>
    <w:r w:rsidRPr="001330DE">
      <w:t>/</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975BC6"/>
    <w:multiLevelType w:val="hybridMultilevel"/>
    <w:tmpl w:val="CBDC3E18"/>
    <w:lvl w:ilvl="0" w:tplc="8A72AF5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9">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4"/>
  </w:num>
  <w:num w:numId="19">
    <w:abstractNumId w:val="20"/>
  </w:num>
  <w:num w:numId="20">
    <w:abstractNumId w:val="18"/>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45622"/>
    <w:rsid w:val="00165F3A"/>
    <w:rsid w:val="00193901"/>
    <w:rsid w:val="001B054C"/>
    <w:rsid w:val="001B4B04"/>
    <w:rsid w:val="001C6663"/>
    <w:rsid w:val="001C7895"/>
    <w:rsid w:val="001D0C8C"/>
    <w:rsid w:val="001D1419"/>
    <w:rsid w:val="001D26DF"/>
    <w:rsid w:val="001D3A03"/>
    <w:rsid w:val="001E4771"/>
    <w:rsid w:val="001E59E0"/>
    <w:rsid w:val="001E7B67"/>
    <w:rsid w:val="001F6AFB"/>
    <w:rsid w:val="00202DA8"/>
    <w:rsid w:val="00207720"/>
    <w:rsid w:val="00211E0B"/>
    <w:rsid w:val="0021665B"/>
    <w:rsid w:val="00250738"/>
    <w:rsid w:val="00267F5F"/>
    <w:rsid w:val="00284602"/>
    <w:rsid w:val="00286B4D"/>
    <w:rsid w:val="002B0B93"/>
    <w:rsid w:val="002D4643"/>
    <w:rsid w:val="002F175C"/>
    <w:rsid w:val="00302E18"/>
    <w:rsid w:val="003229D8"/>
    <w:rsid w:val="003233BF"/>
    <w:rsid w:val="00352709"/>
    <w:rsid w:val="003639E8"/>
    <w:rsid w:val="00364574"/>
    <w:rsid w:val="00371178"/>
    <w:rsid w:val="0038358B"/>
    <w:rsid w:val="0039100C"/>
    <w:rsid w:val="003A6810"/>
    <w:rsid w:val="003A6B33"/>
    <w:rsid w:val="003C2CC4"/>
    <w:rsid w:val="003C6D1D"/>
    <w:rsid w:val="003D4B23"/>
    <w:rsid w:val="003E0029"/>
    <w:rsid w:val="0040373A"/>
    <w:rsid w:val="004043E8"/>
    <w:rsid w:val="00410C89"/>
    <w:rsid w:val="00422E03"/>
    <w:rsid w:val="00426B9B"/>
    <w:rsid w:val="00431164"/>
    <w:rsid w:val="004325CB"/>
    <w:rsid w:val="00432E7C"/>
    <w:rsid w:val="00442A83"/>
    <w:rsid w:val="0045149D"/>
    <w:rsid w:val="0045495B"/>
    <w:rsid w:val="004759A2"/>
    <w:rsid w:val="0048397A"/>
    <w:rsid w:val="004C2461"/>
    <w:rsid w:val="004C7462"/>
    <w:rsid w:val="004E77B2"/>
    <w:rsid w:val="00504B2D"/>
    <w:rsid w:val="005147D9"/>
    <w:rsid w:val="0052136D"/>
    <w:rsid w:val="00522B58"/>
    <w:rsid w:val="0052699B"/>
    <w:rsid w:val="0052775E"/>
    <w:rsid w:val="005420F2"/>
    <w:rsid w:val="005628B6"/>
    <w:rsid w:val="005666AA"/>
    <w:rsid w:val="005B3DB3"/>
    <w:rsid w:val="005B4E13"/>
    <w:rsid w:val="005E2EBD"/>
    <w:rsid w:val="005F7B75"/>
    <w:rsid w:val="006001EE"/>
    <w:rsid w:val="00603CB2"/>
    <w:rsid w:val="00605042"/>
    <w:rsid w:val="00611FC4"/>
    <w:rsid w:val="006176FB"/>
    <w:rsid w:val="00623A15"/>
    <w:rsid w:val="00640B26"/>
    <w:rsid w:val="00644E68"/>
    <w:rsid w:val="00652D0A"/>
    <w:rsid w:val="0065664C"/>
    <w:rsid w:val="006623D5"/>
    <w:rsid w:val="00662BB6"/>
    <w:rsid w:val="00684C21"/>
    <w:rsid w:val="00695A68"/>
    <w:rsid w:val="00696D0A"/>
    <w:rsid w:val="006A05B3"/>
    <w:rsid w:val="006A2530"/>
    <w:rsid w:val="006C3589"/>
    <w:rsid w:val="006D266F"/>
    <w:rsid w:val="006D37AF"/>
    <w:rsid w:val="006D51D0"/>
    <w:rsid w:val="006E564B"/>
    <w:rsid w:val="006E7191"/>
    <w:rsid w:val="00703577"/>
    <w:rsid w:val="00705894"/>
    <w:rsid w:val="0072632A"/>
    <w:rsid w:val="007327D5"/>
    <w:rsid w:val="007629C8"/>
    <w:rsid w:val="0077047D"/>
    <w:rsid w:val="007766AD"/>
    <w:rsid w:val="00785AE3"/>
    <w:rsid w:val="00796DF0"/>
    <w:rsid w:val="007A1A23"/>
    <w:rsid w:val="007A3C5F"/>
    <w:rsid w:val="007B6BA5"/>
    <w:rsid w:val="007C3390"/>
    <w:rsid w:val="007C4F4B"/>
    <w:rsid w:val="007D1FC7"/>
    <w:rsid w:val="007E01E9"/>
    <w:rsid w:val="007E63F3"/>
    <w:rsid w:val="007F6611"/>
    <w:rsid w:val="00811920"/>
    <w:rsid w:val="00815AD0"/>
    <w:rsid w:val="008242D7"/>
    <w:rsid w:val="008257B1"/>
    <w:rsid w:val="00830A44"/>
    <w:rsid w:val="00843767"/>
    <w:rsid w:val="008679D9"/>
    <w:rsid w:val="008878DE"/>
    <w:rsid w:val="0089162D"/>
    <w:rsid w:val="008917D1"/>
    <w:rsid w:val="008979B1"/>
    <w:rsid w:val="008A6B25"/>
    <w:rsid w:val="008A6C4F"/>
    <w:rsid w:val="008B2335"/>
    <w:rsid w:val="008B40A9"/>
    <w:rsid w:val="008C048F"/>
    <w:rsid w:val="008D4A19"/>
    <w:rsid w:val="008E0678"/>
    <w:rsid w:val="008E45B1"/>
    <w:rsid w:val="009223CA"/>
    <w:rsid w:val="00940F93"/>
    <w:rsid w:val="009471BA"/>
    <w:rsid w:val="00947FDE"/>
    <w:rsid w:val="009760F3"/>
    <w:rsid w:val="009A0E8D"/>
    <w:rsid w:val="009B26E7"/>
    <w:rsid w:val="009B7FFB"/>
    <w:rsid w:val="009F7604"/>
    <w:rsid w:val="00A00A3F"/>
    <w:rsid w:val="00A01489"/>
    <w:rsid w:val="00A20F04"/>
    <w:rsid w:val="00A3026E"/>
    <w:rsid w:val="00A338F1"/>
    <w:rsid w:val="00A50DEE"/>
    <w:rsid w:val="00A72F22"/>
    <w:rsid w:val="00A7360F"/>
    <w:rsid w:val="00A748A6"/>
    <w:rsid w:val="00A769F4"/>
    <w:rsid w:val="00A776B4"/>
    <w:rsid w:val="00A9007F"/>
    <w:rsid w:val="00A94361"/>
    <w:rsid w:val="00AA293C"/>
    <w:rsid w:val="00AD1A57"/>
    <w:rsid w:val="00AF2944"/>
    <w:rsid w:val="00B30179"/>
    <w:rsid w:val="00B31E80"/>
    <w:rsid w:val="00B421C1"/>
    <w:rsid w:val="00B54192"/>
    <w:rsid w:val="00B55C71"/>
    <w:rsid w:val="00B56E4A"/>
    <w:rsid w:val="00B56E9C"/>
    <w:rsid w:val="00B64B1F"/>
    <w:rsid w:val="00B6553F"/>
    <w:rsid w:val="00B77D05"/>
    <w:rsid w:val="00B81206"/>
    <w:rsid w:val="00B81E12"/>
    <w:rsid w:val="00B9042E"/>
    <w:rsid w:val="00BA2C06"/>
    <w:rsid w:val="00BB0F07"/>
    <w:rsid w:val="00BC3FA0"/>
    <w:rsid w:val="00BC74E9"/>
    <w:rsid w:val="00BD186E"/>
    <w:rsid w:val="00BE0515"/>
    <w:rsid w:val="00BF68A8"/>
    <w:rsid w:val="00C0563C"/>
    <w:rsid w:val="00C11A03"/>
    <w:rsid w:val="00C22C0C"/>
    <w:rsid w:val="00C2670C"/>
    <w:rsid w:val="00C3625D"/>
    <w:rsid w:val="00C403F6"/>
    <w:rsid w:val="00C4527F"/>
    <w:rsid w:val="00C463DD"/>
    <w:rsid w:val="00C468E4"/>
    <w:rsid w:val="00C4724C"/>
    <w:rsid w:val="00C629A0"/>
    <w:rsid w:val="00C64629"/>
    <w:rsid w:val="00C745C3"/>
    <w:rsid w:val="00C86220"/>
    <w:rsid w:val="00CB3E03"/>
    <w:rsid w:val="00CE0C77"/>
    <w:rsid w:val="00CE4A8F"/>
    <w:rsid w:val="00CF49FD"/>
    <w:rsid w:val="00D02AF5"/>
    <w:rsid w:val="00D12E31"/>
    <w:rsid w:val="00D2031B"/>
    <w:rsid w:val="00D25FE2"/>
    <w:rsid w:val="00D43252"/>
    <w:rsid w:val="00D47EEA"/>
    <w:rsid w:val="00D6286A"/>
    <w:rsid w:val="00D773DF"/>
    <w:rsid w:val="00D77865"/>
    <w:rsid w:val="00D94296"/>
    <w:rsid w:val="00D95303"/>
    <w:rsid w:val="00D978C6"/>
    <w:rsid w:val="00DA3C1C"/>
    <w:rsid w:val="00DD0A3E"/>
    <w:rsid w:val="00DE40E0"/>
    <w:rsid w:val="00E03AC2"/>
    <w:rsid w:val="00E046DF"/>
    <w:rsid w:val="00E121AE"/>
    <w:rsid w:val="00E27346"/>
    <w:rsid w:val="00E71BC8"/>
    <w:rsid w:val="00E7260F"/>
    <w:rsid w:val="00E73F5D"/>
    <w:rsid w:val="00E77E4E"/>
    <w:rsid w:val="00E96630"/>
    <w:rsid w:val="00ED41D7"/>
    <w:rsid w:val="00ED534B"/>
    <w:rsid w:val="00ED7A2A"/>
    <w:rsid w:val="00EF1D7F"/>
    <w:rsid w:val="00F1048B"/>
    <w:rsid w:val="00F13FB9"/>
    <w:rsid w:val="00F31E5F"/>
    <w:rsid w:val="00F339A3"/>
    <w:rsid w:val="00F44B02"/>
    <w:rsid w:val="00F50738"/>
    <w:rsid w:val="00F55D49"/>
    <w:rsid w:val="00F6100A"/>
    <w:rsid w:val="00F74367"/>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qFormat/>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SingleTxtGCar">
    <w:name w:val="_ Single Txt_G Car"/>
    <w:rsid w:val="009B7FFB"/>
    <w:rPr>
      <w:lang w:val="en-GB" w:eastAsia="en-US"/>
    </w:rPr>
  </w:style>
  <w:style w:type="character" w:customStyle="1" w:styleId="H1GChar">
    <w:name w:val="_ H_1_G Char"/>
    <w:link w:val="H1G"/>
    <w:rsid w:val="009B7FFB"/>
    <w:rPr>
      <w:b/>
      <w:sz w:val="24"/>
      <w:lang w:eastAsia="en-US"/>
    </w:rPr>
  </w:style>
  <w:style w:type="paragraph" w:styleId="ListParagraph">
    <w:name w:val="List Paragraph"/>
    <w:basedOn w:val="Normal"/>
    <w:uiPriority w:val="34"/>
    <w:qFormat/>
    <w:rsid w:val="00F74367"/>
    <w:pPr>
      <w:ind w:left="720"/>
      <w:contextualSpacing/>
    </w:pPr>
  </w:style>
  <w:style w:type="table" w:customStyle="1" w:styleId="TableGrid10">
    <w:name w:val="Table Grid1"/>
    <w:basedOn w:val="TableNormal"/>
    <w:next w:val="TableGrid"/>
    <w:semiHidden/>
    <w:rsid w:val="006A05B3"/>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qFormat/>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SingleTxtGCar">
    <w:name w:val="_ Single Txt_G Car"/>
    <w:rsid w:val="009B7FFB"/>
    <w:rPr>
      <w:lang w:val="en-GB" w:eastAsia="en-US"/>
    </w:rPr>
  </w:style>
  <w:style w:type="character" w:customStyle="1" w:styleId="H1GChar">
    <w:name w:val="_ H_1_G Char"/>
    <w:link w:val="H1G"/>
    <w:rsid w:val="009B7FFB"/>
    <w:rPr>
      <w:b/>
      <w:sz w:val="24"/>
      <w:lang w:eastAsia="en-US"/>
    </w:rPr>
  </w:style>
  <w:style w:type="paragraph" w:styleId="ListParagraph">
    <w:name w:val="List Paragraph"/>
    <w:basedOn w:val="Normal"/>
    <w:uiPriority w:val="34"/>
    <w:qFormat/>
    <w:rsid w:val="00F74367"/>
    <w:pPr>
      <w:ind w:left="720"/>
      <w:contextualSpacing/>
    </w:pPr>
  </w:style>
  <w:style w:type="table" w:customStyle="1" w:styleId="TableGrid10">
    <w:name w:val="Table Grid1"/>
    <w:basedOn w:val="TableNormal"/>
    <w:next w:val="TableGrid"/>
    <w:semiHidden/>
    <w:rsid w:val="006A05B3"/>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10FA-34E9-4D0A-8930-510693C8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1420747</vt:lpstr>
    </vt:vector>
  </TitlesOfParts>
  <Company>CSD</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barrio-champeau</cp:lastModifiedBy>
  <cp:revision>6</cp:revision>
  <cp:lastPrinted>2016-08-22T10:30:00Z</cp:lastPrinted>
  <dcterms:created xsi:type="dcterms:W3CDTF">2016-08-15T10:18:00Z</dcterms:created>
  <dcterms:modified xsi:type="dcterms:W3CDTF">2016-08-22T10:31:00Z</dcterms:modified>
</cp:coreProperties>
</file>