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226058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E13B15">
              <w:rPr>
                <w:b/>
                <w:sz w:val="24"/>
                <w:szCs w:val="24"/>
              </w:rPr>
              <w:t>1</w:t>
            </w:r>
            <w:r w:rsidR="00F12D54">
              <w:rPr>
                <w:b/>
                <w:sz w:val="24"/>
                <w:szCs w:val="24"/>
              </w:rPr>
              <w:t>6</w:t>
            </w:r>
            <w:r w:rsidR="00A05642">
              <w:rPr>
                <w:b/>
                <w:sz w:val="24"/>
                <w:szCs w:val="24"/>
              </w:rPr>
              <w:t>/</w:t>
            </w:r>
            <w:r w:rsidR="00226058">
              <w:rPr>
                <w:b/>
                <w:sz w:val="24"/>
                <w:szCs w:val="24"/>
              </w:rPr>
              <w:t>R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AB2EDE">
        <w:rPr>
          <w:b/>
        </w:rPr>
        <w:t>1</w:t>
      </w:r>
      <w:r w:rsidR="00F12D54">
        <w:rPr>
          <w:b/>
        </w:rPr>
        <w:t>5</w:t>
      </w:r>
      <w:r w:rsidR="00BE48E6">
        <w:rPr>
          <w:b/>
        </w:rPr>
        <w:t xml:space="preserve"> February</w:t>
      </w:r>
      <w:r w:rsidR="004975C1">
        <w:rPr>
          <w:b/>
        </w:rPr>
        <w:t xml:space="preserve"> 2016</w:t>
      </w:r>
    </w:p>
    <w:p w:rsidR="009D2A5B" w:rsidRDefault="00BB7CD1" w:rsidP="00BB7CD1">
      <w:r>
        <w:t xml:space="preserve">Bern, </w:t>
      </w:r>
      <w:r w:rsidR="00D65303">
        <w:t>14</w:t>
      </w:r>
      <w:r>
        <w:t>–</w:t>
      </w:r>
      <w:r w:rsidR="00D65303">
        <w:t>18</w:t>
      </w:r>
      <w:r w:rsidR="00F66565">
        <w:t xml:space="preserve"> </w:t>
      </w:r>
      <w:r>
        <w:t>March 201</w:t>
      </w:r>
      <w:r w:rsidR="00D65303">
        <w:t>6</w:t>
      </w:r>
    </w:p>
    <w:p w:rsidR="00DB6CA5" w:rsidRPr="00A55B4D" w:rsidRDefault="00DB6CA5" w:rsidP="00563634">
      <w:r w:rsidRPr="00A55B4D">
        <w:t xml:space="preserve">Item </w:t>
      </w:r>
      <w:r w:rsidR="00514950">
        <w:t>2</w:t>
      </w:r>
      <w:r w:rsidRPr="00A55B4D">
        <w:t xml:space="preserve"> of the provisional agenda</w:t>
      </w:r>
    </w:p>
    <w:p w:rsidR="004975C1" w:rsidRPr="00B8517A" w:rsidRDefault="00514950" w:rsidP="00AB2EDE">
      <w:pPr>
        <w:rPr>
          <w:b/>
          <w:lang w:val="ru-RU"/>
        </w:rPr>
      </w:pPr>
      <w:r>
        <w:rPr>
          <w:b/>
          <w:bCs/>
        </w:rPr>
        <w:t>Tanks</w:t>
      </w:r>
      <w:bookmarkStart w:id="0" w:name="_GoBack"/>
      <w:bookmarkEnd w:id="0"/>
    </w:p>
    <w:p w:rsidR="00226058" w:rsidRPr="00B8517A" w:rsidRDefault="00AB2EDE" w:rsidP="00226058">
      <w:pPr>
        <w:pStyle w:val="HChG"/>
        <w:rPr>
          <w:lang w:val="ru-RU"/>
        </w:rPr>
      </w:pPr>
      <w:r w:rsidRPr="00B8517A">
        <w:rPr>
          <w:lang w:val="ru-RU"/>
        </w:rPr>
        <w:tab/>
      </w:r>
      <w:r w:rsidRPr="00B8517A">
        <w:rPr>
          <w:lang w:val="ru-RU"/>
        </w:rPr>
        <w:tab/>
      </w:r>
      <w:r w:rsidR="00226058" w:rsidRPr="00B8517A">
        <w:rPr>
          <w:lang w:val="ru-RU"/>
        </w:rPr>
        <w:t xml:space="preserve">Предложение по корректировке специальных положений </w:t>
      </w:r>
      <w:r w:rsidR="00226058">
        <w:rPr>
          <w:lang w:val="en-US"/>
        </w:rPr>
        <w:t>TU</w:t>
      </w:r>
      <w:r w:rsidR="00226058" w:rsidRPr="00B8517A">
        <w:rPr>
          <w:lang w:val="ru-RU"/>
        </w:rPr>
        <w:t xml:space="preserve">21 и </w:t>
      </w:r>
      <w:r w:rsidR="00226058">
        <w:rPr>
          <w:lang w:val="en-US"/>
        </w:rPr>
        <w:t>TU</w:t>
      </w:r>
      <w:r w:rsidR="00226058" w:rsidRPr="00B8517A">
        <w:rPr>
          <w:lang w:val="ru-RU"/>
        </w:rPr>
        <w:t>16 главы 4.3 МПОГ/ДОПОГ/ВОПОГ</w:t>
      </w:r>
      <w:proofErr w:type="gramStart"/>
      <w:r w:rsidR="00226058" w:rsidRPr="00B8517A">
        <w:rPr>
          <w:lang w:val="ru-RU"/>
        </w:rPr>
        <w:t>/П</w:t>
      </w:r>
      <w:proofErr w:type="gramEnd"/>
      <w:r w:rsidR="00226058" w:rsidRPr="00B8517A">
        <w:rPr>
          <w:lang w:val="ru-RU"/>
        </w:rPr>
        <w:t>рил. 2 к СМГС</w:t>
      </w:r>
    </w:p>
    <w:p w:rsidR="00226058" w:rsidRPr="00226058" w:rsidRDefault="00226058" w:rsidP="00226058">
      <w:pPr>
        <w:pStyle w:val="H1G"/>
        <w:rPr>
          <w:lang w:val="fr-CH"/>
        </w:rPr>
      </w:pPr>
      <w:r w:rsidRPr="00B8517A">
        <w:rPr>
          <w:lang w:val="ru-RU"/>
        </w:rPr>
        <w:tab/>
      </w:r>
      <w:r w:rsidRPr="00B8517A">
        <w:rPr>
          <w:lang w:val="ru-RU"/>
        </w:rPr>
        <w:tab/>
      </w:r>
      <w:proofErr w:type="spellStart"/>
      <w:r>
        <w:t>Передано</w:t>
      </w:r>
      <w:proofErr w:type="spellEnd"/>
      <w:r>
        <w:t xml:space="preserve"> </w:t>
      </w:r>
      <w:proofErr w:type="spellStart"/>
      <w:r>
        <w:t>правительством</w:t>
      </w:r>
      <w:proofErr w:type="spellEnd"/>
      <w:r>
        <w:t xml:space="preserve"> </w:t>
      </w:r>
      <w:proofErr w:type="spellStart"/>
      <w:r w:rsidRPr="00470D5D">
        <w:t>Российской</w:t>
      </w:r>
      <w:proofErr w:type="spellEnd"/>
      <w:r w:rsidRPr="00470D5D">
        <w:t xml:space="preserve"> </w:t>
      </w:r>
      <w:proofErr w:type="spellStart"/>
      <w:r w:rsidRPr="00470D5D">
        <w:t>Федерации</w:t>
      </w:r>
      <w:proofErr w:type="spellEnd"/>
    </w:p>
    <w:p w:rsidR="00226058" w:rsidRPr="00470D5D" w:rsidRDefault="00226058" w:rsidP="00226058">
      <w:pPr>
        <w:pStyle w:val="HChG"/>
      </w:pPr>
      <w:r w:rsidRPr="00470D5D">
        <w:tab/>
      </w:r>
      <w:r w:rsidRPr="00470D5D">
        <w:tab/>
      </w:r>
      <w:proofErr w:type="spellStart"/>
      <w:r w:rsidRPr="00470D5D">
        <w:t>Введение</w:t>
      </w:r>
      <w:proofErr w:type="spellEnd"/>
    </w:p>
    <w:p w:rsidR="00226058" w:rsidRPr="00B8517A" w:rsidRDefault="00226058" w:rsidP="00226058">
      <w:pPr>
        <w:pStyle w:val="SingleTxtG"/>
        <w:rPr>
          <w:lang w:val="ru-RU"/>
        </w:rPr>
      </w:pPr>
      <w:r w:rsidRPr="00226058">
        <w:rPr>
          <w:lang w:val="ru-RU"/>
        </w:rPr>
        <w:t>1.</w:t>
      </w:r>
      <w:r w:rsidRPr="00226058">
        <w:rPr>
          <w:lang w:val="ru-RU"/>
        </w:rPr>
        <w:tab/>
        <w:t xml:space="preserve">В специальных положениях </w:t>
      </w:r>
      <w:r>
        <w:rPr>
          <w:lang w:val="en-US"/>
        </w:rPr>
        <w:t>TU</w:t>
      </w:r>
      <w:r w:rsidRPr="00226058">
        <w:rPr>
          <w:lang w:val="ru-RU"/>
        </w:rPr>
        <w:t xml:space="preserve">21 и </w:t>
      </w:r>
      <w:r>
        <w:rPr>
          <w:lang w:val="en-US"/>
        </w:rPr>
        <w:t>TU</w:t>
      </w:r>
      <w:r w:rsidRPr="00226058">
        <w:rPr>
          <w:lang w:val="ru-RU"/>
        </w:rPr>
        <w:t>16  главы 4.3 «Использование вагонов-цистерн, съемных цистерн, контейнеров-цистерн и съемных кузовов-цистерн, котлы которых изготовлены из металла, а также вагонов–батарей и многоэлементных газовых контейнеров (МЭГК)» МПОГ/ДОПОГ/ВОПОГ</w:t>
      </w:r>
      <w:proofErr w:type="gramStart"/>
      <w:r w:rsidRPr="00226058">
        <w:rPr>
          <w:lang w:val="ru-RU"/>
        </w:rPr>
        <w:t>/П</w:t>
      </w:r>
      <w:proofErr w:type="gramEnd"/>
      <w:r w:rsidRPr="00226058">
        <w:rPr>
          <w:lang w:val="ru-RU"/>
        </w:rPr>
        <w:t xml:space="preserve">рил. 2 к СМГС предусмотрены дополнительные требования безопасности при перевозке в цистернах № ООН 1381 ФОСФОР БЕЛЫЙ, ФОСФОР ЖЕЛТЫЙ  ПОД ВОДОЙ или В РАСТВОРЕ, № ООН 2447 ФОСФОР БЕЛЫЙ РАСПЛАВЛЕННЫЙ, а также при предъявлении к перевозке неочищенных порожних цистерн из </w:t>
      </w:r>
      <w:proofErr w:type="gramStart"/>
      <w:r w:rsidRPr="00226058">
        <w:rPr>
          <w:lang w:val="ru-RU"/>
        </w:rPr>
        <w:t>под</w:t>
      </w:r>
      <w:proofErr w:type="gramEnd"/>
      <w:r w:rsidRPr="00226058">
        <w:rPr>
          <w:lang w:val="ru-RU"/>
        </w:rPr>
        <w:t xml:space="preserve"> указанных веществ. </w:t>
      </w:r>
      <w:r w:rsidRPr="00B8517A">
        <w:rPr>
          <w:lang w:val="ru-RU"/>
        </w:rPr>
        <w:t>Дополнительные требования к перевозке предъявляются законодателем исходя из типа применяемого защитного агента.</w:t>
      </w:r>
    </w:p>
    <w:p w:rsidR="00226058" w:rsidRPr="00B8517A" w:rsidRDefault="00226058" w:rsidP="00226058">
      <w:pPr>
        <w:pStyle w:val="SingleTxtG"/>
        <w:rPr>
          <w:lang w:val="ru-RU"/>
        </w:rPr>
      </w:pPr>
      <w:r w:rsidRPr="00226058">
        <w:rPr>
          <w:lang w:val="ru-RU"/>
        </w:rPr>
        <w:t>2.</w:t>
      </w:r>
      <w:r w:rsidRPr="00226058">
        <w:rPr>
          <w:lang w:val="ru-RU"/>
        </w:rPr>
        <w:tab/>
        <w:t xml:space="preserve">Министерству транспорта Российской Федерации и учреждениям, осуществляющим подготовку персонала, стало известно о том, что наличие многократно повторяющейся текстовой и числовой информации, а также наличие излишней информации в специальных положениях </w:t>
      </w:r>
      <w:r>
        <w:rPr>
          <w:lang w:val="en-US"/>
        </w:rPr>
        <w:t>TU</w:t>
      </w:r>
      <w:r w:rsidRPr="00226058">
        <w:rPr>
          <w:lang w:val="ru-RU"/>
        </w:rPr>
        <w:t xml:space="preserve">21 и </w:t>
      </w:r>
      <w:r>
        <w:rPr>
          <w:lang w:val="en-US"/>
        </w:rPr>
        <w:t>TU</w:t>
      </w:r>
      <w:r w:rsidRPr="00226058">
        <w:rPr>
          <w:lang w:val="ru-RU"/>
        </w:rPr>
        <w:t xml:space="preserve">16  создаёт для участников перевозки определенные проблемы с их правильным толкованием. </w:t>
      </w:r>
      <w:r w:rsidRPr="00B8517A">
        <w:rPr>
          <w:lang w:val="ru-RU"/>
        </w:rPr>
        <w:t xml:space="preserve">Специальные положения </w:t>
      </w:r>
      <w:r>
        <w:rPr>
          <w:lang w:val="en-US"/>
        </w:rPr>
        <w:t>TU</w:t>
      </w:r>
      <w:r w:rsidRPr="00B8517A">
        <w:rPr>
          <w:lang w:val="ru-RU"/>
        </w:rPr>
        <w:t xml:space="preserve">21 и </w:t>
      </w:r>
      <w:r>
        <w:rPr>
          <w:lang w:val="en-US"/>
        </w:rPr>
        <w:t>TU</w:t>
      </w:r>
      <w:r w:rsidRPr="00B8517A">
        <w:rPr>
          <w:lang w:val="ru-RU"/>
        </w:rPr>
        <w:t xml:space="preserve">16 недостаточно согласованы между собой. Кроме того специальное положение   </w:t>
      </w:r>
      <w:r>
        <w:rPr>
          <w:lang w:val="en-US"/>
        </w:rPr>
        <w:t>TU</w:t>
      </w:r>
      <w:r w:rsidRPr="00B8517A">
        <w:rPr>
          <w:lang w:val="ru-RU"/>
        </w:rPr>
        <w:t>16  содержит экологически не обоснованный способ защиты.</w:t>
      </w:r>
    </w:p>
    <w:p w:rsidR="00226058" w:rsidRPr="00470D5D" w:rsidRDefault="00226058" w:rsidP="00226058">
      <w:pPr>
        <w:pStyle w:val="HChG"/>
      </w:pPr>
      <w:r w:rsidRPr="00B8517A">
        <w:rPr>
          <w:lang w:val="ru-RU"/>
        </w:rPr>
        <w:tab/>
      </w:r>
      <w:r w:rsidRPr="00B8517A">
        <w:rPr>
          <w:lang w:val="ru-RU"/>
        </w:rPr>
        <w:tab/>
      </w:r>
      <w:proofErr w:type="spellStart"/>
      <w:r w:rsidRPr="00470D5D">
        <w:t>Предложение</w:t>
      </w:r>
      <w:proofErr w:type="spellEnd"/>
    </w:p>
    <w:p w:rsidR="00226058" w:rsidRPr="00226058" w:rsidRDefault="00226058" w:rsidP="00226058">
      <w:pPr>
        <w:pStyle w:val="SingleTxtG"/>
        <w:rPr>
          <w:lang w:val="ru-RU"/>
        </w:rPr>
      </w:pPr>
      <w:r w:rsidRPr="00226058">
        <w:rPr>
          <w:lang w:val="ru-RU"/>
        </w:rPr>
        <w:t>3.</w:t>
      </w:r>
      <w:r w:rsidRPr="00226058">
        <w:rPr>
          <w:lang w:val="ru-RU"/>
        </w:rPr>
        <w:tab/>
        <w:t xml:space="preserve">В этой связи Министерство транспорта Российской Федерации предлагает изложить: специальные положения  </w:t>
      </w:r>
      <w:r>
        <w:rPr>
          <w:lang w:val="en-US"/>
        </w:rPr>
        <w:t>TU</w:t>
      </w:r>
      <w:r w:rsidRPr="00226058">
        <w:rPr>
          <w:lang w:val="ru-RU"/>
        </w:rPr>
        <w:t xml:space="preserve">21 и </w:t>
      </w:r>
      <w:r>
        <w:rPr>
          <w:lang w:val="en-US"/>
        </w:rPr>
        <w:t>TU</w:t>
      </w:r>
      <w:r w:rsidRPr="00226058">
        <w:rPr>
          <w:lang w:val="ru-RU"/>
        </w:rPr>
        <w:t>16  главы 4.3 МПОГ/ДОПОГ/ВОПОГ</w:t>
      </w:r>
      <w:proofErr w:type="gramStart"/>
      <w:r w:rsidRPr="00226058">
        <w:rPr>
          <w:lang w:val="ru-RU"/>
        </w:rPr>
        <w:t>/П</w:t>
      </w:r>
      <w:proofErr w:type="gramEnd"/>
      <w:r w:rsidRPr="00226058">
        <w:rPr>
          <w:lang w:val="ru-RU"/>
        </w:rPr>
        <w:t>рил. 2 к СМГС в табличной форме с разнесением многократно повторяющихся текстовых и числовых данных по графам, удалив при этом излишнюю, а также экологически не обоснованную информацию.</w:t>
      </w:r>
    </w:p>
    <w:p w:rsidR="00226058" w:rsidRDefault="00226058" w:rsidP="00226058">
      <w:pPr>
        <w:pStyle w:val="SingleTxtGR"/>
      </w:pPr>
      <w:r w:rsidRPr="00EF7AF5">
        <w:t xml:space="preserve">3.1. </w:t>
      </w:r>
      <w:r w:rsidRPr="00470D5D">
        <w:t xml:space="preserve">Изложить специальное положение </w:t>
      </w:r>
      <w:r>
        <w:rPr>
          <w:lang w:val="en-US"/>
        </w:rPr>
        <w:t>TU</w:t>
      </w:r>
      <w:r w:rsidRPr="00EF7AF5">
        <w:t>2</w:t>
      </w:r>
      <w:r>
        <w:t>1</w:t>
      </w:r>
      <w:r w:rsidRPr="00470D5D">
        <w:t xml:space="preserve"> в следующем виде:</w:t>
      </w:r>
    </w:p>
    <w:p w:rsidR="00226058" w:rsidRPr="00226058" w:rsidRDefault="00226058" w:rsidP="00B8517A">
      <w:pPr>
        <w:spacing w:before="120" w:after="120"/>
        <w:ind w:left="1134" w:right="1134"/>
        <w:jc w:val="both"/>
        <w:rPr>
          <w:rFonts w:eastAsia="Calibri"/>
          <w:lang w:val="ru-RU"/>
        </w:rPr>
      </w:pPr>
      <w:r w:rsidRPr="00226058">
        <w:rPr>
          <w:lang w:val="ru-RU"/>
        </w:rPr>
        <w:t>«</w:t>
      </w:r>
      <w:r w:rsidRPr="003450F6">
        <w:rPr>
          <w:rFonts w:eastAsia="Calibri"/>
          <w:b/>
        </w:rPr>
        <w:t>TU</w:t>
      </w:r>
      <w:r w:rsidRPr="00226058">
        <w:rPr>
          <w:rFonts w:eastAsia="Calibri"/>
          <w:b/>
          <w:lang w:val="ru-RU"/>
        </w:rPr>
        <w:t>21</w:t>
      </w:r>
      <w:r w:rsidRPr="00226058">
        <w:rPr>
          <w:rFonts w:eastAsia="Calibri"/>
          <w:lang w:val="ru-RU"/>
        </w:rPr>
        <w:tab/>
        <w:t>Вещество должно быть защищено защитным агентом одним из следующих способов:</w:t>
      </w:r>
    </w:p>
    <w:tbl>
      <w:tblPr>
        <w:tblW w:w="73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2294"/>
      </w:tblGrid>
      <w:tr w:rsidR="00B8517A" w:rsidRPr="00514950" w:rsidTr="00EF318E">
        <w:tc>
          <w:tcPr>
            <w:tcW w:w="1276" w:type="dxa"/>
            <w:vMerge w:val="restart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lastRenderedPageBreak/>
              <w:t>Защитный</w:t>
            </w:r>
            <w:proofErr w:type="spellEnd"/>
            <w:r w:rsidRPr="00EF7AF5">
              <w:t xml:space="preserve"> </w:t>
            </w:r>
            <w:proofErr w:type="spellStart"/>
            <w:r w:rsidRPr="00EF7AF5">
              <w:t>агент</w:t>
            </w:r>
            <w:proofErr w:type="spellEnd"/>
          </w:p>
        </w:tc>
        <w:tc>
          <w:tcPr>
            <w:tcW w:w="2410" w:type="dxa"/>
            <w:gridSpan w:val="2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Слой</w:t>
            </w:r>
            <w:proofErr w:type="spellEnd"/>
            <w:r w:rsidRPr="00EF7AF5">
              <w:t xml:space="preserve"> </w:t>
            </w:r>
            <w:proofErr w:type="spellStart"/>
            <w:r w:rsidRPr="00EF7AF5">
              <w:t>воды</w:t>
            </w:r>
            <w:proofErr w:type="spellEnd"/>
            <w:r w:rsidRPr="00EF7AF5">
              <w:t xml:space="preserve"> </w:t>
            </w:r>
          </w:p>
        </w:tc>
        <w:tc>
          <w:tcPr>
            <w:tcW w:w="1417" w:type="dxa"/>
            <w:vMerge w:val="restart"/>
          </w:tcPr>
          <w:p w:rsidR="00B8517A" w:rsidRPr="00B8517A" w:rsidRDefault="00B8517A" w:rsidP="00EF318E">
            <w:pPr>
              <w:tabs>
                <w:tab w:val="right" w:pos="9639"/>
              </w:tabs>
              <w:rPr>
                <w:rFonts w:eastAsia="Calibri"/>
                <w:lang w:val="ru-RU"/>
              </w:rPr>
            </w:pPr>
            <w:r w:rsidRPr="00B8517A">
              <w:rPr>
                <w:lang w:val="ru-RU"/>
              </w:rPr>
              <w:t>Степень наполнения,</w:t>
            </w:r>
            <w:r w:rsidRPr="00B8517A">
              <w:rPr>
                <w:rFonts w:eastAsia="Calibri"/>
                <w:lang w:val="ru-RU"/>
              </w:rPr>
              <w:t xml:space="preserve"> при температуре</w:t>
            </w:r>
          </w:p>
          <w:p w:rsidR="00B8517A" w:rsidRPr="00B8517A" w:rsidRDefault="00B8517A" w:rsidP="00EF318E">
            <w:pPr>
              <w:tabs>
                <w:tab w:val="right" w:pos="9639"/>
              </w:tabs>
              <w:rPr>
                <w:lang w:val="ru-RU"/>
              </w:rPr>
            </w:pPr>
            <w:r w:rsidRPr="00B8517A">
              <w:rPr>
                <w:rFonts w:eastAsia="Calibri"/>
                <w:lang w:val="ru-RU"/>
              </w:rPr>
              <w:t xml:space="preserve"> 60</w:t>
            </w:r>
            <w:proofErr w:type="gramStart"/>
            <w:r w:rsidRPr="00B8517A">
              <w:rPr>
                <w:rFonts w:eastAsia="Calibri"/>
                <w:lang w:val="ru-RU"/>
              </w:rPr>
              <w:t xml:space="preserve"> °С</w:t>
            </w:r>
            <w:proofErr w:type="gramEnd"/>
            <w:r w:rsidRPr="00B8517A">
              <w:rPr>
                <w:rFonts w:eastAsia="Calibri"/>
                <w:lang w:val="ru-RU"/>
              </w:rPr>
              <w:t xml:space="preserve"> не должна превышать</w:t>
            </w:r>
            <w:r w:rsidRPr="00B8517A">
              <w:rPr>
                <w:lang w:val="ru-RU"/>
              </w:rPr>
              <w:t xml:space="preserve"> </w:t>
            </w:r>
          </w:p>
          <w:p w:rsidR="00B8517A" w:rsidRPr="00514950" w:rsidRDefault="00B8517A" w:rsidP="00EF318E">
            <w:pPr>
              <w:tabs>
                <w:tab w:val="right" w:pos="9639"/>
              </w:tabs>
              <w:rPr>
                <w:lang w:val="ru-RU"/>
              </w:rPr>
            </w:pPr>
            <w:r w:rsidRPr="00514950">
              <w:rPr>
                <w:lang w:val="ru-RU"/>
              </w:rPr>
              <w:t>(%)</w:t>
            </w:r>
          </w:p>
        </w:tc>
        <w:tc>
          <w:tcPr>
            <w:tcW w:w="2294" w:type="dxa"/>
            <w:vMerge w:val="restart"/>
          </w:tcPr>
          <w:p w:rsidR="00B8517A" w:rsidRPr="00B8517A" w:rsidRDefault="00B8517A" w:rsidP="00EF318E">
            <w:pPr>
              <w:tabs>
                <w:tab w:val="right" w:pos="9639"/>
              </w:tabs>
              <w:jc w:val="center"/>
              <w:rPr>
                <w:lang w:val="ru-RU"/>
              </w:rPr>
            </w:pPr>
            <w:r w:rsidRPr="00B8517A">
              <w:rPr>
                <w:lang w:val="ru-RU"/>
              </w:rPr>
              <w:t>Особенности перевозки в холодный период года</w:t>
            </w:r>
          </w:p>
        </w:tc>
      </w:tr>
      <w:tr w:rsidR="00B8517A" w:rsidTr="00EF318E">
        <w:tc>
          <w:tcPr>
            <w:tcW w:w="1276" w:type="dxa"/>
            <w:vMerge/>
          </w:tcPr>
          <w:p w:rsidR="00B8517A" w:rsidRPr="00B8517A" w:rsidRDefault="00B8517A" w:rsidP="00EF318E">
            <w:pPr>
              <w:tabs>
                <w:tab w:val="right" w:pos="9639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вагон-цистерна</w:t>
            </w:r>
            <w:proofErr w:type="spellEnd"/>
          </w:p>
        </w:tc>
        <w:tc>
          <w:tcPr>
            <w:tcW w:w="1276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контейнер-цистерна</w:t>
            </w:r>
            <w:proofErr w:type="spellEnd"/>
          </w:p>
        </w:tc>
        <w:tc>
          <w:tcPr>
            <w:tcW w:w="1417" w:type="dxa"/>
            <w:vMerge/>
          </w:tcPr>
          <w:p w:rsidR="00B8517A" w:rsidRPr="00EF7AF5" w:rsidRDefault="00B8517A" w:rsidP="00EF318E">
            <w:pPr>
              <w:tabs>
                <w:tab w:val="right" w:pos="9639"/>
              </w:tabs>
            </w:pPr>
          </w:p>
        </w:tc>
        <w:tc>
          <w:tcPr>
            <w:tcW w:w="2294" w:type="dxa"/>
            <w:vMerge/>
          </w:tcPr>
          <w:p w:rsidR="00B8517A" w:rsidRPr="00EF7AF5" w:rsidRDefault="00B8517A" w:rsidP="00EF318E">
            <w:pPr>
              <w:tabs>
                <w:tab w:val="right" w:pos="9639"/>
              </w:tabs>
            </w:pPr>
          </w:p>
        </w:tc>
      </w:tr>
      <w:tr w:rsidR="00B8517A" w:rsidTr="00EF318E">
        <w:tc>
          <w:tcPr>
            <w:tcW w:w="1276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rPr>
                <w:rFonts w:eastAsia="Calibri"/>
              </w:rPr>
              <w:t>Азот</w:t>
            </w:r>
            <w:proofErr w:type="spellEnd"/>
            <w:r w:rsidRPr="00EF7AF5"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-</w:t>
            </w:r>
          </w:p>
        </w:tc>
        <w:tc>
          <w:tcPr>
            <w:tcW w:w="1276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-</w:t>
            </w:r>
          </w:p>
        </w:tc>
        <w:tc>
          <w:tcPr>
            <w:tcW w:w="1417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96</w:t>
            </w:r>
          </w:p>
        </w:tc>
        <w:tc>
          <w:tcPr>
            <w:tcW w:w="2294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-</w:t>
            </w:r>
          </w:p>
        </w:tc>
      </w:tr>
      <w:tr w:rsidR="00B8517A" w:rsidRPr="00514950" w:rsidTr="00EF318E">
        <w:tc>
          <w:tcPr>
            <w:tcW w:w="1276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rPr>
                <w:rFonts w:eastAsia="Calibri"/>
              </w:rPr>
              <w:t>Вода</w:t>
            </w:r>
            <w:proofErr w:type="spellEnd"/>
            <w:r w:rsidRPr="00EF7AF5">
              <w:rPr>
                <w:rFonts w:eastAsia="Calibri"/>
              </w:rPr>
              <w:t xml:space="preserve"> + </w:t>
            </w:r>
            <w:proofErr w:type="spellStart"/>
            <w:r w:rsidRPr="00EF7AF5">
              <w:rPr>
                <w:rFonts w:eastAsia="Calibri"/>
              </w:rPr>
              <w:t>азот</w:t>
            </w:r>
            <w:proofErr w:type="spellEnd"/>
            <w:r w:rsidRPr="00EF7AF5">
              <w:rPr>
                <w:rFonts w:eastAsia="Calibri"/>
              </w:rPr>
              <w:t>*</w:t>
            </w:r>
          </w:p>
        </w:tc>
        <w:tc>
          <w:tcPr>
            <w:tcW w:w="1134" w:type="dxa"/>
          </w:tcPr>
          <w:p w:rsidR="00B8517A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Не</w:t>
            </w:r>
            <w:proofErr w:type="spellEnd"/>
            <w:r w:rsidRPr="00EF7AF5">
              <w:t xml:space="preserve"> </w:t>
            </w:r>
            <w:proofErr w:type="spellStart"/>
            <w:r w:rsidRPr="00EF7AF5">
              <w:t>менее</w:t>
            </w:r>
            <w:proofErr w:type="spellEnd"/>
          </w:p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 xml:space="preserve"> 30 </w:t>
            </w:r>
            <w:proofErr w:type="spellStart"/>
            <w:r w:rsidRPr="00EF7AF5">
              <w:t>см</w:t>
            </w:r>
            <w:proofErr w:type="spellEnd"/>
          </w:p>
        </w:tc>
        <w:tc>
          <w:tcPr>
            <w:tcW w:w="1276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Не</w:t>
            </w:r>
            <w:proofErr w:type="spellEnd"/>
            <w:r w:rsidRPr="00EF7AF5">
              <w:t xml:space="preserve"> </w:t>
            </w:r>
            <w:proofErr w:type="spellStart"/>
            <w:r w:rsidRPr="00EF7AF5">
              <w:t>менее</w:t>
            </w:r>
            <w:proofErr w:type="spellEnd"/>
            <w:r w:rsidRPr="00EF7AF5">
              <w:t xml:space="preserve"> </w:t>
            </w:r>
          </w:p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 xml:space="preserve">12 </w:t>
            </w:r>
            <w:proofErr w:type="spellStart"/>
            <w:r w:rsidRPr="00EF7AF5">
              <w:t>см</w:t>
            </w:r>
            <w:proofErr w:type="spellEnd"/>
          </w:p>
        </w:tc>
        <w:tc>
          <w:tcPr>
            <w:tcW w:w="1417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96</w:t>
            </w:r>
          </w:p>
        </w:tc>
        <w:tc>
          <w:tcPr>
            <w:tcW w:w="2294" w:type="dxa"/>
            <w:vMerge w:val="restart"/>
          </w:tcPr>
          <w:p w:rsidR="00B8517A" w:rsidRPr="00B8517A" w:rsidRDefault="00B8517A" w:rsidP="00EF318E">
            <w:pPr>
              <w:tabs>
                <w:tab w:val="right" w:pos="9639"/>
              </w:tabs>
              <w:rPr>
                <w:lang w:val="ru-RU"/>
              </w:rPr>
            </w:pPr>
            <w:r w:rsidRPr="00B8517A">
              <w:rPr>
                <w:rFonts w:eastAsia="Calibri"/>
                <w:lang w:val="ru-RU"/>
              </w:rPr>
              <w:t>В воде должно содержаться достаточное количество антифриза для предотвращения ее замерзания. Антифриз должен быть лишен коррозионной активности и способности вступать в реакцию с веществом</w:t>
            </w:r>
          </w:p>
        </w:tc>
      </w:tr>
      <w:tr w:rsidR="00B8517A" w:rsidTr="00EF318E">
        <w:trPr>
          <w:trHeight w:val="840"/>
        </w:trPr>
        <w:tc>
          <w:tcPr>
            <w:tcW w:w="1276" w:type="dxa"/>
          </w:tcPr>
          <w:p w:rsidR="00B8517A" w:rsidRPr="00AE4A1B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AE4A1B">
              <w:t>Вода</w:t>
            </w:r>
            <w:proofErr w:type="spellEnd"/>
          </w:p>
        </w:tc>
        <w:tc>
          <w:tcPr>
            <w:tcW w:w="1134" w:type="dxa"/>
          </w:tcPr>
          <w:p w:rsidR="00B8517A" w:rsidRPr="00AE4A1B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AE4A1B">
              <w:t>Не</w:t>
            </w:r>
            <w:proofErr w:type="spellEnd"/>
            <w:r w:rsidRPr="00AE4A1B">
              <w:t xml:space="preserve"> </w:t>
            </w:r>
            <w:proofErr w:type="spellStart"/>
            <w:r w:rsidRPr="00AE4A1B">
              <w:t>менее</w:t>
            </w:r>
            <w:proofErr w:type="spellEnd"/>
            <w:r w:rsidRPr="00AE4A1B">
              <w:t xml:space="preserve"> 30 </w:t>
            </w:r>
            <w:proofErr w:type="spellStart"/>
            <w:r w:rsidRPr="00AE4A1B">
              <w:t>см</w:t>
            </w:r>
            <w:proofErr w:type="spellEnd"/>
          </w:p>
        </w:tc>
        <w:tc>
          <w:tcPr>
            <w:tcW w:w="1276" w:type="dxa"/>
          </w:tcPr>
          <w:p w:rsidR="00B8517A" w:rsidRPr="00AE4A1B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AE4A1B">
              <w:t>Не</w:t>
            </w:r>
            <w:proofErr w:type="spellEnd"/>
            <w:r w:rsidRPr="00AE4A1B">
              <w:t xml:space="preserve"> </w:t>
            </w:r>
            <w:proofErr w:type="spellStart"/>
            <w:r w:rsidRPr="00AE4A1B">
              <w:t>менее</w:t>
            </w:r>
            <w:proofErr w:type="spellEnd"/>
            <w:r w:rsidRPr="00AE4A1B">
              <w:t xml:space="preserve"> </w:t>
            </w:r>
          </w:p>
          <w:p w:rsidR="00B8517A" w:rsidRPr="00AE4A1B" w:rsidRDefault="00B8517A" w:rsidP="00EF318E">
            <w:pPr>
              <w:tabs>
                <w:tab w:val="right" w:pos="9639"/>
              </w:tabs>
              <w:jc w:val="center"/>
            </w:pPr>
            <w:r w:rsidRPr="00AE4A1B">
              <w:t xml:space="preserve">12 </w:t>
            </w:r>
            <w:proofErr w:type="spellStart"/>
            <w:r w:rsidRPr="00AE4A1B">
              <w:t>см</w:t>
            </w:r>
            <w:proofErr w:type="spellEnd"/>
          </w:p>
        </w:tc>
        <w:tc>
          <w:tcPr>
            <w:tcW w:w="1417" w:type="dxa"/>
          </w:tcPr>
          <w:p w:rsidR="00B8517A" w:rsidRPr="00AE4A1B" w:rsidRDefault="00B8517A" w:rsidP="00EF318E">
            <w:pPr>
              <w:tabs>
                <w:tab w:val="right" w:pos="9639"/>
              </w:tabs>
              <w:jc w:val="center"/>
            </w:pPr>
            <w:r w:rsidRPr="00AE4A1B">
              <w:t>98</w:t>
            </w:r>
          </w:p>
        </w:tc>
        <w:tc>
          <w:tcPr>
            <w:tcW w:w="2294" w:type="dxa"/>
            <w:vMerge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  <w:rPr>
                <w:sz w:val="16"/>
              </w:rPr>
            </w:pPr>
          </w:p>
        </w:tc>
      </w:tr>
    </w:tbl>
    <w:p w:rsidR="00226058" w:rsidRDefault="00226058" w:rsidP="00226058"/>
    <w:p w:rsidR="00226058" w:rsidRPr="00226058" w:rsidRDefault="00226058" w:rsidP="00226058">
      <w:pPr>
        <w:ind w:left="1134" w:right="1134"/>
        <w:jc w:val="both"/>
        <w:rPr>
          <w:rFonts w:eastAsia="Calibri"/>
          <w:i/>
          <w:lang w:val="ru-RU"/>
        </w:rPr>
      </w:pPr>
      <w:proofErr w:type="gramStart"/>
      <w:r w:rsidRPr="00226058">
        <w:rPr>
          <w:i/>
          <w:lang w:val="ru-RU"/>
        </w:rPr>
        <w:t>*</w:t>
      </w:r>
      <w:r>
        <w:rPr>
          <w:i/>
          <w:vertAlign w:val="superscript"/>
          <w:lang w:val="ru-RU"/>
        </w:rPr>
        <w:t>)</w:t>
      </w:r>
      <w:r w:rsidRPr="00226058">
        <w:rPr>
          <w:i/>
          <w:vertAlign w:val="superscript"/>
          <w:lang w:val="ru-RU"/>
        </w:rPr>
        <w:tab/>
      </w:r>
      <w:r w:rsidRPr="00226058">
        <w:rPr>
          <w:rFonts w:eastAsia="Calibri"/>
          <w:i/>
          <w:lang w:val="ru-RU"/>
        </w:rPr>
        <w:t>Свободное пространство цистерны должно заполняться азотом таким образом, чтобы в случае понижения температуры давление внутри котла не опускалось ниже атмосферного.</w:t>
      </w:r>
      <w:proofErr w:type="gramEnd"/>
      <w:r w:rsidRPr="00226058">
        <w:rPr>
          <w:rFonts w:eastAsia="Calibri"/>
          <w:i/>
          <w:lang w:val="ru-RU"/>
        </w:rPr>
        <w:t xml:space="preserve"> Цистерна должна быть закрыта герметично, чтобы не происходило утечки газа.</w:t>
      </w:r>
    </w:p>
    <w:p w:rsidR="00226058" w:rsidRPr="00226058" w:rsidRDefault="00226058" w:rsidP="00226058">
      <w:pPr>
        <w:spacing w:before="120" w:after="120"/>
        <w:ind w:left="425" w:firstLine="709"/>
        <w:jc w:val="both"/>
        <w:rPr>
          <w:lang w:val="ru-RU"/>
        </w:rPr>
      </w:pPr>
      <w:r>
        <w:rPr>
          <w:rFonts w:eastAsia="Calibri"/>
          <w:lang w:val="ru-RU"/>
        </w:rPr>
        <w:t>3.2.</w:t>
      </w:r>
      <w:r w:rsidRPr="00226058">
        <w:rPr>
          <w:rFonts w:eastAsia="Calibri"/>
          <w:lang w:val="ru-RU"/>
        </w:rPr>
        <w:tab/>
      </w:r>
      <w:r w:rsidRPr="00226058">
        <w:rPr>
          <w:lang w:val="ru-RU"/>
        </w:rPr>
        <w:t xml:space="preserve">Изложить специальное положение </w:t>
      </w:r>
      <w:r>
        <w:rPr>
          <w:lang w:val="en-US"/>
        </w:rPr>
        <w:t>TU</w:t>
      </w:r>
      <w:r w:rsidRPr="00226058">
        <w:rPr>
          <w:lang w:val="ru-RU"/>
        </w:rPr>
        <w:t>16 в следующем виде:</w:t>
      </w:r>
    </w:p>
    <w:p w:rsidR="00226058" w:rsidRPr="00226058" w:rsidRDefault="00226058" w:rsidP="00B8517A">
      <w:pPr>
        <w:spacing w:before="120" w:after="120"/>
        <w:ind w:left="1134" w:right="1134"/>
        <w:jc w:val="both"/>
        <w:rPr>
          <w:rFonts w:eastAsia="Calibri"/>
          <w:lang w:val="ru-RU"/>
        </w:rPr>
      </w:pPr>
      <w:r w:rsidRPr="00226058">
        <w:rPr>
          <w:rFonts w:eastAsia="Calibri"/>
          <w:b/>
          <w:lang w:val="ru-RU"/>
        </w:rPr>
        <w:t>«</w:t>
      </w:r>
      <w:r w:rsidRPr="00752CC3">
        <w:rPr>
          <w:rFonts w:eastAsia="Calibri"/>
          <w:b/>
        </w:rPr>
        <w:t>TU</w:t>
      </w:r>
      <w:r w:rsidRPr="00226058">
        <w:rPr>
          <w:rFonts w:eastAsia="Calibri"/>
          <w:b/>
          <w:lang w:val="ru-RU"/>
        </w:rPr>
        <w:t>16</w:t>
      </w:r>
      <w:proofErr w:type="gramStart"/>
      <w:r w:rsidRPr="00226058">
        <w:rPr>
          <w:rFonts w:eastAsia="Calibri"/>
          <w:lang w:val="ru-RU"/>
        </w:rPr>
        <w:tab/>
        <w:t>П</w:t>
      </w:r>
      <w:proofErr w:type="gramEnd"/>
      <w:r w:rsidRPr="00226058">
        <w:rPr>
          <w:rFonts w:eastAsia="Calibri"/>
          <w:lang w:val="ru-RU"/>
        </w:rPr>
        <w:t>ри предъявлении к перевозке неочищенные порожние цистерны должны быть заполнены защитным агентом одним из следующих способов: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320"/>
        <w:gridCol w:w="1640"/>
        <w:gridCol w:w="4976"/>
      </w:tblGrid>
      <w:tr w:rsidR="00B8517A" w:rsidRPr="00514950" w:rsidTr="00EF318E">
        <w:tc>
          <w:tcPr>
            <w:tcW w:w="747" w:type="dxa"/>
            <w:vMerge w:val="restart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Защитный</w:t>
            </w:r>
            <w:proofErr w:type="spellEnd"/>
            <w:r w:rsidRPr="00EF7AF5">
              <w:t xml:space="preserve"> </w:t>
            </w:r>
            <w:proofErr w:type="spellStart"/>
            <w:r w:rsidRPr="00EF7AF5">
              <w:t>агент</w:t>
            </w:r>
            <w:proofErr w:type="spellEnd"/>
          </w:p>
        </w:tc>
        <w:tc>
          <w:tcPr>
            <w:tcW w:w="0" w:type="auto"/>
            <w:gridSpan w:val="2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t>Слой</w:t>
            </w:r>
            <w:proofErr w:type="spellEnd"/>
            <w:r w:rsidRPr="00EF7AF5">
              <w:t xml:space="preserve"> </w:t>
            </w:r>
            <w:proofErr w:type="spellStart"/>
            <w:r w:rsidRPr="00EF7AF5">
              <w:t>воды</w:t>
            </w:r>
            <w:proofErr w:type="spellEnd"/>
            <w:r w:rsidRPr="00EF7AF5">
              <w:t xml:space="preserve"> </w:t>
            </w:r>
          </w:p>
        </w:tc>
        <w:tc>
          <w:tcPr>
            <w:tcW w:w="4976" w:type="dxa"/>
            <w:vMerge w:val="restart"/>
          </w:tcPr>
          <w:p w:rsidR="00B8517A" w:rsidRPr="00B8517A" w:rsidRDefault="00B8517A" w:rsidP="00EF318E">
            <w:pPr>
              <w:tabs>
                <w:tab w:val="right" w:pos="9639"/>
              </w:tabs>
              <w:rPr>
                <w:lang w:val="ru-RU"/>
              </w:rPr>
            </w:pPr>
            <w:r w:rsidRPr="00B8517A">
              <w:rPr>
                <w:lang w:val="ru-RU"/>
              </w:rPr>
              <w:t>Особенности перевозки в холодный период года</w:t>
            </w:r>
          </w:p>
        </w:tc>
      </w:tr>
      <w:tr w:rsidR="00B8517A" w:rsidRPr="00EF7AF5" w:rsidTr="00EF318E">
        <w:tc>
          <w:tcPr>
            <w:tcW w:w="747" w:type="dxa"/>
            <w:vMerge/>
          </w:tcPr>
          <w:p w:rsidR="00B8517A" w:rsidRPr="00B8517A" w:rsidRDefault="00B8517A" w:rsidP="00EF318E">
            <w:pPr>
              <w:tabs>
                <w:tab w:val="right" w:pos="9639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B8517A" w:rsidRPr="00EF7AF5" w:rsidRDefault="00B8517A" w:rsidP="00EF318E">
            <w:pPr>
              <w:tabs>
                <w:tab w:val="right" w:pos="9639"/>
              </w:tabs>
            </w:pPr>
            <w:proofErr w:type="spellStart"/>
            <w:r w:rsidRPr="00EF7AF5">
              <w:t>вагон-цистерна</w:t>
            </w:r>
            <w:proofErr w:type="spellEnd"/>
            <w:r w:rsidRPr="00EF7AF5">
              <w:t xml:space="preserve"> </w:t>
            </w:r>
          </w:p>
        </w:tc>
        <w:tc>
          <w:tcPr>
            <w:tcW w:w="0" w:type="auto"/>
          </w:tcPr>
          <w:p w:rsidR="00B8517A" w:rsidRPr="00EF7AF5" w:rsidRDefault="00B8517A" w:rsidP="00EF318E">
            <w:pPr>
              <w:tabs>
                <w:tab w:val="right" w:pos="9639"/>
              </w:tabs>
            </w:pPr>
            <w:proofErr w:type="spellStart"/>
            <w:r w:rsidRPr="00EF7AF5">
              <w:t>контейнер-цистерна</w:t>
            </w:r>
            <w:proofErr w:type="spellEnd"/>
            <w:r w:rsidRPr="00EF7AF5">
              <w:t xml:space="preserve"> </w:t>
            </w:r>
          </w:p>
        </w:tc>
        <w:tc>
          <w:tcPr>
            <w:tcW w:w="4976" w:type="dxa"/>
            <w:vMerge/>
          </w:tcPr>
          <w:p w:rsidR="00B8517A" w:rsidRPr="00EF7AF5" w:rsidRDefault="00B8517A" w:rsidP="00EF318E">
            <w:pPr>
              <w:tabs>
                <w:tab w:val="right" w:pos="9639"/>
              </w:tabs>
            </w:pPr>
          </w:p>
        </w:tc>
      </w:tr>
      <w:tr w:rsidR="00B8517A" w:rsidRPr="00EF7AF5" w:rsidTr="00EF318E">
        <w:tc>
          <w:tcPr>
            <w:tcW w:w="747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rPr>
                <w:rFonts w:eastAsia="Calibri"/>
              </w:rPr>
              <w:t>Азот</w:t>
            </w:r>
            <w:proofErr w:type="spellEnd"/>
            <w:r w:rsidRPr="00EF7AF5">
              <w:rPr>
                <w:rFonts w:eastAsia="Calibri"/>
              </w:rPr>
              <w:t>*</w:t>
            </w:r>
          </w:p>
        </w:tc>
        <w:tc>
          <w:tcPr>
            <w:tcW w:w="0" w:type="auto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-</w:t>
            </w:r>
          </w:p>
        </w:tc>
        <w:tc>
          <w:tcPr>
            <w:tcW w:w="0" w:type="auto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-</w:t>
            </w:r>
          </w:p>
        </w:tc>
        <w:tc>
          <w:tcPr>
            <w:tcW w:w="4976" w:type="dxa"/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>-</w:t>
            </w:r>
          </w:p>
        </w:tc>
      </w:tr>
      <w:tr w:rsidR="00B8517A" w:rsidRPr="00514950" w:rsidTr="00EF318E">
        <w:trPr>
          <w:trHeight w:val="1482"/>
        </w:trPr>
        <w:tc>
          <w:tcPr>
            <w:tcW w:w="747" w:type="dxa"/>
            <w:tcBorders>
              <w:bottom w:val="single" w:sz="4" w:space="0" w:color="auto"/>
            </w:tcBorders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proofErr w:type="spellStart"/>
            <w:r w:rsidRPr="00EF7AF5">
              <w:rPr>
                <w:rFonts w:eastAsia="Calibri"/>
              </w:rPr>
              <w:t>Вода</w:t>
            </w:r>
            <w:proofErr w:type="spellEnd"/>
            <w:r w:rsidRPr="00EF7AF5">
              <w:rPr>
                <w:rFonts w:eastAsia="Calibri"/>
              </w:rPr>
              <w:t xml:space="preserve"> + </w:t>
            </w:r>
            <w:proofErr w:type="spellStart"/>
            <w:r w:rsidRPr="00EF7AF5">
              <w:rPr>
                <w:rFonts w:eastAsia="Calibri"/>
              </w:rPr>
              <w:t>азот</w:t>
            </w:r>
            <w:proofErr w:type="spellEnd"/>
            <w:r w:rsidRPr="00EF7AF5">
              <w:rPr>
                <w:rFonts w:eastAsia="Calibri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 xml:space="preserve">30 </w:t>
            </w:r>
            <w:proofErr w:type="spellStart"/>
            <w:r w:rsidRPr="00EF7AF5">
              <w:t>см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517A" w:rsidRPr="00EF7AF5" w:rsidRDefault="00B8517A" w:rsidP="00EF318E">
            <w:pPr>
              <w:tabs>
                <w:tab w:val="right" w:pos="9639"/>
              </w:tabs>
              <w:jc w:val="center"/>
            </w:pPr>
            <w:r w:rsidRPr="00EF7AF5">
              <w:t xml:space="preserve">30 </w:t>
            </w:r>
            <w:proofErr w:type="spellStart"/>
            <w:r w:rsidRPr="00EF7AF5">
              <w:t>см</w:t>
            </w:r>
            <w:proofErr w:type="spellEnd"/>
          </w:p>
        </w:tc>
        <w:tc>
          <w:tcPr>
            <w:tcW w:w="4976" w:type="dxa"/>
          </w:tcPr>
          <w:p w:rsidR="00B8517A" w:rsidRPr="00B8517A" w:rsidRDefault="00B8517A" w:rsidP="00EF318E">
            <w:pPr>
              <w:tabs>
                <w:tab w:val="right" w:pos="9639"/>
              </w:tabs>
              <w:jc w:val="both"/>
              <w:rPr>
                <w:lang w:val="ru-RU"/>
              </w:rPr>
            </w:pPr>
            <w:r w:rsidRPr="00B8517A">
              <w:rPr>
                <w:rFonts w:eastAsia="Calibri"/>
                <w:lang w:val="ru-RU"/>
              </w:rPr>
              <w:t>В воде должно содержаться достаточное количество антифриза для предотвращения ее замерзания. Антифриз должен быть лишен коррозионной активности и способности вступать в реакцию с веществом коррозионной активности и способности вступать в реакцию с веществом</w:t>
            </w:r>
          </w:p>
          <w:p w:rsidR="00B8517A" w:rsidRPr="00B8517A" w:rsidRDefault="00B8517A" w:rsidP="00EF318E">
            <w:pPr>
              <w:tabs>
                <w:tab w:val="right" w:pos="9639"/>
              </w:tabs>
              <w:jc w:val="center"/>
              <w:rPr>
                <w:lang w:val="ru-RU"/>
              </w:rPr>
            </w:pPr>
          </w:p>
        </w:tc>
      </w:tr>
    </w:tbl>
    <w:p w:rsidR="00226058" w:rsidRPr="00226058" w:rsidRDefault="00226058" w:rsidP="00226058">
      <w:pPr>
        <w:ind w:left="1134"/>
        <w:jc w:val="both"/>
        <w:rPr>
          <w:rFonts w:eastAsia="Calibri"/>
          <w:lang w:val="ru-RU"/>
        </w:rPr>
      </w:pPr>
    </w:p>
    <w:p w:rsidR="00226058" w:rsidRPr="00B8517A" w:rsidRDefault="00226058" w:rsidP="00226058">
      <w:pPr>
        <w:pStyle w:val="SingleTxtG"/>
        <w:spacing w:before="120"/>
        <w:rPr>
          <w:rFonts w:eastAsia="Calibri"/>
          <w:i/>
          <w:lang w:val="ru-RU"/>
        </w:rPr>
      </w:pPr>
      <w:proofErr w:type="gramStart"/>
      <w:r w:rsidRPr="00226058">
        <w:rPr>
          <w:rFonts w:eastAsia="Calibri"/>
          <w:i/>
          <w:lang w:val="ru-RU"/>
        </w:rPr>
        <w:t>*</w:t>
      </w:r>
      <w:r w:rsidRPr="00226058">
        <w:rPr>
          <w:rFonts w:eastAsia="Calibri"/>
          <w:i/>
          <w:vertAlign w:val="superscript"/>
          <w:lang w:val="ru-RU"/>
        </w:rPr>
        <w:t>)</w:t>
      </w:r>
      <w:r w:rsidRPr="00226058">
        <w:rPr>
          <w:rFonts w:eastAsia="Calibri"/>
          <w:i/>
          <w:vertAlign w:val="superscript"/>
          <w:lang w:val="ru-RU"/>
        </w:rPr>
        <w:tab/>
      </w:r>
      <w:r w:rsidRPr="00226058">
        <w:rPr>
          <w:rFonts w:eastAsia="Calibri"/>
          <w:i/>
          <w:lang w:val="ru-RU"/>
        </w:rPr>
        <w:t>Свободное пространство цистерны должно заполняться азотом таким образом, чтобы в случае понижения температуры давление внутри котла не опускалось ниже атмосферного.</w:t>
      </w:r>
      <w:proofErr w:type="gramEnd"/>
      <w:r w:rsidRPr="00226058">
        <w:rPr>
          <w:rFonts w:eastAsia="Calibri"/>
          <w:i/>
          <w:lang w:val="ru-RU"/>
        </w:rPr>
        <w:t xml:space="preserve"> </w:t>
      </w:r>
      <w:r w:rsidRPr="00B8517A">
        <w:rPr>
          <w:rFonts w:eastAsia="Calibri"/>
          <w:i/>
          <w:lang w:val="ru-RU"/>
        </w:rPr>
        <w:t>Цистерна должна закрываться герметично, чтобы не происходило утечки газа.</w:t>
      </w:r>
    </w:p>
    <w:p w:rsidR="00226058" w:rsidRPr="00226058" w:rsidRDefault="00226058" w:rsidP="00226058">
      <w:pPr>
        <w:pStyle w:val="SingleTxtG"/>
        <w:rPr>
          <w:i/>
          <w:lang w:val="ru-RU"/>
        </w:rPr>
      </w:pPr>
      <w:r w:rsidRPr="00226058">
        <w:rPr>
          <w:i/>
          <w:lang w:val="ru-RU"/>
        </w:rPr>
        <w:t>В накладной должна быть сделана дополнительная запись:</w:t>
      </w:r>
    </w:p>
    <w:p w:rsidR="00226058" w:rsidRPr="00226058" w:rsidRDefault="00226058" w:rsidP="00226058">
      <w:pPr>
        <w:pStyle w:val="SingleTxtG"/>
        <w:spacing w:before="120"/>
        <w:rPr>
          <w:rFonts w:eastAsia="Calibri"/>
          <w:i/>
          <w:lang w:val="ru-RU"/>
        </w:rPr>
      </w:pPr>
      <w:r w:rsidRPr="00226058">
        <w:rPr>
          <w:rFonts w:eastAsia="Calibri"/>
          <w:i/>
          <w:lang w:val="ru-RU"/>
        </w:rPr>
        <w:t xml:space="preserve">«Цистерна заполнена ___(указывается защитный агент) в соответствии со специальным положением TU16». При заполнении котла водой указывается её масса в </w:t>
      </w:r>
      <w:proofErr w:type="gramStart"/>
      <w:r w:rsidRPr="00226058">
        <w:rPr>
          <w:rFonts w:eastAsia="Calibri"/>
          <w:i/>
          <w:lang w:val="ru-RU"/>
        </w:rPr>
        <w:t>кг</w:t>
      </w:r>
      <w:proofErr w:type="gramEnd"/>
      <w:r w:rsidRPr="00226058">
        <w:rPr>
          <w:rFonts w:eastAsia="Calibri"/>
          <w:i/>
          <w:lang w:val="ru-RU"/>
        </w:rPr>
        <w:t>, при заполнении азотом - его давление в МПа или бар.</w:t>
      </w:r>
    </w:p>
    <w:p w:rsidR="00226058" w:rsidRPr="00B8517A" w:rsidRDefault="00226058" w:rsidP="00226058">
      <w:pPr>
        <w:pStyle w:val="HChG"/>
        <w:rPr>
          <w:lang w:val="ru-RU"/>
        </w:rPr>
      </w:pPr>
      <w:r w:rsidRPr="00B8517A">
        <w:rPr>
          <w:lang w:val="ru-RU"/>
        </w:rPr>
        <w:lastRenderedPageBreak/>
        <w:tab/>
      </w:r>
      <w:r w:rsidRPr="00B8517A">
        <w:rPr>
          <w:lang w:val="ru-RU"/>
        </w:rPr>
        <w:tab/>
        <w:t>Обоснование</w:t>
      </w:r>
    </w:p>
    <w:p w:rsidR="00226058" w:rsidRPr="00B8517A" w:rsidRDefault="00226058" w:rsidP="00226058">
      <w:pPr>
        <w:pStyle w:val="SingleTxtG"/>
        <w:rPr>
          <w:lang w:val="ru-RU"/>
        </w:rPr>
      </w:pPr>
      <w:r w:rsidRPr="00B8517A">
        <w:rPr>
          <w:lang w:val="ru-RU"/>
        </w:rPr>
        <w:t>4.</w:t>
      </w:r>
      <w:r w:rsidRPr="00B8517A">
        <w:rPr>
          <w:lang w:val="ru-RU"/>
        </w:rPr>
        <w:tab/>
        <w:t xml:space="preserve">Данные поправки упрощают правильное толкование участниками перевозки требований специальных положений </w:t>
      </w:r>
      <w:r>
        <w:rPr>
          <w:lang w:val="en-US"/>
        </w:rPr>
        <w:t>TU</w:t>
      </w:r>
      <w:r w:rsidRPr="00B8517A">
        <w:rPr>
          <w:lang w:val="ru-RU"/>
        </w:rPr>
        <w:t xml:space="preserve">21 и </w:t>
      </w:r>
      <w:r>
        <w:rPr>
          <w:lang w:val="en-US"/>
        </w:rPr>
        <w:t>TU</w:t>
      </w:r>
      <w:r w:rsidRPr="00B8517A">
        <w:rPr>
          <w:lang w:val="ru-RU"/>
        </w:rPr>
        <w:t xml:space="preserve">16, логически согласовывают специальные положения </w:t>
      </w:r>
      <w:r>
        <w:rPr>
          <w:lang w:val="en-US"/>
        </w:rPr>
        <w:t>TU</w:t>
      </w:r>
      <w:r w:rsidRPr="00B8517A">
        <w:rPr>
          <w:lang w:val="ru-RU"/>
        </w:rPr>
        <w:t xml:space="preserve">21 и </w:t>
      </w:r>
      <w:r>
        <w:rPr>
          <w:lang w:val="en-US"/>
        </w:rPr>
        <w:t>TU</w:t>
      </w:r>
      <w:r w:rsidRPr="00B8517A">
        <w:rPr>
          <w:lang w:val="ru-RU"/>
        </w:rPr>
        <w:t xml:space="preserve">16 между собой, а также исключают из специального положения   </w:t>
      </w:r>
      <w:r>
        <w:rPr>
          <w:lang w:val="en-US"/>
        </w:rPr>
        <w:t>TU</w:t>
      </w:r>
      <w:r w:rsidRPr="00B8517A">
        <w:rPr>
          <w:lang w:val="ru-RU"/>
        </w:rPr>
        <w:t>16  экологически не обоснованный способ защиты.</w:t>
      </w:r>
    </w:p>
    <w:p w:rsidR="00226058" w:rsidRPr="00B8517A" w:rsidRDefault="00226058" w:rsidP="00226058">
      <w:pPr>
        <w:pStyle w:val="HChG"/>
        <w:rPr>
          <w:lang w:val="ru-RU"/>
        </w:rPr>
      </w:pPr>
      <w:r w:rsidRPr="00B8517A">
        <w:rPr>
          <w:lang w:val="ru-RU"/>
        </w:rPr>
        <w:tab/>
      </w:r>
      <w:r w:rsidRPr="00B8517A">
        <w:rPr>
          <w:lang w:val="ru-RU"/>
        </w:rPr>
        <w:tab/>
        <w:t>Обеспечение применения</w:t>
      </w:r>
    </w:p>
    <w:p w:rsidR="00226058" w:rsidRPr="00B8517A" w:rsidRDefault="00226058" w:rsidP="00226058">
      <w:pPr>
        <w:pStyle w:val="SingleTxtG"/>
        <w:rPr>
          <w:lang w:val="ru-RU"/>
        </w:rPr>
      </w:pPr>
      <w:r w:rsidRPr="00B8517A">
        <w:rPr>
          <w:lang w:val="ru-RU"/>
        </w:rPr>
        <w:t>5.</w:t>
      </w:r>
      <w:r w:rsidRPr="00B8517A">
        <w:rPr>
          <w:lang w:val="ru-RU"/>
        </w:rPr>
        <w:tab/>
        <w:t>Каких-либо трудностей с обеспечением применения данной поправки не предвидится.</w:t>
      </w:r>
    </w:p>
    <w:p w:rsidR="00226058" w:rsidRPr="00226058" w:rsidRDefault="00226058" w:rsidP="00226058">
      <w:pPr>
        <w:spacing w:before="240"/>
        <w:jc w:val="center"/>
        <w:rPr>
          <w:lang w:val="ru-RU"/>
        </w:rPr>
      </w:pPr>
      <w:r w:rsidRPr="00226058">
        <w:rPr>
          <w:u w:val="single"/>
          <w:lang w:val="ru-RU"/>
        </w:rPr>
        <w:tab/>
      </w:r>
      <w:r w:rsidRPr="00226058">
        <w:rPr>
          <w:u w:val="single"/>
          <w:lang w:val="ru-RU"/>
        </w:rPr>
        <w:tab/>
      </w:r>
      <w:r w:rsidRPr="00226058">
        <w:rPr>
          <w:u w:val="single"/>
          <w:lang w:val="ru-RU"/>
        </w:rPr>
        <w:tab/>
      </w:r>
    </w:p>
    <w:sectPr w:rsidR="00226058" w:rsidRPr="00226058" w:rsidSect="00AB2E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84" w:rsidRDefault="00A15584"/>
  </w:endnote>
  <w:endnote w:type="continuationSeparator" w:id="0">
    <w:p w:rsidR="00A15584" w:rsidRDefault="00A15584"/>
  </w:endnote>
  <w:endnote w:type="continuationNotice" w:id="1">
    <w:p w:rsidR="00A15584" w:rsidRDefault="00A15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AB2EDE" w:rsidRDefault="00A15584" w:rsidP="00AB2EDE">
    <w:pPr>
      <w:pStyle w:val="Footer"/>
      <w:rPr>
        <w:b/>
        <w:sz w:val="18"/>
        <w:szCs w:val="18"/>
      </w:rPr>
    </w:pPr>
    <w:r w:rsidRPr="00AB2EDE">
      <w:rPr>
        <w:b/>
        <w:sz w:val="18"/>
        <w:szCs w:val="18"/>
      </w:rPr>
      <w:fldChar w:fldCharType="begin"/>
    </w:r>
    <w:r w:rsidRPr="00AB2EDE">
      <w:rPr>
        <w:b/>
        <w:sz w:val="18"/>
        <w:szCs w:val="18"/>
      </w:rPr>
      <w:instrText xml:space="preserve"> PAGE   \* MERGEFORMAT </w:instrText>
    </w:r>
    <w:r w:rsidRPr="00AB2EDE">
      <w:rPr>
        <w:b/>
        <w:sz w:val="18"/>
        <w:szCs w:val="18"/>
      </w:rPr>
      <w:fldChar w:fldCharType="separate"/>
    </w:r>
    <w:r w:rsidR="00514950">
      <w:rPr>
        <w:b/>
        <w:noProof/>
        <w:sz w:val="18"/>
        <w:szCs w:val="18"/>
      </w:rPr>
      <w:t>2</w:t>
    </w:r>
    <w:r w:rsidRPr="00AB2ED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012B8B" w:rsidRDefault="00A15584">
    <w:pPr>
      <w:pStyle w:val="Footer"/>
      <w:jc w:val="right"/>
      <w:rPr>
        <w:b/>
        <w:sz w:val="18"/>
        <w:szCs w:val="18"/>
      </w:rPr>
    </w:pPr>
    <w:r w:rsidRPr="00012B8B">
      <w:rPr>
        <w:b/>
        <w:sz w:val="18"/>
        <w:szCs w:val="18"/>
      </w:rPr>
      <w:fldChar w:fldCharType="begin"/>
    </w:r>
    <w:r w:rsidRPr="00012B8B">
      <w:rPr>
        <w:b/>
        <w:sz w:val="18"/>
        <w:szCs w:val="18"/>
      </w:rPr>
      <w:instrText xml:space="preserve"> PAGE   \* MERGEFORMAT </w:instrText>
    </w:r>
    <w:r w:rsidRPr="00012B8B">
      <w:rPr>
        <w:b/>
        <w:sz w:val="18"/>
        <w:szCs w:val="18"/>
      </w:rPr>
      <w:fldChar w:fldCharType="separate"/>
    </w:r>
    <w:r w:rsidR="00514950">
      <w:rPr>
        <w:b/>
        <w:noProof/>
        <w:sz w:val="18"/>
        <w:szCs w:val="18"/>
      </w:rPr>
      <w:t>3</w:t>
    </w:r>
    <w:r w:rsidRPr="00012B8B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84" w:rsidRPr="000B175B" w:rsidRDefault="00A155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5584" w:rsidRPr="00FC68B7" w:rsidRDefault="00A155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15584" w:rsidRDefault="00A15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0B09FC" w:rsidRDefault="00A15584">
    <w:pPr>
      <w:pStyle w:val="Header"/>
      <w:rPr>
        <w:szCs w:val="18"/>
        <w:lang w:val="fr-CH"/>
      </w:rPr>
    </w:pPr>
    <w:r w:rsidRPr="000B09FC">
      <w:rPr>
        <w:szCs w:val="18"/>
        <w:lang w:val="fr-CH"/>
      </w:rPr>
      <w:t>INF.1</w:t>
    </w:r>
    <w:r>
      <w:rPr>
        <w:szCs w:val="18"/>
        <w:lang w:val="fr-CH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4" w:rsidRPr="000B09FC" w:rsidRDefault="00A15584" w:rsidP="00AB2EDE">
    <w:pPr>
      <w:pStyle w:val="Header"/>
      <w:pBdr>
        <w:bottom w:val="single" w:sz="4" w:space="1" w:color="auto"/>
      </w:pBdr>
      <w:jc w:val="right"/>
      <w:rPr>
        <w:szCs w:val="18"/>
        <w:lang w:val="fr-CH"/>
      </w:rPr>
    </w:pPr>
    <w:r w:rsidRPr="000B09FC">
      <w:rPr>
        <w:szCs w:val="18"/>
        <w:lang w:val="fr-CH"/>
      </w:rPr>
      <w:t>INF.1</w:t>
    </w:r>
    <w:r>
      <w:rPr>
        <w:szCs w:val="18"/>
        <w:lang w:val="fr-CH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73E61B3"/>
    <w:multiLevelType w:val="hybridMultilevel"/>
    <w:tmpl w:val="BACCC9DA"/>
    <w:lvl w:ilvl="0" w:tplc="55E0CF2E">
      <w:start w:val="4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12B8B"/>
    <w:rsid w:val="00037F90"/>
    <w:rsid w:val="00046B1F"/>
    <w:rsid w:val="00050F6B"/>
    <w:rsid w:val="00057E97"/>
    <w:rsid w:val="00072972"/>
    <w:rsid w:val="00072C8C"/>
    <w:rsid w:val="000733B5"/>
    <w:rsid w:val="00081364"/>
    <w:rsid w:val="00081815"/>
    <w:rsid w:val="000931C0"/>
    <w:rsid w:val="00096262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847D2"/>
    <w:rsid w:val="00184AC9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26058"/>
    <w:rsid w:val="0024023A"/>
    <w:rsid w:val="00243217"/>
    <w:rsid w:val="00252290"/>
    <w:rsid w:val="0026060C"/>
    <w:rsid w:val="00267F5F"/>
    <w:rsid w:val="00286B4D"/>
    <w:rsid w:val="002A3C85"/>
    <w:rsid w:val="002A603B"/>
    <w:rsid w:val="002D4643"/>
    <w:rsid w:val="002D4B6C"/>
    <w:rsid w:val="002D7F5E"/>
    <w:rsid w:val="002F175C"/>
    <w:rsid w:val="00302E18"/>
    <w:rsid w:val="00303B03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6D1"/>
    <w:rsid w:val="003C2CC4"/>
    <w:rsid w:val="003D4B23"/>
    <w:rsid w:val="00410C89"/>
    <w:rsid w:val="00422E03"/>
    <w:rsid w:val="00426B9B"/>
    <w:rsid w:val="004325CB"/>
    <w:rsid w:val="004356D2"/>
    <w:rsid w:val="00442A83"/>
    <w:rsid w:val="00446782"/>
    <w:rsid w:val="0045495B"/>
    <w:rsid w:val="00464C81"/>
    <w:rsid w:val="0048397A"/>
    <w:rsid w:val="004975C1"/>
    <w:rsid w:val="004A12F2"/>
    <w:rsid w:val="004A28A3"/>
    <w:rsid w:val="004C0C86"/>
    <w:rsid w:val="004C2461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14950"/>
    <w:rsid w:val="00516A8A"/>
    <w:rsid w:val="0052136D"/>
    <w:rsid w:val="00522B58"/>
    <w:rsid w:val="00523CD7"/>
    <w:rsid w:val="0052775E"/>
    <w:rsid w:val="005420F2"/>
    <w:rsid w:val="00543B68"/>
    <w:rsid w:val="00546993"/>
    <w:rsid w:val="005628B6"/>
    <w:rsid w:val="00563634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52D2B"/>
    <w:rsid w:val="006623D5"/>
    <w:rsid w:val="00662BB6"/>
    <w:rsid w:val="00667F8F"/>
    <w:rsid w:val="006741F1"/>
    <w:rsid w:val="00684C21"/>
    <w:rsid w:val="00690828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611CF"/>
    <w:rsid w:val="00761787"/>
    <w:rsid w:val="007629C8"/>
    <w:rsid w:val="00764668"/>
    <w:rsid w:val="0077047D"/>
    <w:rsid w:val="00774AF7"/>
    <w:rsid w:val="00776430"/>
    <w:rsid w:val="0079757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005E9"/>
    <w:rsid w:val="00801498"/>
    <w:rsid w:val="008116D7"/>
    <w:rsid w:val="00811920"/>
    <w:rsid w:val="00815AD0"/>
    <w:rsid w:val="008242D7"/>
    <w:rsid w:val="008257B1"/>
    <w:rsid w:val="00826C3D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42BD"/>
    <w:rsid w:val="008C7DAF"/>
    <w:rsid w:val="008E0678"/>
    <w:rsid w:val="008E0DAA"/>
    <w:rsid w:val="008E4D3A"/>
    <w:rsid w:val="009223CA"/>
    <w:rsid w:val="00940F93"/>
    <w:rsid w:val="0094558F"/>
    <w:rsid w:val="0095387D"/>
    <w:rsid w:val="00961690"/>
    <w:rsid w:val="009760F3"/>
    <w:rsid w:val="0098203C"/>
    <w:rsid w:val="00995CC5"/>
    <w:rsid w:val="009A0E8D"/>
    <w:rsid w:val="009B1518"/>
    <w:rsid w:val="009B26E7"/>
    <w:rsid w:val="009C454F"/>
    <w:rsid w:val="009D2A5B"/>
    <w:rsid w:val="009E1D8E"/>
    <w:rsid w:val="00A00A3F"/>
    <w:rsid w:val="00A01489"/>
    <w:rsid w:val="00A05642"/>
    <w:rsid w:val="00A15584"/>
    <w:rsid w:val="00A3009E"/>
    <w:rsid w:val="00A3026E"/>
    <w:rsid w:val="00A338F1"/>
    <w:rsid w:val="00A45AB0"/>
    <w:rsid w:val="00A72F22"/>
    <w:rsid w:val="00A7360F"/>
    <w:rsid w:val="00A748A6"/>
    <w:rsid w:val="00A769F4"/>
    <w:rsid w:val="00A776B4"/>
    <w:rsid w:val="00A94361"/>
    <w:rsid w:val="00AA293C"/>
    <w:rsid w:val="00AA66C0"/>
    <w:rsid w:val="00AB2EDE"/>
    <w:rsid w:val="00AD44C2"/>
    <w:rsid w:val="00AD48FA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04E"/>
    <w:rsid w:val="00B6553F"/>
    <w:rsid w:val="00B70F1E"/>
    <w:rsid w:val="00B77D05"/>
    <w:rsid w:val="00B81206"/>
    <w:rsid w:val="00B81E12"/>
    <w:rsid w:val="00B8517A"/>
    <w:rsid w:val="00B9429F"/>
    <w:rsid w:val="00BA2681"/>
    <w:rsid w:val="00BB7CD1"/>
    <w:rsid w:val="00BC3FA0"/>
    <w:rsid w:val="00BC4712"/>
    <w:rsid w:val="00BC74E9"/>
    <w:rsid w:val="00BE48E6"/>
    <w:rsid w:val="00BF15A1"/>
    <w:rsid w:val="00BF68A8"/>
    <w:rsid w:val="00C10FE6"/>
    <w:rsid w:val="00C11A03"/>
    <w:rsid w:val="00C22C0C"/>
    <w:rsid w:val="00C4527F"/>
    <w:rsid w:val="00C45CA2"/>
    <w:rsid w:val="00C463DD"/>
    <w:rsid w:val="00C467C9"/>
    <w:rsid w:val="00C4724C"/>
    <w:rsid w:val="00C629A0"/>
    <w:rsid w:val="00C64629"/>
    <w:rsid w:val="00C73056"/>
    <w:rsid w:val="00C745C3"/>
    <w:rsid w:val="00CB3E03"/>
    <w:rsid w:val="00CD57D2"/>
    <w:rsid w:val="00CE4A8F"/>
    <w:rsid w:val="00D00610"/>
    <w:rsid w:val="00D2031B"/>
    <w:rsid w:val="00D25FE2"/>
    <w:rsid w:val="00D43252"/>
    <w:rsid w:val="00D47EEA"/>
    <w:rsid w:val="00D54165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DC29AE"/>
    <w:rsid w:val="00DF3C94"/>
    <w:rsid w:val="00E046DF"/>
    <w:rsid w:val="00E13B15"/>
    <w:rsid w:val="00E15557"/>
    <w:rsid w:val="00E27346"/>
    <w:rsid w:val="00E55E1E"/>
    <w:rsid w:val="00E71BC8"/>
    <w:rsid w:val="00E7260F"/>
    <w:rsid w:val="00E73F5D"/>
    <w:rsid w:val="00E77E4E"/>
    <w:rsid w:val="00E96630"/>
    <w:rsid w:val="00EC106A"/>
    <w:rsid w:val="00EC32A0"/>
    <w:rsid w:val="00ED6EF8"/>
    <w:rsid w:val="00ED7A2A"/>
    <w:rsid w:val="00EE6B3A"/>
    <w:rsid w:val="00EF1D7F"/>
    <w:rsid w:val="00F12D54"/>
    <w:rsid w:val="00F227A6"/>
    <w:rsid w:val="00F24FB3"/>
    <w:rsid w:val="00F27D2C"/>
    <w:rsid w:val="00F31E5F"/>
    <w:rsid w:val="00F36F0D"/>
    <w:rsid w:val="00F4272A"/>
    <w:rsid w:val="00F6100A"/>
    <w:rsid w:val="00F66565"/>
    <w:rsid w:val="00F93781"/>
    <w:rsid w:val="00FB613B"/>
    <w:rsid w:val="00FC2B1F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8465D9"/>
    <w:rPr>
      <w:rFonts w:cs="Courier New"/>
    </w:rPr>
  </w:style>
  <w:style w:type="paragraph" w:styleId="BodyText">
    <w:name w:val="Body Text"/>
    <w:basedOn w:val="Normal"/>
    <w:next w:val="Normal"/>
    <w:semiHidden/>
    <w:rsid w:val="008465D9"/>
  </w:style>
  <w:style w:type="paragraph" w:styleId="BodyTextIndent">
    <w:name w:val="Body Text Indent"/>
    <w:basedOn w:val="Normal"/>
    <w:semiHidden/>
    <w:rsid w:val="008465D9"/>
    <w:pPr>
      <w:spacing w:after="120"/>
      <w:ind w:left="283"/>
    </w:pPr>
  </w:style>
  <w:style w:type="paragraph" w:styleId="BlockText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8465D9"/>
    <w:rPr>
      <w:sz w:val="6"/>
    </w:rPr>
  </w:style>
  <w:style w:type="paragraph" w:styleId="CommentText">
    <w:name w:val="annotation text"/>
    <w:basedOn w:val="Normal"/>
    <w:semiHidden/>
    <w:rsid w:val="008465D9"/>
  </w:style>
  <w:style w:type="character" w:styleId="LineNumber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aliases w:val="3_G Char"/>
    <w:link w:val="Footer"/>
    <w:uiPriority w:val="99"/>
    <w:rsid w:val="00AB2EDE"/>
    <w:rPr>
      <w:sz w:val="16"/>
      <w:lang w:val="en-GB" w:eastAsia="en-US"/>
    </w:rPr>
  </w:style>
  <w:style w:type="paragraph" w:customStyle="1" w:styleId="H1GR">
    <w:name w:val="_ H_1_GR"/>
    <w:basedOn w:val="Normal"/>
    <w:next w:val="Normal"/>
    <w:rsid w:val="0022605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ChGR">
    <w:name w:val="_ H _Ch_GR"/>
    <w:basedOn w:val="Normal"/>
    <w:next w:val="Normal"/>
    <w:rsid w:val="002260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rsid w:val="0022605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SingleTxt">
    <w:name w:val="__Single Txt"/>
    <w:basedOn w:val="Normal"/>
    <w:qFormat/>
    <w:rsid w:val="0022605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8465D9"/>
    <w:rPr>
      <w:rFonts w:cs="Courier New"/>
    </w:rPr>
  </w:style>
  <w:style w:type="paragraph" w:styleId="BodyText">
    <w:name w:val="Body Text"/>
    <w:basedOn w:val="Normal"/>
    <w:next w:val="Normal"/>
    <w:semiHidden/>
    <w:rsid w:val="008465D9"/>
  </w:style>
  <w:style w:type="paragraph" w:styleId="BodyTextIndent">
    <w:name w:val="Body Text Indent"/>
    <w:basedOn w:val="Normal"/>
    <w:semiHidden/>
    <w:rsid w:val="008465D9"/>
    <w:pPr>
      <w:spacing w:after="120"/>
      <w:ind w:left="283"/>
    </w:pPr>
  </w:style>
  <w:style w:type="paragraph" w:styleId="BlockText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8465D9"/>
    <w:rPr>
      <w:sz w:val="6"/>
    </w:rPr>
  </w:style>
  <w:style w:type="paragraph" w:styleId="CommentText">
    <w:name w:val="annotation text"/>
    <w:basedOn w:val="Normal"/>
    <w:semiHidden/>
    <w:rsid w:val="008465D9"/>
  </w:style>
  <w:style w:type="character" w:styleId="LineNumber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aliases w:val="3_G Char"/>
    <w:link w:val="Footer"/>
    <w:uiPriority w:val="99"/>
    <w:rsid w:val="00AB2EDE"/>
    <w:rPr>
      <w:sz w:val="16"/>
      <w:lang w:val="en-GB" w:eastAsia="en-US"/>
    </w:rPr>
  </w:style>
  <w:style w:type="paragraph" w:customStyle="1" w:styleId="H1GR">
    <w:name w:val="_ H_1_GR"/>
    <w:basedOn w:val="Normal"/>
    <w:next w:val="Normal"/>
    <w:rsid w:val="0022605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HChGR">
    <w:name w:val="_ H _Ch_GR"/>
    <w:basedOn w:val="Normal"/>
    <w:next w:val="Normal"/>
    <w:rsid w:val="0022605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rsid w:val="0022605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SingleTxt">
    <w:name w:val="__Single Txt"/>
    <w:basedOn w:val="Normal"/>
    <w:qFormat/>
    <w:rsid w:val="0022605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9EA6-EB9C-4DE2-B1C5-DBE58527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5</cp:revision>
  <cp:lastPrinted>2016-02-04T07:08:00Z</cp:lastPrinted>
  <dcterms:created xsi:type="dcterms:W3CDTF">2016-02-15T09:30:00Z</dcterms:created>
  <dcterms:modified xsi:type="dcterms:W3CDTF">2016-02-15T12:44:00Z</dcterms:modified>
</cp:coreProperties>
</file>