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CE14CA">
            <w:pPr>
              <w:suppressAutoHyphens w:val="0"/>
              <w:spacing w:after="20"/>
              <w:jc w:val="right"/>
              <w:rPr>
                <w:b/>
                <w:sz w:val="24"/>
                <w:szCs w:val="24"/>
              </w:rPr>
            </w:pPr>
            <w:r w:rsidRPr="00507993">
              <w:rPr>
                <w:b/>
                <w:sz w:val="24"/>
                <w:szCs w:val="24"/>
              </w:rPr>
              <w:t>INF.</w:t>
            </w:r>
            <w:r w:rsidR="00F56CDF">
              <w:rPr>
                <w:b/>
                <w:sz w:val="24"/>
                <w:szCs w:val="24"/>
              </w:rPr>
              <w:t>1</w:t>
            </w:r>
            <w:r w:rsidR="00CE14CA">
              <w:rPr>
                <w:b/>
                <w:sz w:val="24"/>
                <w:szCs w:val="24"/>
              </w:rPr>
              <w:t>8</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083DD8">
        <w:rPr>
          <w:b/>
        </w:rPr>
        <w:t>1</w:t>
      </w:r>
      <w:r w:rsidR="00CE14CA">
        <w:rPr>
          <w:b/>
        </w:rPr>
        <w:t>6</w:t>
      </w:r>
      <w:r w:rsidR="00BE48E6">
        <w:rPr>
          <w:b/>
        </w:rPr>
        <w:t xml:space="preserve"> February</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1847D2">
        <w:t>2</w:t>
      </w:r>
      <w:r w:rsidRPr="00A55B4D">
        <w:t xml:space="preserve"> of the provisional agenda</w:t>
      </w:r>
    </w:p>
    <w:p w:rsidR="004975C1" w:rsidRPr="00BB7CD1" w:rsidRDefault="001847D2" w:rsidP="00563634">
      <w:pPr>
        <w:rPr>
          <w:b/>
        </w:rPr>
      </w:pPr>
      <w:r>
        <w:rPr>
          <w:b/>
        </w:rPr>
        <w:t>Tanks</w:t>
      </w:r>
    </w:p>
    <w:p w:rsidR="008005E9" w:rsidRPr="008A253A" w:rsidRDefault="009B1518" w:rsidP="008005E9">
      <w:pPr>
        <w:pStyle w:val="HChG"/>
      </w:pPr>
      <w:r>
        <w:tab/>
      </w:r>
      <w:r>
        <w:tab/>
      </w:r>
      <w:r w:rsidR="00905C34">
        <w:t>Service equipment</w:t>
      </w:r>
      <w:r w:rsidR="008005E9">
        <w:t xml:space="preserve"> on tanks</w:t>
      </w:r>
    </w:p>
    <w:p w:rsidR="008005E9" w:rsidRPr="008A253A" w:rsidRDefault="008005E9" w:rsidP="008005E9">
      <w:pPr>
        <w:pStyle w:val="H1G"/>
        <w:spacing w:before="240" w:after="120" w:line="223" w:lineRule="auto"/>
        <w:ind w:right="-6"/>
        <w:rPr>
          <w:rFonts w:ascii="(Asiatische Schriftart verwende" w:hAnsi="(Asiatische Schriftart verwende"/>
          <w:snapToGrid w:val="0"/>
          <w:szCs w:val="24"/>
          <w:lang w:eastAsia="de-DE"/>
        </w:rPr>
      </w:pPr>
      <w:r w:rsidRPr="008A253A">
        <w:tab/>
      </w:r>
      <w:r w:rsidRPr="008A253A">
        <w:tab/>
        <w:t xml:space="preserve">Transmitted by the </w:t>
      </w:r>
      <w:r w:rsidR="00905C34">
        <w:t>European Industrial Gases Association (EIGA)</w:t>
      </w:r>
    </w:p>
    <w:p w:rsidR="00083DD8" w:rsidRPr="00565DDD" w:rsidRDefault="00083DD8" w:rsidP="00083DD8">
      <w:pPr>
        <w:pStyle w:val="HChG"/>
      </w:pPr>
      <w:r>
        <w:tab/>
      </w:r>
      <w:r>
        <w:tab/>
        <w:t>Introduction</w:t>
      </w:r>
    </w:p>
    <w:p w:rsidR="00083DD8" w:rsidRDefault="007B09CB" w:rsidP="00083DD8">
      <w:pPr>
        <w:pStyle w:val="SingleTxtG"/>
      </w:pPr>
      <w:r>
        <w:t>1.</w:t>
      </w:r>
      <w:r>
        <w:tab/>
        <w:t xml:space="preserve">The informal working group on </w:t>
      </w:r>
      <w:r w:rsidRPr="00A62F57">
        <w:t>“Provisions on equipment for tanks and pressure receptacles”</w:t>
      </w:r>
      <w:r>
        <w:t xml:space="preserve"> has almost completed its considerations concerning pressure receptacles and would like to turn its attention to the final element of its terms of reference which concerns tanks.  Delegates may wish to be reminded of the three headings of these terms of reference as follows.</w:t>
      </w:r>
    </w:p>
    <w:p w:rsidR="00083DD8" w:rsidRPr="007B09CB" w:rsidRDefault="00083DD8" w:rsidP="007B09CB">
      <w:pPr>
        <w:pStyle w:val="H23G"/>
        <w:ind w:left="1701"/>
        <w:rPr>
          <w:b w:val="0"/>
        </w:rPr>
      </w:pPr>
      <w:r w:rsidRPr="007B09CB">
        <w:rPr>
          <w:b w:val="0"/>
        </w:rPr>
        <w:tab/>
      </w:r>
      <w:r w:rsidR="007B09CB">
        <w:rPr>
          <w:b w:val="0"/>
        </w:rPr>
        <w:tab/>
      </w:r>
      <w:r w:rsidR="00EB07A8">
        <w:rPr>
          <w:b w:val="0"/>
        </w:rPr>
        <w:t>(</w:t>
      </w:r>
      <w:proofErr w:type="spellStart"/>
      <w:r w:rsidR="00EB07A8">
        <w:rPr>
          <w:b w:val="0"/>
        </w:rPr>
        <w:t>i</w:t>
      </w:r>
      <w:proofErr w:type="spellEnd"/>
      <w:r w:rsidR="00EB07A8">
        <w:rPr>
          <w:b w:val="0"/>
        </w:rPr>
        <w:t>)</w:t>
      </w:r>
      <w:r w:rsidRPr="007B09CB">
        <w:rPr>
          <w:b w:val="0"/>
        </w:rPr>
        <w:tab/>
        <w:t>Clarification of meaning of the term of the term “pressure receptacle” to include or exclude their closures</w:t>
      </w:r>
      <w:r w:rsidR="00EB07A8">
        <w:rPr>
          <w:b w:val="0"/>
        </w:rPr>
        <w:t>;</w:t>
      </w:r>
    </w:p>
    <w:p w:rsidR="00083DD8" w:rsidRPr="007B09CB" w:rsidRDefault="00083DD8" w:rsidP="007B09CB">
      <w:pPr>
        <w:pStyle w:val="H23G"/>
        <w:ind w:left="1701"/>
        <w:rPr>
          <w:b w:val="0"/>
        </w:rPr>
      </w:pPr>
      <w:r w:rsidRPr="007B09CB">
        <w:rPr>
          <w:b w:val="0"/>
        </w:rPr>
        <w:tab/>
      </w:r>
      <w:r w:rsidR="007B09CB">
        <w:rPr>
          <w:b w:val="0"/>
        </w:rPr>
        <w:tab/>
      </w:r>
      <w:r w:rsidR="00EB07A8">
        <w:rPr>
          <w:b w:val="0"/>
        </w:rPr>
        <w:t>(ii)</w:t>
      </w:r>
      <w:r w:rsidRPr="007B09CB">
        <w:rPr>
          <w:b w:val="0"/>
        </w:rPr>
        <w:tab/>
        <w:t>Investigation of the completeness of requirements on the design, conformity assessment and marking of closures of pressur</w:t>
      </w:r>
      <w:r w:rsidR="00EB07A8">
        <w:rPr>
          <w:b w:val="0"/>
        </w:rPr>
        <w:t>e receptacles;</w:t>
      </w:r>
      <w:r w:rsidRPr="007B09CB">
        <w:rPr>
          <w:b w:val="0"/>
        </w:rPr>
        <w:t xml:space="preserve"> </w:t>
      </w:r>
    </w:p>
    <w:p w:rsidR="00083DD8" w:rsidRPr="007B09CB" w:rsidRDefault="00083DD8" w:rsidP="007B09CB">
      <w:pPr>
        <w:pStyle w:val="H23G"/>
        <w:ind w:left="1701"/>
        <w:rPr>
          <w:b w:val="0"/>
        </w:rPr>
      </w:pPr>
      <w:r w:rsidRPr="007B09CB">
        <w:rPr>
          <w:b w:val="0"/>
        </w:rPr>
        <w:tab/>
      </w:r>
      <w:r w:rsidR="007B09CB">
        <w:rPr>
          <w:b w:val="0"/>
        </w:rPr>
        <w:tab/>
      </w:r>
      <w:r w:rsidR="00EB07A8">
        <w:rPr>
          <w:b w:val="0"/>
        </w:rPr>
        <w:t>(iii)</w:t>
      </w:r>
      <w:r w:rsidRPr="007B09CB">
        <w:rPr>
          <w:b w:val="0"/>
        </w:rPr>
        <w:tab/>
        <w:t>Investigation of the completeness of requirements on the design, conformity assessment a</w:t>
      </w:r>
      <w:r w:rsidR="007B09CB">
        <w:rPr>
          <w:b w:val="0"/>
        </w:rPr>
        <w:t>nd marking of service equipment</w:t>
      </w:r>
      <w:r w:rsidRPr="007B09CB">
        <w:rPr>
          <w:b w:val="0"/>
        </w:rPr>
        <w:t xml:space="preserve"> of </w:t>
      </w:r>
      <w:r w:rsidRPr="00EB07A8">
        <w:t>tanks</w:t>
      </w:r>
      <w:r w:rsidRPr="007B09CB">
        <w:rPr>
          <w:b w:val="0"/>
        </w:rPr>
        <w:t xml:space="preserve">. </w:t>
      </w:r>
    </w:p>
    <w:p w:rsidR="00083DD8" w:rsidRDefault="007B09CB" w:rsidP="000B09FC">
      <w:pPr>
        <w:pStyle w:val="SingleTxtG"/>
        <w:rPr>
          <w:rFonts w:eastAsia="SimSun"/>
          <w:lang w:val="en-US" w:eastAsia="zh-CN"/>
        </w:rPr>
      </w:pPr>
      <w:r>
        <w:rPr>
          <w:rFonts w:eastAsia="SimSun"/>
          <w:lang w:val="en-US" w:eastAsia="zh-CN"/>
        </w:rPr>
        <w:t>2.</w:t>
      </w:r>
      <w:r>
        <w:rPr>
          <w:rFonts w:eastAsia="SimSun"/>
          <w:lang w:val="en-US" w:eastAsia="zh-CN"/>
        </w:rPr>
        <w:tab/>
      </w:r>
      <w:r w:rsidR="00AC09D2">
        <w:rPr>
          <w:rFonts w:eastAsia="SimSun"/>
          <w:lang w:val="en-US" w:eastAsia="zh-CN"/>
        </w:rPr>
        <w:t xml:space="preserve">Addressing the provisions for tanks requires the participation of tanks experts, so in order to </w:t>
      </w:r>
      <w:r w:rsidR="00EB07A8">
        <w:rPr>
          <w:rFonts w:eastAsia="SimSun"/>
          <w:lang w:val="en-US" w:eastAsia="zh-CN"/>
        </w:rPr>
        <w:t>better understand the need for</w:t>
      </w:r>
      <w:r w:rsidR="008A1536">
        <w:rPr>
          <w:rFonts w:eastAsia="SimSun"/>
          <w:lang w:val="en-US" w:eastAsia="zh-CN"/>
        </w:rPr>
        <w:t>,</w:t>
      </w:r>
      <w:r w:rsidR="00EB07A8">
        <w:rPr>
          <w:rFonts w:eastAsia="SimSun"/>
          <w:lang w:val="en-US" w:eastAsia="zh-CN"/>
        </w:rPr>
        <w:t xml:space="preserve"> and scope</w:t>
      </w:r>
      <w:r w:rsidR="008A1536">
        <w:rPr>
          <w:rFonts w:eastAsia="SimSun"/>
          <w:lang w:val="en-US" w:eastAsia="zh-CN"/>
        </w:rPr>
        <w:t>,</w:t>
      </w:r>
      <w:r w:rsidR="00EB07A8">
        <w:rPr>
          <w:rFonts w:eastAsia="SimSun"/>
          <w:lang w:val="en-US" w:eastAsia="zh-CN"/>
        </w:rPr>
        <w:t xml:space="preserve"> of amendments to Chapter 6.8, EIGA requests time for discussion in the Working Group </w:t>
      </w:r>
      <w:r w:rsidR="008A1536">
        <w:rPr>
          <w:rFonts w:eastAsia="SimSun"/>
          <w:lang w:val="en-US" w:eastAsia="zh-CN"/>
        </w:rPr>
        <w:t>on</w:t>
      </w:r>
      <w:r w:rsidR="00EB07A8">
        <w:rPr>
          <w:rFonts w:eastAsia="SimSun"/>
          <w:lang w:val="en-US" w:eastAsia="zh-CN"/>
        </w:rPr>
        <w:t xml:space="preserve"> Tanks</w:t>
      </w:r>
      <w:r w:rsidR="008A1536">
        <w:rPr>
          <w:rFonts w:eastAsia="SimSun"/>
          <w:lang w:val="en-US" w:eastAsia="zh-CN"/>
        </w:rPr>
        <w:t>.  This will also enable the setting of appropriate dates for any subsequent meetings of the informal working group</w:t>
      </w:r>
      <w:r w:rsidR="0007004F">
        <w:rPr>
          <w:rFonts w:eastAsia="SimSun"/>
          <w:lang w:val="en-US" w:eastAsia="zh-CN"/>
        </w:rPr>
        <w:t xml:space="preserve"> to discuss tank provisions</w:t>
      </w:r>
      <w:r w:rsidR="0043158E">
        <w:rPr>
          <w:rFonts w:eastAsia="SimSun"/>
          <w:lang w:val="en-US" w:eastAsia="zh-CN"/>
        </w:rPr>
        <w:t>.</w:t>
      </w:r>
    </w:p>
    <w:p w:rsidR="008A1536" w:rsidRPr="008A1536" w:rsidRDefault="008A1536" w:rsidP="008A1536">
      <w:pPr>
        <w:pStyle w:val="HChG"/>
      </w:pPr>
      <w:r>
        <w:tab/>
      </w:r>
      <w:r>
        <w:tab/>
      </w:r>
      <w:r w:rsidR="007D38FA">
        <w:t>Areas for Discussion</w:t>
      </w:r>
    </w:p>
    <w:p w:rsidR="007D38FA" w:rsidRPr="007D38FA" w:rsidRDefault="008A1536" w:rsidP="007D38FA">
      <w:pPr>
        <w:pStyle w:val="SingleTxtG"/>
        <w:rPr>
          <w:rFonts w:eastAsia="SimSun"/>
          <w:lang w:eastAsia="zh-CN"/>
        </w:rPr>
      </w:pPr>
      <w:r>
        <w:rPr>
          <w:rFonts w:eastAsia="SimSun"/>
          <w:lang w:val="en-US" w:eastAsia="zh-CN"/>
        </w:rPr>
        <w:t>3.</w:t>
      </w:r>
      <w:r>
        <w:rPr>
          <w:rFonts w:eastAsia="SimSun"/>
          <w:lang w:val="en-US" w:eastAsia="zh-CN"/>
        </w:rPr>
        <w:tab/>
        <w:t xml:space="preserve">The chairman of the </w:t>
      </w:r>
      <w:r w:rsidR="007D38FA">
        <w:rPr>
          <w:rFonts w:eastAsia="SimSun"/>
          <w:lang w:val="en-US" w:eastAsia="zh-CN"/>
        </w:rPr>
        <w:t xml:space="preserve">informal working group suggests the following </w:t>
      </w:r>
      <w:r w:rsidR="007D38FA" w:rsidRPr="007D38FA">
        <w:rPr>
          <w:rFonts w:eastAsia="SimSun"/>
          <w:lang w:eastAsia="zh-CN"/>
        </w:rPr>
        <w:t>that may be discussed by the working group.  It is not intended to limit the relevant subjects that others may want to raise.</w:t>
      </w:r>
    </w:p>
    <w:p w:rsidR="007D38FA" w:rsidRPr="007D38FA" w:rsidRDefault="007D38FA" w:rsidP="007D38FA">
      <w:pPr>
        <w:pStyle w:val="SingleTxtG"/>
        <w:rPr>
          <w:rFonts w:eastAsia="SimSun"/>
          <w:b/>
          <w:bCs/>
          <w:lang w:eastAsia="zh-CN"/>
        </w:rPr>
      </w:pPr>
      <w:r w:rsidRPr="007D38FA">
        <w:rPr>
          <w:rFonts w:eastAsia="SimSun"/>
          <w:bCs/>
          <w:lang w:eastAsia="zh-CN"/>
        </w:rPr>
        <w:t>4.</w:t>
      </w:r>
      <w:r w:rsidRPr="007D38FA">
        <w:rPr>
          <w:rFonts w:eastAsia="SimSun"/>
          <w:b/>
          <w:bCs/>
          <w:lang w:eastAsia="zh-CN"/>
        </w:rPr>
        <w:tab/>
        <w:t>Definitions</w:t>
      </w:r>
    </w:p>
    <w:p w:rsidR="007D38FA" w:rsidRPr="007D38FA" w:rsidRDefault="007D38FA" w:rsidP="007D38FA">
      <w:pPr>
        <w:pStyle w:val="SingleTxtG"/>
        <w:rPr>
          <w:rFonts w:eastAsia="SimSun"/>
          <w:lang w:eastAsia="zh-CN"/>
        </w:rPr>
      </w:pPr>
      <w:r w:rsidRPr="007D38FA">
        <w:rPr>
          <w:rFonts w:eastAsia="SimSun"/>
          <w:lang w:eastAsia="zh-CN"/>
        </w:rPr>
        <w:t xml:space="preserve">Unlike pressure receptacles, the definitions relating to tanks are </w:t>
      </w:r>
      <w:r>
        <w:rPr>
          <w:rFonts w:eastAsia="SimSun"/>
          <w:lang w:eastAsia="zh-CN"/>
        </w:rPr>
        <w:t xml:space="preserve">mostly </w:t>
      </w:r>
      <w:r w:rsidRPr="007D38FA">
        <w:rPr>
          <w:rFonts w:eastAsia="SimSun"/>
          <w:lang w:eastAsia="zh-CN"/>
        </w:rPr>
        <w:t>clear and</w:t>
      </w:r>
      <w:r>
        <w:rPr>
          <w:rFonts w:eastAsia="SimSun"/>
          <w:lang w:eastAsia="zh-CN"/>
        </w:rPr>
        <w:t xml:space="preserve"> consistent, but there is one area of doubt.</w:t>
      </w:r>
      <w:r w:rsidRPr="007D38FA">
        <w:rPr>
          <w:rFonts w:eastAsia="SimSun"/>
          <w:lang w:eastAsia="zh-CN"/>
        </w:rPr>
        <w:t xml:space="preserve"> Shell is defined to include closures, so it is possible to conclude that service equipment does not include closures.  I</w:t>
      </w:r>
      <w:r>
        <w:rPr>
          <w:rFonts w:eastAsia="SimSun"/>
          <w:lang w:eastAsia="zh-CN"/>
        </w:rPr>
        <w:t>t is</w:t>
      </w:r>
      <w:r w:rsidRPr="007D38FA">
        <w:rPr>
          <w:rFonts w:eastAsia="SimSun"/>
          <w:lang w:eastAsia="zh-CN"/>
        </w:rPr>
        <w:t xml:space="preserve"> therefore suggest that for the removal of doubt, closures should be added to the definition of service equipment. </w:t>
      </w:r>
    </w:p>
    <w:p w:rsidR="007D38FA" w:rsidRPr="007D38FA" w:rsidRDefault="007D38FA" w:rsidP="0007004F">
      <w:pPr>
        <w:pStyle w:val="SingleTxtG"/>
        <w:keepNext/>
        <w:rPr>
          <w:rFonts w:eastAsia="SimSun"/>
          <w:b/>
          <w:bCs/>
          <w:lang w:eastAsia="zh-CN"/>
        </w:rPr>
      </w:pPr>
      <w:bookmarkStart w:id="0" w:name="_GoBack"/>
      <w:r>
        <w:rPr>
          <w:rFonts w:eastAsia="SimSun"/>
          <w:bCs/>
          <w:lang w:eastAsia="zh-CN"/>
        </w:rPr>
        <w:lastRenderedPageBreak/>
        <w:t>5.</w:t>
      </w:r>
      <w:r w:rsidRPr="007D38FA">
        <w:rPr>
          <w:rFonts w:eastAsia="SimSun"/>
          <w:b/>
          <w:bCs/>
          <w:lang w:eastAsia="zh-CN"/>
        </w:rPr>
        <w:tab/>
        <w:t>Type Approvals for Valves and other Service Equipment</w:t>
      </w:r>
    </w:p>
    <w:bookmarkEnd w:id="0"/>
    <w:p w:rsidR="007D38FA" w:rsidRPr="007D38FA" w:rsidRDefault="007D38FA" w:rsidP="007D38FA">
      <w:pPr>
        <w:pStyle w:val="SingleTxtG"/>
        <w:rPr>
          <w:rFonts w:eastAsia="SimSun"/>
          <w:lang w:eastAsia="zh-CN"/>
        </w:rPr>
      </w:pPr>
      <w:r w:rsidRPr="007D38FA">
        <w:rPr>
          <w:rFonts w:eastAsia="SimSun"/>
          <w:lang w:eastAsia="zh-CN"/>
        </w:rPr>
        <w:t>The final paragraph of 6.8.2.3.1 states:</w:t>
      </w:r>
    </w:p>
    <w:p w:rsidR="007D38FA" w:rsidRPr="007D38FA" w:rsidRDefault="007D38FA" w:rsidP="007D38FA">
      <w:pPr>
        <w:pStyle w:val="SingleTxtG"/>
        <w:tabs>
          <w:tab w:val="left" w:pos="8080"/>
        </w:tabs>
        <w:ind w:left="1701" w:right="1559"/>
        <w:rPr>
          <w:rFonts w:eastAsia="SimSun"/>
          <w:lang w:eastAsia="zh-CN"/>
        </w:rPr>
      </w:pPr>
      <w:r w:rsidRPr="007D38FA">
        <w:rPr>
          <w:rFonts w:eastAsia="SimSun"/>
          <w:lang w:eastAsia="zh-CN"/>
        </w:rPr>
        <w:t>“The competent authority or a body designated by that authority shall at the request of the applicant carry out a separate type approval of valves and other service equipment for which a standard is listed in the table in 6.8.2.6.1, in accordance with that standard. This separate type approval shall be taken into account when issuing the certificate for the tank, if the test results are presented and the valves and other service equipment are fit for the intended use.”</w:t>
      </w:r>
    </w:p>
    <w:p w:rsidR="007D38FA" w:rsidRPr="007D38FA" w:rsidRDefault="007D38FA" w:rsidP="007D38FA">
      <w:pPr>
        <w:pStyle w:val="SingleTxtG"/>
        <w:rPr>
          <w:rFonts w:eastAsia="SimSun"/>
          <w:lang w:eastAsia="zh-CN"/>
        </w:rPr>
      </w:pPr>
      <w:r w:rsidRPr="007D38FA">
        <w:rPr>
          <w:rFonts w:eastAsia="SimSun"/>
          <w:lang w:eastAsia="zh-CN"/>
        </w:rPr>
        <w:t xml:space="preserve">The number of standards is limited and it is likely that the standards referenced in RID/ADR will never cover all the service equipment used on tanks.  </w:t>
      </w:r>
    </w:p>
    <w:p w:rsidR="007D38FA" w:rsidRPr="007D38FA" w:rsidRDefault="007D38FA" w:rsidP="007D38FA">
      <w:pPr>
        <w:pStyle w:val="SingleTxtG"/>
        <w:rPr>
          <w:rFonts w:eastAsia="SimSun"/>
          <w:lang w:eastAsia="zh-CN"/>
        </w:rPr>
      </w:pPr>
      <w:r w:rsidRPr="007D38FA">
        <w:rPr>
          <w:rFonts w:eastAsia="SimSun"/>
          <w:b/>
          <w:lang w:eastAsia="zh-CN"/>
        </w:rPr>
        <w:t>Question 1</w:t>
      </w:r>
      <w:r w:rsidRPr="007D38FA">
        <w:rPr>
          <w:rFonts w:eastAsia="SimSun"/>
          <w:lang w:eastAsia="zh-CN"/>
        </w:rPr>
        <w:tab/>
        <w:t>Is there a need to extend separate type approval to closures and/or other service equipment for which there are no referenced standards?</w:t>
      </w:r>
    </w:p>
    <w:p w:rsidR="007D38FA" w:rsidRPr="007D38FA" w:rsidRDefault="007D38FA" w:rsidP="007D38FA">
      <w:pPr>
        <w:pStyle w:val="SingleTxtG"/>
        <w:rPr>
          <w:rFonts w:eastAsia="SimSun"/>
          <w:lang w:eastAsia="zh-CN"/>
        </w:rPr>
      </w:pPr>
      <w:r w:rsidRPr="007D38FA">
        <w:rPr>
          <w:rFonts w:eastAsia="SimSun"/>
          <w:b/>
          <w:lang w:eastAsia="zh-CN"/>
        </w:rPr>
        <w:t>Question 2</w:t>
      </w:r>
      <w:r w:rsidRPr="007D38FA">
        <w:rPr>
          <w:rFonts w:eastAsia="SimSun"/>
          <w:lang w:eastAsia="zh-CN"/>
        </w:rPr>
        <w:tab/>
        <w:t xml:space="preserve">If such type approvals were to be granted, what technical requirements including marks would need to be specified in RID/ADR? </w:t>
      </w:r>
    </w:p>
    <w:p w:rsidR="007D38FA" w:rsidRPr="007D38FA" w:rsidRDefault="008A2A18" w:rsidP="007D38FA">
      <w:pPr>
        <w:pStyle w:val="SingleTxtG"/>
        <w:rPr>
          <w:rFonts w:eastAsia="SimSun"/>
          <w:b/>
          <w:bCs/>
          <w:lang w:eastAsia="zh-CN"/>
        </w:rPr>
      </w:pPr>
      <w:r>
        <w:rPr>
          <w:rFonts w:eastAsia="SimSun"/>
          <w:bCs/>
          <w:lang w:eastAsia="zh-CN"/>
        </w:rPr>
        <w:t>6</w:t>
      </w:r>
      <w:r w:rsidR="007D38FA" w:rsidRPr="008A2A18">
        <w:rPr>
          <w:rFonts w:eastAsia="SimSun"/>
          <w:bCs/>
          <w:lang w:eastAsia="zh-CN"/>
        </w:rPr>
        <w:t>.</w:t>
      </w:r>
      <w:r w:rsidR="007D38FA" w:rsidRPr="007D38FA">
        <w:rPr>
          <w:rFonts w:eastAsia="SimSun"/>
          <w:b/>
          <w:bCs/>
          <w:lang w:eastAsia="zh-CN"/>
        </w:rPr>
        <w:tab/>
        <w:t>Initial inspection of Equipment</w:t>
      </w:r>
    </w:p>
    <w:p w:rsidR="007D38FA" w:rsidRPr="007D38FA" w:rsidRDefault="007D38FA" w:rsidP="007D38FA">
      <w:pPr>
        <w:pStyle w:val="SingleTxtG"/>
        <w:rPr>
          <w:rFonts w:eastAsia="SimSun"/>
          <w:lang w:eastAsia="zh-CN"/>
        </w:rPr>
      </w:pPr>
      <w:r w:rsidRPr="007D38FA">
        <w:rPr>
          <w:rFonts w:eastAsia="SimSun"/>
          <w:lang w:eastAsia="zh-CN"/>
        </w:rPr>
        <w:t>The first paragraph of 6.8.2.4.1 states:</w:t>
      </w:r>
    </w:p>
    <w:p w:rsidR="007D38FA" w:rsidRPr="007D38FA" w:rsidRDefault="007D38FA" w:rsidP="00CA548E">
      <w:pPr>
        <w:pStyle w:val="SingleTxtG"/>
        <w:ind w:left="1701" w:right="1559"/>
        <w:rPr>
          <w:rFonts w:eastAsia="SimSun"/>
          <w:lang w:eastAsia="zh-CN"/>
        </w:rPr>
      </w:pPr>
      <w:r w:rsidRPr="007D38FA">
        <w:rPr>
          <w:rFonts w:eastAsia="SimSun"/>
          <w:lang w:eastAsia="zh-CN"/>
        </w:rPr>
        <w:t xml:space="preserve">“Shells and their equipment shall </w:t>
      </w:r>
      <w:r w:rsidRPr="007D38FA">
        <w:rPr>
          <w:rFonts w:eastAsia="SimSun"/>
          <w:b/>
          <w:lang w:eastAsia="zh-CN"/>
        </w:rPr>
        <w:t>either together or separately</w:t>
      </w:r>
      <w:r w:rsidRPr="007D38FA">
        <w:rPr>
          <w:rFonts w:eastAsia="SimSun"/>
          <w:lang w:eastAsia="zh-CN"/>
        </w:rPr>
        <w:t xml:space="preserve"> undergo an initial inspection before being put into service. This inspection shall include:</w:t>
      </w:r>
    </w:p>
    <w:p w:rsidR="007D38FA" w:rsidRPr="007D38FA" w:rsidRDefault="007D38FA" w:rsidP="00CA548E">
      <w:pPr>
        <w:pStyle w:val="SingleTxtG"/>
        <w:ind w:left="1701" w:right="1559"/>
        <w:rPr>
          <w:rFonts w:eastAsia="SimSun"/>
          <w:lang w:eastAsia="zh-CN"/>
        </w:rPr>
      </w:pPr>
      <w:r w:rsidRPr="007D38FA">
        <w:rPr>
          <w:rFonts w:eastAsia="SimSun"/>
          <w:lang w:eastAsia="zh-CN"/>
        </w:rPr>
        <w:t>-</w:t>
      </w:r>
      <w:r w:rsidRPr="007D38FA">
        <w:rPr>
          <w:rFonts w:eastAsia="SimSun"/>
          <w:lang w:eastAsia="zh-CN"/>
        </w:rPr>
        <w:tab/>
      </w:r>
      <w:proofErr w:type="gramStart"/>
      <w:r w:rsidRPr="007D38FA">
        <w:rPr>
          <w:rFonts w:eastAsia="SimSun"/>
          <w:lang w:eastAsia="zh-CN"/>
        </w:rPr>
        <w:t>a</w:t>
      </w:r>
      <w:proofErr w:type="gramEnd"/>
      <w:r w:rsidRPr="007D38FA">
        <w:rPr>
          <w:rFonts w:eastAsia="SimSun"/>
          <w:lang w:eastAsia="zh-CN"/>
        </w:rPr>
        <w:t xml:space="preserve"> check of conformity to the approved type;</w:t>
      </w:r>
    </w:p>
    <w:p w:rsidR="007D38FA" w:rsidRPr="007D38FA" w:rsidRDefault="007D38FA" w:rsidP="00CA548E">
      <w:pPr>
        <w:pStyle w:val="SingleTxtG"/>
        <w:ind w:left="1701" w:right="1559"/>
        <w:rPr>
          <w:rFonts w:eastAsia="SimSun"/>
          <w:bCs/>
          <w:lang w:eastAsia="zh-CN"/>
        </w:rPr>
      </w:pPr>
      <w:r w:rsidRPr="007D38FA">
        <w:rPr>
          <w:rFonts w:eastAsia="SimSun"/>
          <w:lang w:eastAsia="zh-CN"/>
        </w:rPr>
        <w:t>-</w:t>
      </w:r>
      <w:r w:rsidRPr="007D38FA">
        <w:rPr>
          <w:rFonts w:eastAsia="SimSun"/>
          <w:lang w:eastAsia="zh-CN"/>
        </w:rPr>
        <w:tab/>
      </w:r>
      <w:proofErr w:type="gramStart"/>
      <w:r w:rsidRPr="007D38FA">
        <w:rPr>
          <w:rFonts w:eastAsia="SimSun"/>
          <w:lang w:eastAsia="zh-CN"/>
        </w:rPr>
        <w:t>a</w:t>
      </w:r>
      <w:proofErr w:type="gramEnd"/>
      <w:r w:rsidRPr="007D38FA">
        <w:rPr>
          <w:rFonts w:eastAsia="SimSun"/>
          <w:lang w:eastAsia="zh-CN"/>
        </w:rPr>
        <w:t xml:space="preserve"> check of the design characteristics</w:t>
      </w:r>
      <w:r w:rsidRPr="007D38FA">
        <w:rPr>
          <w:rFonts w:eastAsia="SimSun"/>
          <w:b/>
          <w:iCs/>
          <w:vertAlign w:val="superscript"/>
          <w:lang w:eastAsia="zh-CN"/>
        </w:rPr>
        <w:footnoteReference w:customMarkFollows="1" w:id="2"/>
        <w:t>9</w:t>
      </w:r>
    </w:p>
    <w:p w:rsidR="007D38FA" w:rsidRPr="007D38FA" w:rsidRDefault="007D38FA" w:rsidP="00CA548E">
      <w:pPr>
        <w:pStyle w:val="SingleTxtG"/>
        <w:ind w:left="1701" w:right="1559"/>
        <w:rPr>
          <w:rFonts w:eastAsia="SimSun"/>
          <w:lang w:eastAsia="zh-CN"/>
        </w:rPr>
      </w:pPr>
      <w:r w:rsidRPr="007D38FA">
        <w:rPr>
          <w:rFonts w:eastAsia="SimSun"/>
          <w:lang w:eastAsia="zh-CN"/>
        </w:rPr>
        <w:t>-</w:t>
      </w:r>
      <w:r w:rsidRPr="007D38FA">
        <w:rPr>
          <w:rFonts w:eastAsia="SimSun"/>
          <w:lang w:eastAsia="zh-CN"/>
        </w:rPr>
        <w:tab/>
      </w:r>
      <w:proofErr w:type="gramStart"/>
      <w:r w:rsidRPr="007D38FA">
        <w:rPr>
          <w:rFonts w:eastAsia="SimSun"/>
          <w:lang w:eastAsia="zh-CN"/>
        </w:rPr>
        <w:t>an</w:t>
      </w:r>
      <w:proofErr w:type="gramEnd"/>
      <w:r w:rsidRPr="007D38FA">
        <w:rPr>
          <w:rFonts w:eastAsia="SimSun"/>
          <w:lang w:eastAsia="zh-CN"/>
        </w:rPr>
        <w:t xml:space="preserve"> examination of the internal and external conditions;</w:t>
      </w:r>
    </w:p>
    <w:p w:rsidR="007D38FA" w:rsidRPr="007D38FA" w:rsidRDefault="007D38FA" w:rsidP="00CA548E">
      <w:pPr>
        <w:pStyle w:val="SingleTxtG"/>
        <w:ind w:left="2268" w:right="1559" w:hanging="567"/>
        <w:rPr>
          <w:rFonts w:eastAsia="SimSun"/>
          <w:lang w:eastAsia="zh-CN"/>
        </w:rPr>
      </w:pPr>
      <w:r w:rsidRPr="007D38FA">
        <w:rPr>
          <w:rFonts w:eastAsia="SimSun"/>
          <w:lang w:eastAsia="zh-CN"/>
        </w:rPr>
        <w:t xml:space="preserve">- </w:t>
      </w:r>
      <w:r w:rsidRPr="007D38FA">
        <w:rPr>
          <w:rFonts w:eastAsia="SimSun"/>
          <w:lang w:eastAsia="zh-CN"/>
        </w:rPr>
        <w:tab/>
      </w:r>
      <w:proofErr w:type="gramStart"/>
      <w:r w:rsidRPr="007D38FA">
        <w:rPr>
          <w:rFonts w:eastAsia="SimSun"/>
          <w:lang w:eastAsia="zh-CN"/>
        </w:rPr>
        <w:t>a</w:t>
      </w:r>
      <w:proofErr w:type="gramEnd"/>
      <w:r w:rsidRPr="007D38FA">
        <w:rPr>
          <w:rFonts w:eastAsia="SimSun"/>
          <w:lang w:eastAsia="zh-CN"/>
        </w:rPr>
        <w:t xml:space="preserve"> hydraulic pressure test</w:t>
      </w:r>
      <w:r w:rsidRPr="007D38FA">
        <w:rPr>
          <w:rFonts w:eastAsia="SimSun"/>
          <w:b/>
          <w:iCs/>
          <w:vertAlign w:val="superscript"/>
          <w:lang w:eastAsia="zh-CN"/>
        </w:rPr>
        <w:footnoteReference w:customMarkFollows="1" w:id="3"/>
        <w:t>10</w:t>
      </w:r>
      <w:r w:rsidRPr="007D38FA">
        <w:rPr>
          <w:rFonts w:eastAsia="SimSun"/>
          <w:b/>
          <w:bCs/>
          <w:lang w:eastAsia="zh-CN"/>
        </w:rPr>
        <w:t xml:space="preserve"> </w:t>
      </w:r>
      <w:r w:rsidRPr="007D38FA">
        <w:rPr>
          <w:rFonts w:eastAsia="SimSun"/>
          <w:lang w:eastAsia="zh-CN"/>
        </w:rPr>
        <w:t>at the test pressure indicated on the plate prescribed in 6.8.2.5.1; and</w:t>
      </w:r>
    </w:p>
    <w:p w:rsidR="007D38FA" w:rsidRPr="007D38FA" w:rsidRDefault="007D38FA" w:rsidP="00CA548E">
      <w:pPr>
        <w:pStyle w:val="SingleTxtG"/>
        <w:ind w:left="2268" w:right="1559" w:hanging="567"/>
        <w:rPr>
          <w:rFonts w:eastAsia="SimSun"/>
          <w:lang w:eastAsia="zh-CN"/>
        </w:rPr>
      </w:pPr>
      <w:proofErr w:type="gramStart"/>
      <w:r w:rsidRPr="007D38FA">
        <w:rPr>
          <w:rFonts w:eastAsia="SimSun"/>
          <w:lang w:eastAsia="zh-CN"/>
        </w:rPr>
        <w:t>-</w:t>
      </w:r>
      <w:r w:rsidRPr="007D38FA">
        <w:rPr>
          <w:rFonts w:eastAsia="SimSun"/>
          <w:lang w:eastAsia="zh-CN"/>
        </w:rPr>
        <w:tab/>
        <w:t xml:space="preserve">a </w:t>
      </w:r>
      <w:proofErr w:type="spellStart"/>
      <w:r w:rsidRPr="007D38FA">
        <w:rPr>
          <w:rFonts w:eastAsia="SimSun"/>
          <w:lang w:eastAsia="zh-CN"/>
        </w:rPr>
        <w:t>leakproofness</w:t>
      </w:r>
      <w:proofErr w:type="spellEnd"/>
      <w:r w:rsidRPr="007D38FA">
        <w:rPr>
          <w:rFonts w:eastAsia="SimSun"/>
          <w:lang w:eastAsia="zh-CN"/>
        </w:rPr>
        <w:t xml:space="preserve"> test and a check of satisfactory operation of the equipment.”</w:t>
      </w:r>
      <w:proofErr w:type="gramEnd"/>
    </w:p>
    <w:p w:rsidR="007D38FA" w:rsidRPr="007D38FA" w:rsidRDefault="007D38FA" w:rsidP="0043158E">
      <w:pPr>
        <w:pStyle w:val="SingleTxtG"/>
        <w:rPr>
          <w:rFonts w:eastAsia="SimSun"/>
          <w:lang w:eastAsia="zh-CN"/>
        </w:rPr>
      </w:pPr>
      <w:r w:rsidRPr="007D38FA">
        <w:rPr>
          <w:rFonts w:eastAsia="SimSun"/>
          <w:b/>
          <w:lang w:eastAsia="zh-CN"/>
        </w:rPr>
        <w:t>Question 3</w:t>
      </w:r>
      <w:r w:rsidRPr="007D38FA">
        <w:rPr>
          <w:rFonts w:eastAsia="SimSun"/>
          <w:lang w:eastAsia="zh-CN"/>
        </w:rPr>
        <w:tab/>
        <w:t xml:space="preserve">Is the phrase ‘either together or separately’ sufficiently clear to ensure that </w:t>
      </w:r>
      <w:r w:rsidR="008A2A18" w:rsidRPr="007D38FA">
        <w:rPr>
          <w:rFonts w:eastAsia="SimSun"/>
          <w:lang w:eastAsia="zh-CN"/>
        </w:rPr>
        <w:t xml:space="preserve">the tank must </w:t>
      </w:r>
      <w:r w:rsidRPr="007D38FA">
        <w:rPr>
          <w:rFonts w:eastAsia="SimSun"/>
          <w:lang w:eastAsia="zh-CN"/>
        </w:rPr>
        <w:t xml:space="preserve">be approved as a whole and </w:t>
      </w:r>
      <w:r w:rsidR="0043158E">
        <w:rPr>
          <w:rFonts w:eastAsia="SimSun"/>
          <w:lang w:eastAsia="zh-CN"/>
        </w:rPr>
        <w:t xml:space="preserve">that approval shall include an assessment of the service equipment’s </w:t>
      </w:r>
      <w:r w:rsidRPr="007D38FA">
        <w:rPr>
          <w:rFonts w:eastAsia="SimSun"/>
          <w:lang w:eastAsia="zh-CN"/>
        </w:rPr>
        <w:t>suitability for the tank.</w:t>
      </w:r>
    </w:p>
    <w:p w:rsidR="007D38FA" w:rsidRPr="007D38FA" w:rsidRDefault="007D38FA" w:rsidP="007D38FA">
      <w:pPr>
        <w:pStyle w:val="SingleTxtG"/>
        <w:rPr>
          <w:rFonts w:eastAsia="SimSun"/>
          <w:lang w:eastAsia="zh-CN"/>
        </w:rPr>
      </w:pPr>
      <w:r w:rsidRPr="007D38FA">
        <w:rPr>
          <w:rFonts w:eastAsia="SimSun"/>
          <w:b/>
          <w:lang w:eastAsia="zh-CN"/>
        </w:rPr>
        <w:t>Question 4</w:t>
      </w:r>
      <w:r w:rsidRPr="007D38FA">
        <w:rPr>
          <w:rFonts w:eastAsia="SimSun"/>
          <w:lang w:eastAsia="zh-CN"/>
        </w:rPr>
        <w:tab/>
        <w:t>Are there sufficient requirements to ensure satisfactory separate initial inspection of service equipment for tanks?</w:t>
      </w:r>
    </w:p>
    <w:p w:rsidR="007D38FA" w:rsidRPr="007D38FA" w:rsidRDefault="007D38FA" w:rsidP="007D38FA">
      <w:pPr>
        <w:pStyle w:val="SingleTxtG"/>
        <w:rPr>
          <w:rFonts w:eastAsia="SimSun"/>
          <w:lang w:eastAsia="zh-CN"/>
        </w:rPr>
      </w:pPr>
      <w:r w:rsidRPr="007D38FA">
        <w:rPr>
          <w:rFonts w:eastAsia="SimSun"/>
          <w:lang w:eastAsia="zh-CN"/>
        </w:rPr>
        <w:t>For reference, the working group has proposed to add the following requirements to 6.2.5.1 of RID/ADR for the initial inspection of closures of pressure receptacles as follows.</w:t>
      </w:r>
    </w:p>
    <w:p w:rsidR="007D38FA" w:rsidRPr="007D38FA" w:rsidRDefault="007D38FA" w:rsidP="0043158E">
      <w:pPr>
        <w:pStyle w:val="SingleTxtG"/>
        <w:ind w:left="1701"/>
        <w:rPr>
          <w:rFonts w:eastAsia="SimSun"/>
          <w:iCs/>
          <w:lang w:eastAsia="zh-CN"/>
        </w:rPr>
      </w:pPr>
      <w:r w:rsidRPr="007D38FA">
        <w:rPr>
          <w:rFonts w:eastAsia="SimSun"/>
          <w:iCs/>
          <w:lang w:eastAsia="zh-CN"/>
        </w:rPr>
        <w:t>“On an adequate sample of closures:</w:t>
      </w:r>
    </w:p>
    <w:p w:rsidR="007D38FA" w:rsidRPr="007D38FA" w:rsidRDefault="007D38FA" w:rsidP="0043158E">
      <w:pPr>
        <w:pStyle w:val="SingleTxtG"/>
        <w:ind w:left="1701"/>
        <w:rPr>
          <w:rFonts w:eastAsia="SimSun"/>
          <w:lang w:eastAsia="zh-CN"/>
        </w:rPr>
      </w:pPr>
      <w:r w:rsidRPr="007D38FA">
        <w:rPr>
          <w:rFonts w:eastAsia="SimSun"/>
          <w:iCs/>
          <w:lang w:eastAsia="zh-CN"/>
        </w:rPr>
        <w:t>(k)</w:t>
      </w:r>
      <w:r w:rsidRPr="007D38FA">
        <w:rPr>
          <w:rFonts w:eastAsia="SimSun"/>
          <w:iCs/>
          <w:lang w:eastAsia="zh-CN"/>
        </w:rPr>
        <w:tab/>
        <w:t>Verification of metallic and non-metallic materials</w:t>
      </w:r>
      <w:r w:rsidRPr="007D38FA">
        <w:rPr>
          <w:rFonts w:eastAsia="SimSun"/>
          <w:lang w:eastAsia="zh-CN"/>
        </w:rPr>
        <w:t>;</w:t>
      </w:r>
    </w:p>
    <w:p w:rsidR="007D38FA" w:rsidRPr="007D38FA" w:rsidRDefault="007D38FA" w:rsidP="0043158E">
      <w:pPr>
        <w:pStyle w:val="SingleTxtG"/>
        <w:ind w:left="1701"/>
        <w:rPr>
          <w:rFonts w:eastAsia="SimSun"/>
          <w:lang w:eastAsia="zh-CN"/>
        </w:rPr>
      </w:pPr>
      <w:r w:rsidRPr="007D38FA">
        <w:rPr>
          <w:rFonts w:eastAsia="SimSun"/>
          <w:lang w:eastAsia="zh-CN"/>
        </w:rPr>
        <w:t>(l)</w:t>
      </w:r>
      <w:r w:rsidRPr="007D38FA">
        <w:rPr>
          <w:rFonts w:eastAsia="SimSun"/>
          <w:lang w:eastAsia="zh-CN"/>
        </w:rPr>
        <w:tab/>
        <w:t>Verification of dimensions;</w:t>
      </w:r>
    </w:p>
    <w:p w:rsidR="007D38FA" w:rsidRPr="007D38FA" w:rsidRDefault="007D38FA" w:rsidP="0043158E">
      <w:pPr>
        <w:pStyle w:val="SingleTxtG"/>
        <w:ind w:left="1701"/>
        <w:rPr>
          <w:rFonts w:eastAsia="SimSun"/>
          <w:lang w:eastAsia="zh-CN"/>
        </w:rPr>
      </w:pPr>
      <w:r w:rsidRPr="007D38FA">
        <w:rPr>
          <w:rFonts w:eastAsia="SimSun"/>
          <w:iCs/>
          <w:lang w:eastAsia="zh-CN"/>
        </w:rPr>
        <w:lastRenderedPageBreak/>
        <w:t>(m)</w:t>
      </w:r>
      <w:r w:rsidRPr="007D38FA">
        <w:rPr>
          <w:rFonts w:eastAsia="SimSun"/>
          <w:iCs/>
          <w:lang w:eastAsia="zh-CN"/>
        </w:rPr>
        <w:tab/>
        <w:t>Verification of cleanliness</w:t>
      </w:r>
      <w:r w:rsidRPr="007D38FA">
        <w:rPr>
          <w:rFonts w:eastAsia="SimSun"/>
          <w:lang w:eastAsia="zh-CN"/>
        </w:rPr>
        <w:t>;</w:t>
      </w:r>
    </w:p>
    <w:p w:rsidR="007D38FA" w:rsidRPr="007D38FA" w:rsidRDefault="007D38FA" w:rsidP="0043158E">
      <w:pPr>
        <w:pStyle w:val="SingleTxtG"/>
        <w:ind w:left="1701"/>
        <w:rPr>
          <w:rFonts w:eastAsia="SimSun"/>
          <w:lang w:eastAsia="zh-CN"/>
        </w:rPr>
      </w:pPr>
      <w:r w:rsidRPr="007D38FA">
        <w:rPr>
          <w:rFonts w:eastAsia="SimSun"/>
          <w:lang w:eastAsia="zh-CN"/>
        </w:rPr>
        <w:t>(n)</w:t>
      </w:r>
      <w:r w:rsidRPr="007D38FA">
        <w:rPr>
          <w:rFonts w:eastAsia="SimSun"/>
          <w:lang w:eastAsia="zh-CN"/>
        </w:rPr>
        <w:tab/>
        <w:t>Inspection of completed assembly;</w:t>
      </w:r>
    </w:p>
    <w:p w:rsidR="007D38FA" w:rsidRPr="007D38FA" w:rsidRDefault="007D38FA" w:rsidP="0043158E">
      <w:pPr>
        <w:pStyle w:val="SingleTxtG"/>
        <w:ind w:left="1701"/>
        <w:rPr>
          <w:rFonts w:eastAsia="SimSun"/>
          <w:lang w:eastAsia="zh-CN"/>
        </w:rPr>
      </w:pPr>
      <w:r w:rsidRPr="007D38FA">
        <w:rPr>
          <w:rFonts w:eastAsia="SimSun"/>
          <w:lang w:eastAsia="zh-CN"/>
        </w:rPr>
        <w:t>(o)</w:t>
      </w:r>
      <w:r w:rsidRPr="007D38FA">
        <w:rPr>
          <w:rFonts w:eastAsia="SimSun"/>
          <w:lang w:eastAsia="zh-CN"/>
        </w:rPr>
        <w:tab/>
        <w:t xml:space="preserve">Verification of conformity of marks </w:t>
      </w:r>
    </w:p>
    <w:p w:rsidR="007D38FA" w:rsidRPr="007D38FA" w:rsidRDefault="007D38FA" w:rsidP="0043158E">
      <w:pPr>
        <w:pStyle w:val="SingleTxtG"/>
        <w:ind w:left="1701"/>
        <w:rPr>
          <w:rFonts w:eastAsia="SimSun"/>
          <w:iCs/>
          <w:lang w:eastAsia="zh-CN"/>
        </w:rPr>
      </w:pPr>
      <w:r w:rsidRPr="007D38FA">
        <w:rPr>
          <w:rFonts w:eastAsia="SimSun"/>
          <w:iCs/>
          <w:lang w:eastAsia="zh-CN"/>
        </w:rPr>
        <w:t>For all closures:</w:t>
      </w:r>
    </w:p>
    <w:p w:rsidR="007D38FA" w:rsidRPr="007D38FA" w:rsidRDefault="007D38FA" w:rsidP="0043158E">
      <w:pPr>
        <w:pStyle w:val="SingleTxtG"/>
        <w:ind w:left="1701"/>
        <w:rPr>
          <w:rFonts w:eastAsia="SimSun"/>
          <w:iCs/>
          <w:lang w:eastAsia="zh-CN"/>
        </w:rPr>
      </w:pPr>
      <w:r w:rsidRPr="007D38FA">
        <w:rPr>
          <w:rFonts w:eastAsia="SimSun"/>
          <w:iCs/>
          <w:lang w:eastAsia="zh-CN"/>
        </w:rPr>
        <w:t>(p)</w:t>
      </w:r>
      <w:r w:rsidRPr="007D38FA">
        <w:rPr>
          <w:rFonts w:eastAsia="SimSun"/>
          <w:iCs/>
          <w:lang w:eastAsia="zh-CN"/>
        </w:rPr>
        <w:tab/>
        <w:t xml:space="preserve">Testing for </w:t>
      </w:r>
      <w:proofErr w:type="spellStart"/>
      <w:r w:rsidRPr="007D38FA">
        <w:rPr>
          <w:rFonts w:eastAsia="SimSun"/>
          <w:lang w:eastAsia="zh-CN"/>
        </w:rPr>
        <w:t>leakproofness</w:t>
      </w:r>
      <w:proofErr w:type="spellEnd"/>
      <w:r w:rsidRPr="007D38FA">
        <w:rPr>
          <w:rFonts w:eastAsia="SimSun"/>
          <w:iCs/>
          <w:lang w:eastAsia="zh-CN"/>
        </w:rPr>
        <w:t>;</w:t>
      </w:r>
    </w:p>
    <w:p w:rsidR="007D38FA" w:rsidRPr="007D38FA" w:rsidRDefault="007D38FA" w:rsidP="0043158E">
      <w:pPr>
        <w:pStyle w:val="SingleTxtG"/>
        <w:ind w:left="1701"/>
        <w:rPr>
          <w:rFonts w:eastAsia="SimSun"/>
          <w:iCs/>
          <w:lang w:eastAsia="zh-CN"/>
        </w:rPr>
      </w:pPr>
      <w:r w:rsidRPr="007D38FA">
        <w:rPr>
          <w:rFonts w:eastAsia="SimSun"/>
          <w:iCs/>
          <w:lang w:eastAsia="zh-CN"/>
        </w:rPr>
        <w:t>(q)</w:t>
      </w:r>
      <w:r w:rsidRPr="007D38FA">
        <w:rPr>
          <w:rFonts w:eastAsia="SimSun"/>
          <w:iCs/>
          <w:lang w:eastAsia="zh-CN"/>
        </w:rPr>
        <w:tab/>
        <w:t xml:space="preserve">Verification of </w:t>
      </w:r>
      <w:r w:rsidRPr="007D38FA">
        <w:rPr>
          <w:rFonts w:eastAsia="SimSun"/>
          <w:lang w:eastAsia="zh-CN"/>
        </w:rPr>
        <w:t>the</w:t>
      </w:r>
      <w:r w:rsidRPr="007D38FA">
        <w:rPr>
          <w:rFonts w:eastAsia="SimSun"/>
          <w:iCs/>
          <w:lang w:eastAsia="zh-CN"/>
        </w:rPr>
        <w:t xml:space="preserve"> presence of marks.”</w:t>
      </w:r>
    </w:p>
    <w:p w:rsidR="007D38FA" w:rsidRPr="007D38FA" w:rsidRDefault="00CA548E" w:rsidP="007D38FA">
      <w:pPr>
        <w:pStyle w:val="SingleTxtG"/>
        <w:rPr>
          <w:rFonts w:eastAsia="SimSun"/>
          <w:b/>
          <w:bCs/>
          <w:iCs/>
          <w:lang w:eastAsia="zh-CN"/>
        </w:rPr>
      </w:pPr>
      <w:r>
        <w:rPr>
          <w:rFonts w:eastAsia="SimSun"/>
          <w:bCs/>
          <w:iCs/>
          <w:lang w:eastAsia="zh-CN"/>
        </w:rPr>
        <w:t>7</w:t>
      </w:r>
      <w:r w:rsidR="007D38FA" w:rsidRPr="00CA548E">
        <w:rPr>
          <w:rFonts w:eastAsia="SimSun"/>
          <w:bCs/>
          <w:iCs/>
          <w:lang w:eastAsia="zh-CN"/>
        </w:rPr>
        <w:t>.</w:t>
      </w:r>
      <w:r w:rsidR="007D38FA" w:rsidRPr="007D38FA">
        <w:rPr>
          <w:rFonts w:eastAsia="SimSun"/>
          <w:b/>
          <w:bCs/>
          <w:iCs/>
          <w:lang w:eastAsia="zh-CN"/>
        </w:rPr>
        <w:tab/>
      </w:r>
      <w:r w:rsidR="007D38FA" w:rsidRPr="007D38FA">
        <w:rPr>
          <w:rFonts w:eastAsia="SimSun"/>
          <w:b/>
          <w:bCs/>
          <w:lang w:eastAsia="zh-CN"/>
        </w:rPr>
        <w:t>Marking</w:t>
      </w:r>
    </w:p>
    <w:p w:rsidR="007D38FA" w:rsidRPr="007D38FA" w:rsidRDefault="007D38FA" w:rsidP="007D38FA">
      <w:pPr>
        <w:pStyle w:val="SingleTxtG"/>
        <w:rPr>
          <w:rFonts w:eastAsia="SimSun"/>
          <w:lang w:eastAsia="zh-CN"/>
        </w:rPr>
      </w:pPr>
      <w:r w:rsidRPr="007D38FA">
        <w:rPr>
          <w:rFonts w:eastAsia="SimSun"/>
          <w:lang w:eastAsia="zh-CN"/>
        </w:rPr>
        <w:t>6.8.3.5 is restricted to marking the completed tank.  At present, separate type approval is restricted to service equipment for which standards are referenced and standards usually specify the marking requirements.</w:t>
      </w:r>
    </w:p>
    <w:p w:rsidR="007D38FA" w:rsidRPr="007D38FA" w:rsidRDefault="007D38FA" w:rsidP="007D38FA">
      <w:pPr>
        <w:pStyle w:val="SingleTxtG"/>
        <w:rPr>
          <w:rFonts w:eastAsia="SimSun"/>
          <w:lang w:eastAsia="zh-CN"/>
        </w:rPr>
      </w:pPr>
      <w:r w:rsidRPr="007D38FA">
        <w:rPr>
          <w:rFonts w:eastAsia="SimSun"/>
          <w:b/>
          <w:lang w:eastAsia="zh-CN"/>
        </w:rPr>
        <w:t>Question 5</w:t>
      </w:r>
      <w:r w:rsidRPr="007D38FA">
        <w:rPr>
          <w:rFonts w:eastAsia="SimSun"/>
          <w:lang w:eastAsia="zh-CN"/>
        </w:rPr>
        <w:tab/>
        <w:t xml:space="preserve">Is there a need for RID/ADR to specify the minimum marks to be applied to service equipment?  </w:t>
      </w:r>
    </w:p>
    <w:p w:rsidR="007D38FA" w:rsidRPr="007D38FA" w:rsidRDefault="007D38FA" w:rsidP="007D38FA">
      <w:pPr>
        <w:pStyle w:val="SingleTxtG"/>
        <w:rPr>
          <w:rFonts w:eastAsia="SimSun"/>
          <w:i/>
          <w:lang w:eastAsia="zh-CN"/>
        </w:rPr>
      </w:pPr>
      <w:r w:rsidRPr="007D38FA">
        <w:rPr>
          <w:rFonts w:eastAsia="SimSun"/>
          <w:b/>
          <w:i/>
          <w:lang w:eastAsia="zh-CN"/>
        </w:rPr>
        <w:t>NOTE:</w:t>
      </w:r>
      <w:r w:rsidRPr="007D38FA">
        <w:rPr>
          <w:rFonts w:eastAsia="SimSun"/>
          <w:b/>
          <w:i/>
          <w:lang w:eastAsia="zh-CN"/>
        </w:rPr>
        <w:tab/>
      </w:r>
      <w:r w:rsidRPr="007D38FA">
        <w:rPr>
          <w:rFonts w:eastAsia="SimSun"/>
          <w:i/>
          <w:lang w:eastAsia="zh-CN"/>
        </w:rPr>
        <w:t>The specification of minimum marking requirements will be made more pressing if it is decided to allow type approval for service equipment not made in accordance with standards.</w:t>
      </w:r>
    </w:p>
    <w:p w:rsidR="007D38FA" w:rsidRPr="007D38FA" w:rsidRDefault="007D38FA" w:rsidP="007D38FA">
      <w:pPr>
        <w:pStyle w:val="SingleTxtG"/>
        <w:rPr>
          <w:rFonts w:eastAsia="SimSun"/>
          <w:lang w:eastAsia="zh-CN"/>
        </w:rPr>
      </w:pPr>
      <w:r w:rsidRPr="007D38FA">
        <w:rPr>
          <w:rFonts w:eastAsia="SimSun"/>
          <w:lang w:eastAsia="zh-CN"/>
        </w:rPr>
        <w:t>For reference, the working group has proposed to add the following requirements to a new sub-section 6.2.2.7.11 of RID/ADR for marking the closures of pressure receptacles as follows.</w:t>
      </w:r>
    </w:p>
    <w:p w:rsidR="007D38FA" w:rsidRPr="007D38FA" w:rsidRDefault="007D38FA" w:rsidP="00CA548E">
      <w:pPr>
        <w:pStyle w:val="SingleTxtG"/>
        <w:ind w:left="1701" w:right="1559"/>
        <w:rPr>
          <w:rFonts w:eastAsia="SimSun"/>
          <w:b/>
          <w:lang w:eastAsia="zh-CN"/>
        </w:rPr>
      </w:pPr>
      <w:r w:rsidRPr="007D38FA">
        <w:rPr>
          <w:rFonts w:eastAsia="SimSun"/>
          <w:lang w:eastAsia="zh-CN"/>
        </w:rPr>
        <w:t>“</w:t>
      </w:r>
      <w:r w:rsidRPr="007D38FA">
        <w:rPr>
          <w:rFonts w:eastAsia="SimSun"/>
          <w:b/>
          <w:lang w:eastAsia="zh-CN"/>
        </w:rPr>
        <w:t>6.2.2.11</w:t>
      </w:r>
      <w:r w:rsidRPr="007D38FA">
        <w:rPr>
          <w:rFonts w:eastAsia="SimSun"/>
          <w:b/>
          <w:lang w:eastAsia="zh-CN"/>
        </w:rPr>
        <w:tab/>
        <w:t>Marking of closures for refillable UN pressure receptacles</w:t>
      </w:r>
    </w:p>
    <w:p w:rsidR="007D38FA" w:rsidRPr="007D38FA" w:rsidRDefault="007D38FA" w:rsidP="00CA548E">
      <w:pPr>
        <w:pStyle w:val="SingleTxtG"/>
        <w:ind w:left="1701" w:right="1559"/>
        <w:rPr>
          <w:rFonts w:eastAsia="SimSun"/>
          <w:lang w:eastAsia="zh-CN"/>
        </w:rPr>
      </w:pPr>
      <w:r w:rsidRPr="007D38FA">
        <w:rPr>
          <w:rFonts w:eastAsia="SimSun"/>
          <w:lang w:eastAsia="zh-CN"/>
        </w:rPr>
        <w:t>For closures the following permanent marks shall be applied clearly and legibly, (e.g. stamped, engraved or etched):</w:t>
      </w:r>
    </w:p>
    <w:p w:rsidR="007D38FA" w:rsidRPr="007D38FA" w:rsidRDefault="007D38FA" w:rsidP="00CA548E">
      <w:pPr>
        <w:pStyle w:val="SingleTxtG"/>
        <w:numPr>
          <w:ilvl w:val="0"/>
          <w:numId w:val="18"/>
        </w:numPr>
        <w:ind w:left="2345" w:right="1559"/>
        <w:rPr>
          <w:rFonts w:eastAsia="SimSun"/>
          <w:lang w:eastAsia="zh-CN"/>
        </w:rPr>
      </w:pPr>
      <w:r w:rsidRPr="007D38FA">
        <w:rPr>
          <w:rFonts w:eastAsia="SimSun"/>
          <w:lang w:eastAsia="zh-CN"/>
        </w:rPr>
        <w:t>Manufacturer’s identification mark;</w:t>
      </w:r>
    </w:p>
    <w:p w:rsidR="007D38FA" w:rsidRPr="007D38FA" w:rsidRDefault="007D38FA" w:rsidP="00CA548E">
      <w:pPr>
        <w:pStyle w:val="SingleTxtG"/>
        <w:numPr>
          <w:ilvl w:val="0"/>
          <w:numId w:val="18"/>
        </w:numPr>
        <w:ind w:left="2345" w:right="1559"/>
        <w:rPr>
          <w:rFonts w:eastAsia="SimSun"/>
          <w:lang w:eastAsia="zh-CN"/>
        </w:rPr>
      </w:pPr>
      <w:r w:rsidRPr="007D38FA">
        <w:rPr>
          <w:rFonts w:eastAsia="SimSun"/>
          <w:lang w:eastAsia="zh-CN"/>
        </w:rPr>
        <w:t>Design standard or design standard designation;</w:t>
      </w:r>
    </w:p>
    <w:p w:rsidR="007D38FA" w:rsidRPr="007D38FA" w:rsidRDefault="007D38FA" w:rsidP="00CA548E">
      <w:pPr>
        <w:pStyle w:val="SingleTxtG"/>
        <w:numPr>
          <w:ilvl w:val="0"/>
          <w:numId w:val="18"/>
        </w:numPr>
        <w:ind w:left="2345" w:right="1559"/>
        <w:rPr>
          <w:rFonts w:eastAsia="SimSun"/>
          <w:lang w:eastAsia="zh-CN"/>
        </w:rPr>
      </w:pPr>
      <w:r w:rsidRPr="007D38FA">
        <w:rPr>
          <w:rFonts w:eastAsia="SimSun"/>
          <w:lang w:eastAsia="zh-CN"/>
        </w:rPr>
        <w:t>Date of manufacture, (year and month or year and week).</w:t>
      </w:r>
    </w:p>
    <w:p w:rsidR="007D38FA" w:rsidRPr="007D38FA" w:rsidRDefault="007D38FA" w:rsidP="00CA548E">
      <w:pPr>
        <w:pStyle w:val="SingleTxtG"/>
        <w:ind w:left="1701" w:right="1559"/>
        <w:rPr>
          <w:rFonts w:eastAsia="SimSun"/>
          <w:lang w:eastAsia="zh-CN"/>
        </w:rPr>
      </w:pPr>
      <w:r w:rsidRPr="007D38FA">
        <w:rPr>
          <w:rFonts w:eastAsia="SimSun"/>
          <w:lang w:eastAsia="zh-CN"/>
        </w:rPr>
        <w:t>The valve test pressure shall be marked when it is less than the test pressure which is indicated by the shape of the valve filling connection.</w:t>
      </w:r>
      <w:r w:rsidR="00CA548E">
        <w:rPr>
          <w:rFonts w:eastAsia="SimSun"/>
          <w:lang w:eastAsia="zh-CN"/>
        </w:rPr>
        <w:t>”</w:t>
      </w:r>
    </w:p>
    <w:p w:rsidR="007D38FA" w:rsidRPr="007D38FA" w:rsidRDefault="00CA548E" w:rsidP="007D38FA">
      <w:pPr>
        <w:pStyle w:val="SingleTxtG"/>
        <w:rPr>
          <w:rFonts w:eastAsia="SimSun"/>
          <w:lang w:eastAsia="zh-CN"/>
        </w:rPr>
      </w:pPr>
      <w:r>
        <w:rPr>
          <w:rFonts w:eastAsia="SimSun"/>
          <w:lang w:eastAsia="zh-CN"/>
        </w:rPr>
        <w:t>This list needs to be supplemented by the mark of the inspection body.</w:t>
      </w:r>
    </w:p>
    <w:p w:rsidR="00563634" w:rsidRDefault="00563634" w:rsidP="00563634">
      <w:pPr>
        <w:pStyle w:val="SingleTxtG"/>
        <w:spacing w:before="240" w:after="0"/>
        <w:jc w:val="center"/>
      </w:pPr>
      <w:r>
        <w:rPr>
          <w:u w:val="single"/>
        </w:rPr>
        <w:tab/>
      </w:r>
      <w:r>
        <w:rPr>
          <w:u w:val="single"/>
        </w:rPr>
        <w:tab/>
      </w:r>
      <w:r>
        <w:rPr>
          <w:u w:val="single"/>
        </w:rPr>
        <w:tab/>
      </w:r>
    </w:p>
    <w:p w:rsidR="00FE0135" w:rsidRPr="00563634" w:rsidRDefault="00FE0135" w:rsidP="0026060C">
      <w:pPr>
        <w:rPr>
          <w:sz w:val="8"/>
        </w:rPr>
      </w:pPr>
    </w:p>
    <w:sectPr w:rsidR="00FE0135" w:rsidRPr="00563634" w:rsidSect="000B09FC">
      <w:headerReference w:type="even" r:id="rId8"/>
      <w:headerReference w:type="default" r:id="rId9"/>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28" w:rsidRDefault="00362028"/>
  </w:endnote>
  <w:endnote w:type="continuationSeparator" w:id="0">
    <w:p w:rsidR="00362028" w:rsidRDefault="00362028"/>
  </w:endnote>
  <w:endnote w:type="continuationNotice" w:id="1">
    <w:p w:rsidR="00362028" w:rsidRDefault="003620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28" w:rsidRPr="000B175B" w:rsidRDefault="00362028" w:rsidP="000B175B">
      <w:pPr>
        <w:tabs>
          <w:tab w:val="right" w:pos="2155"/>
        </w:tabs>
        <w:spacing w:after="80"/>
        <w:ind w:left="680"/>
        <w:rPr>
          <w:u w:val="single"/>
        </w:rPr>
      </w:pPr>
      <w:r>
        <w:rPr>
          <w:u w:val="single"/>
        </w:rPr>
        <w:tab/>
      </w:r>
    </w:p>
  </w:footnote>
  <w:footnote w:type="continuationSeparator" w:id="0">
    <w:p w:rsidR="00362028" w:rsidRPr="00FC68B7" w:rsidRDefault="00362028" w:rsidP="00FC68B7">
      <w:pPr>
        <w:tabs>
          <w:tab w:val="left" w:pos="2155"/>
        </w:tabs>
        <w:spacing w:after="80"/>
        <w:ind w:left="680"/>
        <w:rPr>
          <w:u w:val="single"/>
        </w:rPr>
      </w:pPr>
      <w:r>
        <w:rPr>
          <w:u w:val="single"/>
        </w:rPr>
        <w:tab/>
      </w:r>
    </w:p>
  </w:footnote>
  <w:footnote w:type="continuationNotice" w:id="1">
    <w:p w:rsidR="00362028" w:rsidRDefault="00362028"/>
  </w:footnote>
  <w:footnote w:id="2">
    <w:p w:rsidR="0043158E" w:rsidRPr="00F56CDF" w:rsidRDefault="0043158E" w:rsidP="00F56CDF">
      <w:pPr>
        <w:pStyle w:val="Notedebasdepage"/>
        <w:tabs>
          <w:tab w:val="clear" w:pos="1021"/>
        </w:tabs>
        <w:spacing w:before="120" w:after="120"/>
        <w:ind w:left="567" w:firstLine="0"/>
        <w:rPr>
          <w:szCs w:val="18"/>
        </w:rPr>
      </w:pPr>
      <w:r w:rsidRPr="00F56CDF">
        <w:rPr>
          <w:rStyle w:val="Appelnotedebasdep"/>
          <w:szCs w:val="18"/>
        </w:rPr>
        <w:t>9</w:t>
      </w:r>
      <w:r w:rsidRPr="00F56CDF">
        <w:rPr>
          <w:sz w:val="20"/>
        </w:rPr>
        <w:tab/>
      </w:r>
      <w:r w:rsidRPr="00F56CDF">
        <w:rPr>
          <w:szCs w:val="18"/>
        </w:rPr>
        <w:t>The check of the design characteristics shall also include, for shells requiring a test pressure of 1 </w:t>
      </w:r>
      <w:proofErr w:type="spellStart"/>
      <w:r w:rsidRPr="00F56CDF">
        <w:rPr>
          <w:szCs w:val="18"/>
        </w:rPr>
        <w:t>MPa</w:t>
      </w:r>
      <w:proofErr w:type="spellEnd"/>
      <w:r w:rsidRPr="00F56CDF">
        <w:rPr>
          <w:szCs w:val="18"/>
        </w:rPr>
        <w:t xml:space="preserve"> (10 bar) or higher, the taking of weld test-pieces (work samples) in accordance with 6.8.2.1.23 and the tests prescribed in 6.8.5.</w:t>
      </w:r>
    </w:p>
  </w:footnote>
  <w:footnote w:id="3">
    <w:p w:rsidR="0043158E" w:rsidRPr="00F56CDF" w:rsidRDefault="0043158E" w:rsidP="00F56CDF">
      <w:pPr>
        <w:pStyle w:val="Notedebasdepage"/>
        <w:tabs>
          <w:tab w:val="clear" w:pos="1021"/>
        </w:tabs>
        <w:ind w:left="567" w:firstLine="0"/>
        <w:rPr>
          <w:szCs w:val="18"/>
        </w:rPr>
      </w:pPr>
      <w:r w:rsidRPr="00F56CDF">
        <w:rPr>
          <w:rStyle w:val="Appelnotedebasdep"/>
          <w:szCs w:val="18"/>
        </w:rPr>
        <w:t>10</w:t>
      </w:r>
      <w:r w:rsidRPr="00F56CDF">
        <w:rPr>
          <w:iCs/>
          <w:szCs w:val="18"/>
        </w:rPr>
        <w:tab/>
      </w:r>
      <w:r w:rsidRPr="00F56CDF">
        <w:rPr>
          <w:szCs w:val="18"/>
        </w:rPr>
        <w:t xml:space="preserve">In special cases and with the agreement of the expert approved by the competent authority, the hydraulic pressure test may be replaced by a pressure test using another liquid or gas, where such an operation does not present any danger.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8E" w:rsidRPr="000B09FC" w:rsidRDefault="0043158E">
    <w:pPr>
      <w:pStyle w:val="En-tte"/>
      <w:rPr>
        <w:szCs w:val="18"/>
        <w:lang w:val="fr-CH"/>
      </w:rPr>
    </w:pPr>
    <w:r w:rsidRPr="000B09FC">
      <w:rPr>
        <w:szCs w:val="18"/>
        <w:lang w:val="fr-CH"/>
      </w:rPr>
      <w:t>INF.</w:t>
    </w:r>
    <w:r w:rsidR="00F56CDF">
      <w:rPr>
        <w:szCs w:val="18"/>
        <w:lang w:val="fr-CH"/>
      </w:rPr>
      <w:t>1</w:t>
    </w:r>
    <w:r w:rsidR="00CE14CA">
      <w:rPr>
        <w:szCs w:val="18"/>
        <w:lang w:val="fr-CH"/>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8E" w:rsidRPr="000B09FC" w:rsidRDefault="0043158E" w:rsidP="000B09FC">
    <w:pPr>
      <w:pStyle w:val="En-tte"/>
      <w:pBdr>
        <w:bottom w:val="single" w:sz="4" w:space="1" w:color="auto"/>
      </w:pBdr>
      <w:rPr>
        <w:szCs w:val="18"/>
        <w:lang w:val="fr-CH"/>
      </w:rPr>
    </w:pPr>
    <w:r w:rsidRPr="000B09FC">
      <w:rPr>
        <w:szCs w:val="18"/>
        <w:lang w:val="fr-CH"/>
      </w:rPr>
      <w:t>I</w:t>
    </w:r>
    <w:r>
      <w:rPr>
        <w:szCs w:val="18"/>
        <w:lang w:val="fr-CH"/>
      </w:rPr>
      <w:t>NF.</w:t>
    </w:r>
    <w:r w:rsidR="00F56CDF">
      <w:rPr>
        <w:szCs w:val="18"/>
        <w:lang w:val="fr-CH"/>
      </w:rPr>
      <w:t>1</w:t>
    </w:r>
    <w:r w:rsidR="00CE14CA">
      <w:rPr>
        <w:szCs w:val="18"/>
        <w:lang w:val="fr-CH"/>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73E61B3"/>
    <w:multiLevelType w:val="hybridMultilevel"/>
    <w:tmpl w:val="BACCC9DA"/>
    <w:lvl w:ilvl="0" w:tplc="55E0CF2E">
      <w:start w:val="4"/>
      <w:numFmt w:val="lowerRoman"/>
      <w:lvlText w:val="(%1)"/>
      <w:lvlJc w:val="left"/>
      <w:pPr>
        <w:ind w:left="2705" w:hanging="720"/>
      </w:pPr>
      <w:rPr>
        <w:rFonts w:hint="default"/>
      </w:r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7"/>
  </w:num>
  <w:num w:numId="1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0C4D51"/>
    <w:rsid w:val="00037F90"/>
    <w:rsid w:val="00046B1F"/>
    <w:rsid w:val="00050F6B"/>
    <w:rsid w:val="00057E97"/>
    <w:rsid w:val="0007004F"/>
    <w:rsid w:val="00072972"/>
    <w:rsid w:val="00072C8C"/>
    <w:rsid w:val="000733B5"/>
    <w:rsid w:val="00081815"/>
    <w:rsid w:val="00083DD8"/>
    <w:rsid w:val="000931C0"/>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5117"/>
    <w:rsid w:val="00155068"/>
    <w:rsid w:val="00165F3A"/>
    <w:rsid w:val="001847D2"/>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060C"/>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62028"/>
    <w:rsid w:val="00371178"/>
    <w:rsid w:val="003A6810"/>
    <w:rsid w:val="003B36D1"/>
    <w:rsid w:val="003C2CC4"/>
    <w:rsid w:val="003D4B23"/>
    <w:rsid w:val="00410C89"/>
    <w:rsid w:val="0041764E"/>
    <w:rsid w:val="00422E03"/>
    <w:rsid w:val="00426B9B"/>
    <w:rsid w:val="0043158E"/>
    <w:rsid w:val="004325CB"/>
    <w:rsid w:val="004356D2"/>
    <w:rsid w:val="00442A83"/>
    <w:rsid w:val="00446782"/>
    <w:rsid w:val="0045495B"/>
    <w:rsid w:val="00464C81"/>
    <w:rsid w:val="0048397A"/>
    <w:rsid w:val="004975C1"/>
    <w:rsid w:val="004A12F2"/>
    <w:rsid w:val="004A28A3"/>
    <w:rsid w:val="004C2461"/>
    <w:rsid w:val="004C7462"/>
    <w:rsid w:val="004D142D"/>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63634"/>
    <w:rsid w:val="0059363D"/>
    <w:rsid w:val="005B3DB3"/>
    <w:rsid w:val="005B4E13"/>
    <w:rsid w:val="005C3D80"/>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4AF7"/>
    <w:rsid w:val="00776430"/>
    <w:rsid w:val="00797575"/>
    <w:rsid w:val="007B09CB"/>
    <w:rsid w:val="007B27F1"/>
    <w:rsid w:val="007B6BA5"/>
    <w:rsid w:val="007C3390"/>
    <w:rsid w:val="007C4F4B"/>
    <w:rsid w:val="007D38FA"/>
    <w:rsid w:val="007E01E9"/>
    <w:rsid w:val="007E63F3"/>
    <w:rsid w:val="007F1F2D"/>
    <w:rsid w:val="007F6611"/>
    <w:rsid w:val="007F7106"/>
    <w:rsid w:val="007F7A86"/>
    <w:rsid w:val="008005E9"/>
    <w:rsid w:val="008116D7"/>
    <w:rsid w:val="00811920"/>
    <w:rsid w:val="00815AD0"/>
    <w:rsid w:val="008242D7"/>
    <w:rsid w:val="008257B1"/>
    <w:rsid w:val="00826C3D"/>
    <w:rsid w:val="00843767"/>
    <w:rsid w:val="008465D9"/>
    <w:rsid w:val="00854501"/>
    <w:rsid w:val="008679D9"/>
    <w:rsid w:val="00871389"/>
    <w:rsid w:val="00880848"/>
    <w:rsid w:val="00883999"/>
    <w:rsid w:val="00887652"/>
    <w:rsid w:val="008878DE"/>
    <w:rsid w:val="008979B1"/>
    <w:rsid w:val="008A1536"/>
    <w:rsid w:val="008A2A18"/>
    <w:rsid w:val="008A6B25"/>
    <w:rsid w:val="008A6C4F"/>
    <w:rsid w:val="008A7B69"/>
    <w:rsid w:val="008B2335"/>
    <w:rsid w:val="008C7DAF"/>
    <w:rsid w:val="008E0678"/>
    <w:rsid w:val="008E0DAA"/>
    <w:rsid w:val="008E4D3A"/>
    <w:rsid w:val="00905C34"/>
    <w:rsid w:val="009223CA"/>
    <w:rsid w:val="00940F93"/>
    <w:rsid w:val="0094558F"/>
    <w:rsid w:val="0095387D"/>
    <w:rsid w:val="00961690"/>
    <w:rsid w:val="009760F3"/>
    <w:rsid w:val="0098203C"/>
    <w:rsid w:val="00995CC5"/>
    <w:rsid w:val="009A0E8D"/>
    <w:rsid w:val="009B1518"/>
    <w:rsid w:val="009B26E7"/>
    <w:rsid w:val="009C454F"/>
    <w:rsid w:val="009D2A5B"/>
    <w:rsid w:val="009E1D8E"/>
    <w:rsid w:val="00A00A3F"/>
    <w:rsid w:val="00A01489"/>
    <w:rsid w:val="00A3009E"/>
    <w:rsid w:val="00A3026E"/>
    <w:rsid w:val="00A338F1"/>
    <w:rsid w:val="00A72F22"/>
    <w:rsid w:val="00A7360F"/>
    <w:rsid w:val="00A748A6"/>
    <w:rsid w:val="00A769F4"/>
    <w:rsid w:val="00A776B4"/>
    <w:rsid w:val="00A94361"/>
    <w:rsid w:val="00AA293C"/>
    <w:rsid w:val="00AA66C0"/>
    <w:rsid w:val="00AC09D2"/>
    <w:rsid w:val="00AD44C2"/>
    <w:rsid w:val="00AD48FA"/>
    <w:rsid w:val="00B11BB4"/>
    <w:rsid w:val="00B22BC2"/>
    <w:rsid w:val="00B30179"/>
    <w:rsid w:val="00B36690"/>
    <w:rsid w:val="00B421C1"/>
    <w:rsid w:val="00B46B96"/>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E48E6"/>
    <w:rsid w:val="00BF15A1"/>
    <w:rsid w:val="00BF68A8"/>
    <w:rsid w:val="00C10FE6"/>
    <w:rsid w:val="00C11A03"/>
    <w:rsid w:val="00C22C0C"/>
    <w:rsid w:val="00C4527F"/>
    <w:rsid w:val="00C463DD"/>
    <w:rsid w:val="00C467C9"/>
    <w:rsid w:val="00C4724C"/>
    <w:rsid w:val="00C629A0"/>
    <w:rsid w:val="00C64629"/>
    <w:rsid w:val="00C73056"/>
    <w:rsid w:val="00C745C3"/>
    <w:rsid w:val="00CA548E"/>
    <w:rsid w:val="00CB3E03"/>
    <w:rsid w:val="00CD57D2"/>
    <w:rsid w:val="00CE14CA"/>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3B15"/>
    <w:rsid w:val="00E15557"/>
    <w:rsid w:val="00E27346"/>
    <w:rsid w:val="00E71BC8"/>
    <w:rsid w:val="00E7260F"/>
    <w:rsid w:val="00E73F5D"/>
    <w:rsid w:val="00E77E4E"/>
    <w:rsid w:val="00E96630"/>
    <w:rsid w:val="00EA6339"/>
    <w:rsid w:val="00EB07A8"/>
    <w:rsid w:val="00EC106A"/>
    <w:rsid w:val="00EC32A0"/>
    <w:rsid w:val="00ED7A2A"/>
    <w:rsid w:val="00EE6B3A"/>
    <w:rsid w:val="00EF1D7F"/>
    <w:rsid w:val="00F227A6"/>
    <w:rsid w:val="00F24FB3"/>
    <w:rsid w:val="00F27D2C"/>
    <w:rsid w:val="00F31E5F"/>
    <w:rsid w:val="00F36F0D"/>
    <w:rsid w:val="00F4272A"/>
    <w:rsid w:val="00F438A6"/>
    <w:rsid w:val="00F56CDF"/>
    <w:rsid w:val="00F6100A"/>
    <w:rsid w:val="00F66565"/>
    <w:rsid w:val="00F93781"/>
    <w:rsid w:val="00FB613B"/>
    <w:rsid w:val="00FC3C87"/>
    <w:rsid w:val="00FC68B7"/>
    <w:rsid w:val="00FE0135"/>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B46B96"/>
    <w:pPr>
      <w:spacing w:line="240" w:lineRule="auto"/>
      <w:outlineLvl w:val="1"/>
    </w:pPr>
  </w:style>
  <w:style w:type="paragraph" w:styleId="Titre3">
    <w:name w:val="heading 3"/>
    <w:basedOn w:val="Normal"/>
    <w:next w:val="Normal"/>
    <w:qFormat/>
    <w:rsid w:val="00B46B96"/>
    <w:pPr>
      <w:spacing w:line="240" w:lineRule="auto"/>
      <w:outlineLvl w:val="2"/>
    </w:pPr>
  </w:style>
  <w:style w:type="paragraph" w:styleId="Titre4">
    <w:name w:val="heading 4"/>
    <w:basedOn w:val="Normal"/>
    <w:next w:val="Normal"/>
    <w:qFormat/>
    <w:rsid w:val="00B46B96"/>
    <w:pPr>
      <w:spacing w:line="240" w:lineRule="auto"/>
      <w:outlineLvl w:val="3"/>
    </w:pPr>
  </w:style>
  <w:style w:type="paragraph" w:styleId="Titre5">
    <w:name w:val="heading 5"/>
    <w:basedOn w:val="Normal"/>
    <w:next w:val="Normal"/>
    <w:qFormat/>
    <w:rsid w:val="00B46B96"/>
    <w:pPr>
      <w:spacing w:line="240" w:lineRule="auto"/>
      <w:outlineLvl w:val="4"/>
    </w:pPr>
  </w:style>
  <w:style w:type="paragraph" w:styleId="Titre6">
    <w:name w:val="heading 6"/>
    <w:basedOn w:val="Normal"/>
    <w:next w:val="Normal"/>
    <w:qFormat/>
    <w:rsid w:val="00B46B96"/>
    <w:pPr>
      <w:spacing w:line="240" w:lineRule="auto"/>
      <w:outlineLvl w:val="5"/>
    </w:pPr>
  </w:style>
  <w:style w:type="paragraph" w:styleId="Titre7">
    <w:name w:val="heading 7"/>
    <w:basedOn w:val="Normal"/>
    <w:next w:val="Normal"/>
    <w:qFormat/>
    <w:rsid w:val="00B46B96"/>
    <w:pPr>
      <w:spacing w:line="240" w:lineRule="auto"/>
      <w:outlineLvl w:val="6"/>
    </w:pPr>
  </w:style>
  <w:style w:type="paragraph" w:styleId="Titre8">
    <w:name w:val="heading 8"/>
    <w:basedOn w:val="Normal"/>
    <w:next w:val="Normal"/>
    <w:qFormat/>
    <w:rsid w:val="00B46B96"/>
    <w:pPr>
      <w:spacing w:line="240" w:lineRule="auto"/>
      <w:outlineLvl w:val="7"/>
    </w:pPr>
  </w:style>
  <w:style w:type="paragraph" w:styleId="Titre9">
    <w:name w:val="heading 9"/>
    <w:basedOn w:val="Normal"/>
    <w:next w:val="Normal"/>
    <w:qFormat/>
    <w:rsid w:val="00B46B9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B46B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46B9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46B96"/>
    <w:pPr>
      <w:numPr>
        <w:numId w:val="13"/>
      </w:numPr>
      <w:tabs>
        <w:tab w:val="clear" w:pos="1494"/>
      </w:tabs>
    </w:pPr>
  </w:style>
  <w:style w:type="paragraph" w:customStyle="1" w:styleId="SingleTxtG">
    <w:name w:val="_ Single Txt_G"/>
    <w:basedOn w:val="Normal"/>
    <w:link w:val="SingleTxtGChar"/>
    <w:rsid w:val="00B46B9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B46B96"/>
    <w:rPr>
      <w:rFonts w:cs="Courier New"/>
    </w:rPr>
  </w:style>
  <w:style w:type="paragraph" w:styleId="Corpsdetexte">
    <w:name w:val="Body Text"/>
    <w:basedOn w:val="Normal"/>
    <w:next w:val="Normal"/>
    <w:semiHidden/>
    <w:rsid w:val="00B46B96"/>
  </w:style>
  <w:style w:type="paragraph" w:styleId="Retraitcorpsdetexte">
    <w:name w:val="Body Text Indent"/>
    <w:basedOn w:val="Normal"/>
    <w:semiHidden/>
    <w:rsid w:val="00B46B96"/>
    <w:pPr>
      <w:spacing w:after="120"/>
      <w:ind w:left="283"/>
    </w:pPr>
  </w:style>
  <w:style w:type="paragraph" w:styleId="Normalcentr">
    <w:name w:val="Block Text"/>
    <w:basedOn w:val="Normal"/>
    <w:semiHidden/>
    <w:rsid w:val="00B46B9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B46B96"/>
    <w:rPr>
      <w:sz w:val="6"/>
    </w:rPr>
  </w:style>
  <w:style w:type="paragraph" w:styleId="Commentaire">
    <w:name w:val="annotation text"/>
    <w:basedOn w:val="Normal"/>
    <w:semiHidden/>
    <w:rsid w:val="00B46B96"/>
  </w:style>
  <w:style w:type="character" w:styleId="Numrodeligne">
    <w:name w:val="line number"/>
    <w:semiHidden/>
    <w:rsid w:val="00B46B9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46B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46B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46B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46B9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E556-539B-45E8-BD28-B33DB49D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4945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5832</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2016-02-08T07:25:00Z</cp:lastPrinted>
  <dcterms:created xsi:type="dcterms:W3CDTF">2016-02-16T15:22:00Z</dcterms:created>
  <dcterms:modified xsi:type="dcterms:W3CDTF">2016-02-16T15:53:00Z</dcterms:modified>
</cp:coreProperties>
</file>