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7" w:rsidRPr="007C64A4" w:rsidRDefault="00B55797" w:rsidP="00B55797">
      <w:pPr>
        <w:spacing w:line="60" w:lineRule="exact"/>
        <w:rPr>
          <w:color w:val="010000"/>
          <w:sz w:val="6"/>
        </w:rPr>
        <w:sectPr w:rsidR="00B55797" w:rsidRPr="007C64A4" w:rsidSect="00B557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C64A4">
        <w:rPr>
          <w:rStyle w:val="CommentReference"/>
        </w:rPr>
        <w:commentReference w:id="0"/>
      </w:r>
    </w:p>
    <w:p w:rsidR="007C64A4" w:rsidRPr="007C64A4" w:rsidRDefault="007C64A4" w:rsidP="007C64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64A4">
        <w:rPr>
          <w:lang w:bidi="ru-RU"/>
        </w:rPr>
        <w:lastRenderedPageBreak/>
        <w:t>Европейская экономическая комиссия</w:t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  <w:bookmarkStart w:id="1" w:name="_GoBack"/>
      <w:bookmarkEnd w:id="1"/>
    </w:p>
    <w:p w:rsidR="007C64A4" w:rsidRPr="007C64A4" w:rsidRDefault="007C64A4" w:rsidP="007C64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lang w:bidi="ru-RU"/>
        </w:rPr>
      </w:pPr>
      <w:r w:rsidRPr="007C64A4">
        <w:rPr>
          <w:b w:val="0"/>
          <w:lang w:bidi="ru-RU"/>
        </w:rPr>
        <w:t>Комитет по внутреннему транспорту</w:t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C64A4">
        <w:rPr>
          <w:lang w:bidi="ru-RU"/>
        </w:rPr>
        <w:t>Рабочая группа по перевозкам опасных грузов</w:t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bidi="ru-RU"/>
        </w:rPr>
      </w:pPr>
      <w:r w:rsidRPr="007C64A4">
        <w:rPr>
          <w:lang w:bidi="ru-RU"/>
        </w:rPr>
        <w:t xml:space="preserve">Совместное совещание Комиссии экспертов МПОГ </w:t>
      </w:r>
      <w:r w:rsidRPr="007C64A4">
        <w:rPr>
          <w:lang w:bidi="ru-RU"/>
        </w:rPr>
        <w:br/>
        <w:t>и Рабочей группы по перевозкам опасных грузов</w:t>
      </w:r>
    </w:p>
    <w:p w:rsidR="007C64A4" w:rsidRPr="007C64A4" w:rsidRDefault="007C64A4" w:rsidP="007C64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 w:val="0"/>
          <w:lang w:bidi="ru-RU"/>
        </w:rPr>
      </w:pPr>
      <w:r w:rsidRPr="007C64A4">
        <w:rPr>
          <w:b w:val="0"/>
          <w:lang w:bidi="ru-RU"/>
        </w:rPr>
        <w:t>Берн, 14</w:t>
      </w:r>
      <w:r w:rsidRPr="00F70018">
        <w:rPr>
          <w:b w:val="0"/>
          <w:lang w:bidi="ru-RU"/>
        </w:rPr>
        <w:t>–</w:t>
      </w:r>
      <w:r w:rsidRPr="007C64A4">
        <w:rPr>
          <w:b w:val="0"/>
          <w:lang w:bidi="ru-RU"/>
        </w:rPr>
        <w:t>18 марта 2016 года</w:t>
      </w:r>
    </w:p>
    <w:p w:rsidR="007C64A4" w:rsidRPr="007C64A4" w:rsidRDefault="007C64A4" w:rsidP="007C64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b w:val="0"/>
          <w:lang w:bidi="ru-RU"/>
        </w:rPr>
      </w:pPr>
      <w:r w:rsidRPr="007C64A4">
        <w:rPr>
          <w:b w:val="0"/>
          <w:lang w:bidi="ru-RU"/>
        </w:rPr>
        <w:t>Пункт 9 предварительной повестки дня</w:t>
      </w:r>
    </w:p>
    <w:p w:rsidR="007C64A4" w:rsidRPr="007C64A4" w:rsidRDefault="007C64A4" w:rsidP="007C64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bidi="ru-RU"/>
        </w:rPr>
      </w:pPr>
      <w:r w:rsidRPr="007C64A4">
        <w:rPr>
          <w:lang w:bidi="ru-RU"/>
        </w:rPr>
        <w:t>Прочие вопросы</w:t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C64A4">
        <w:tab/>
      </w:r>
      <w:r w:rsidRPr="007C64A4">
        <w:tab/>
        <w:t>Определения стандартной стали и мягкой стали</w:t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B55797" w:rsidRPr="007C64A4" w:rsidRDefault="007C64A4" w:rsidP="007C64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vertAlign w:val="superscript"/>
          <w:lang w:bidi="ru-RU"/>
        </w:rPr>
      </w:pPr>
      <w:r w:rsidRPr="007C64A4">
        <w:rPr>
          <w:lang w:bidi="ru-RU"/>
        </w:rPr>
        <w:tab/>
      </w:r>
      <w:r w:rsidRPr="007C64A4">
        <w:rPr>
          <w:lang w:bidi="ru-RU"/>
        </w:rPr>
        <w:tab/>
        <w:t>Передано правительством Румынии</w:t>
      </w:r>
      <w:r w:rsidRPr="007C64A4">
        <w:rPr>
          <w:rStyle w:val="FootnoteReference"/>
          <w:b w:val="0"/>
          <w:sz w:val="20"/>
          <w:szCs w:val="20"/>
          <w:lang w:bidi="ru-RU"/>
        </w:rPr>
        <w:footnoteReference w:id="2"/>
      </w:r>
      <w:r w:rsidRPr="00741772">
        <w:rPr>
          <w:sz w:val="20"/>
          <w:szCs w:val="20"/>
          <w:vertAlign w:val="superscript"/>
          <w:lang w:bidi="ru-RU"/>
        </w:rPr>
        <w:t xml:space="preserve">, </w:t>
      </w:r>
      <w:r w:rsidRPr="007C64A4">
        <w:rPr>
          <w:rStyle w:val="FootnoteReference"/>
          <w:b w:val="0"/>
          <w:sz w:val="20"/>
          <w:szCs w:val="20"/>
          <w:lang w:bidi="ru-RU"/>
        </w:rPr>
        <w:footnoteReference w:id="3"/>
      </w: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p w:rsidR="007C64A4" w:rsidRPr="007C64A4" w:rsidRDefault="007C64A4" w:rsidP="007C64A4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255B5" w:rsidTr="003255B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255B5" w:rsidRPr="003255B5" w:rsidRDefault="003255B5" w:rsidP="003255B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 w:bidi="ru-RU"/>
              </w:rPr>
            </w:pPr>
            <w:r>
              <w:rPr>
                <w:i/>
                <w:sz w:val="24"/>
                <w:lang w:val="en-US" w:bidi="ru-RU"/>
              </w:rPr>
              <w:tab/>
            </w:r>
            <w:proofErr w:type="spellStart"/>
            <w:r>
              <w:rPr>
                <w:i/>
                <w:sz w:val="24"/>
                <w:lang w:val="en-US" w:bidi="ru-RU"/>
              </w:rPr>
              <w:t>Резюме</w:t>
            </w:r>
            <w:proofErr w:type="spellEnd"/>
          </w:p>
        </w:tc>
      </w:tr>
      <w:tr w:rsidR="003255B5" w:rsidRPr="003255B5" w:rsidTr="003255B5">
        <w:tc>
          <w:tcPr>
            <w:tcW w:w="10051" w:type="dxa"/>
            <w:shd w:val="clear" w:color="auto" w:fill="auto"/>
          </w:tcPr>
          <w:p w:rsidR="003255B5" w:rsidRPr="003255B5" w:rsidRDefault="003255B5" w:rsidP="003255B5">
            <w:pPr>
              <w:pStyle w:val="SingleTxt"/>
              <w:tabs>
                <w:tab w:val="clear" w:pos="3658"/>
                <w:tab w:val="left" w:pos="3792"/>
              </w:tabs>
              <w:rPr>
                <w:lang w:bidi="ru-RU"/>
              </w:rPr>
            </w:pPr>
            <w:r w:rsidRPr="003255B5">
              <w:rPr>
                <w:b/>
                <w:lang w:bidi="ru-RU"/>
              </w:rPr>
              <w:t>Существо предложения</w:t>
            </w:r>
            <w:r w:rsidRPr="003255B5">
              <w:rPr>
                <w:lang w:bidi="ru-RU"/>
              </w:rPr>
              <w:t>:</w:t>
            </w:r>
            <w:r w:rsidRPr="003255B5">
              <w:rPr>
                <w:lang w:bidi="ru-RU"/>
              </w:rPr>
              <w:tab/>
              <w:t xml:space="preserve">Цели настоящего документа: </w:t>
            </w:r>
          </w:p>
          <w:p w:rsidR="003255B5" w:rsidRPr="003255B5" w:rsidRDefault="003255B5" w:rsidP="003255B5">
            <w:pPr>
              <w:pStyle w:val="SingleTxt"/>
              <w:tabs>
                <w:tab w:val="clear" w:pos="3658"/>
                <w:tab w:val="left" w:pos="3792"/>
              </w:tabs>
              <w:ind w:left="3801"/>
              <w:rPr>
                <w:lang w:bidi="ru-RU"/>
              </w:rPr>
            </w:pPr>
            <w:r w:rsidRPr="003255B5">
              <w:rPr>
                <w:lang w:bidi="ru-RU"/>
              </w:rPr>
              <w:t xml:space="preserve">1) расширить определение стандартной стали, с </w:t>
            </w:r>
            <w:proofErr w:type="gramStart"/>
            <w:r w:rsidRPr="003255B5">
              <w:rPr>
                <w:lang w:bidi="ru-RU"/>
              </w:rPr>
              <w:t>тем</w:t>
            </w:r>
            <w:proofErr w:type="gramEnd"/>
            <w:r w:rsidRPr="003255B5">
              <w:rPr>
                <w:lang w:bidi="ru-RU"/>
              </w:rPr>
              <w:t xml:space="preserve"> чтобы охватить металлические КСГМГ;</w:t>
            </w:r>
          </w:p>
          <w:p w:rsidR="003255B5" w:rsidRPr="003255B5" w:rsidRDefault="003255B5" w:rsidP="003255B5">
            <w:pPr>
              <w:pStyle w:val="SingleTxt"/>
              <w:tabs>
                <w:tab w:val="clear" w:pos="3658"/>
                <w:tab w:val="left" w:pos="3792"/>
              </w:tabs>
              <w:ind w:left="3801"/>
              <w:rPr>
                <w:lang w:bidi="ru-RU"/>
              </w:rPr>
            </w:pPr>
            <w:r w:rsidRPr="003255B5">
              <w:rPr>
                <w:lang w:bidi="ru-RU"/>
              </w:rPr>
              <w:t>2) проанализировать, охватывают ли пределы прочн</w:t>
            </w:r>
            <w:r w:rsidRPr="003255B5">
              <w:rPr>
                <w:lang w:bidi="ru-RU"/>
              </w:rPr>
              <w:t>о</w:t>
            </w:r>
            <w:r w:rsidRPr="003255B5">
              <w:rPr>
                <w:lang w:bidi="ru-RU"/>
              </w:rPr>
              <w:t>сти на растяжение мягкой стали положения глав 2.7, 6.4, 6.7 и 6.8 МПОГ/ДОПОГ.</w:t>
            </w:r>
          </w:p>
        </w:tc>
      </w:tr>
      <w:tr w:rsidR="003255B5" w:rsidRPr="003255B5" w:rsidTr="003255B5">
        <w:tc>
          <w:tcPr>
            <w:tcW w:w="10051" w:type="dxa"/>
            <w:shd w:val="clear" w:color="auto" w:fill="auto"/>
          </w:tcPr>
          <w:p w:rsidR="003255B5" w:rsidRPr="003255B5" w:rsidRDefault="003255B5" w:rsidP="003255B5">
            <w:pPr>
              <w:pStyle w:val="SingleTxt"/>
              <w:tabs>
                <w:tab w:val="clear" w:pos="3658"/>
                <w:tab w:val="left" w:pos="3792"/>
              </w:tabs>
              <w:ind w:left="3819" w:hanging="2538"/>
              <w:rPr>
                <w:lang w:bidi="ru-RU"/>
              </w:rPr>
            </w:pPr>
            <w:r w:rsidRPr="003255B5">
              <w:rPr>
                <w:b/>
                <w:lang w:bidi="ru-RU"/>
              </w:rPr>
              <w:t>Предлагаемое решение</w:t>
            </w:r>
            <w:r>
              <w:rPr>
                <w:lang w:bidi="ru-RU"/>
              </w:rPr>
              <w:t>:</w:t>
            </w:r>
            <w:r w:rsidRPr="003255B5">
              <w:rPr>
                <w:lang w:bidi="ru-RU"/>
              </w:rPr>
              <w:tab/>
              <w:t xml:space="preserve">Изменить определения </w:t>
            </w:r>
            <w:r w:rsidR="008D75A8" w:rsidRPr="00FF3BFD">
              <w:rPr>
                <w:lang w:bidi="ru-RU"/>
              </w:rPr>
              <w:t>«</w:t>
            </w:r>
            <w:r w:rsidRPr="003255B5">
              <w:rPr>
                <w:i/>
                <w:lang w:bidi="ru-RU"/>
              </w:rPr>
              <w:t>стандартной стали</w:t>
            </w:r>
            <w:r w:rsidR="008D75A8" w:rsidRPr="00FF3BFD">
              <w:rPr>
                <w:lang w:bidi="ru-RU"/>
              </w:rPr>
              <w:t>»</w:t>
            </w:r>
            <w:r w:rsidRPr="003255B5">
              <w:rPr>
                <w:i/>
                <w:lang w:bidi="ru-RU"/>
              </w:rPr>
              <w:t xml:space="preserve"> и </w:t>
            </w:r>
            <w:r w:rsidR="008D75A8" w:rsidRPr="00FF3BFD">
              <w:rPr>
                <w:lang w:bidi="ru-RU"/>
              </w:rPr>
              <w:t>«</w:t>
            </w:r>
            <w:r w:rsidRPr="003255B5">
              <w:rPr>
                <w:i/>
                <w:lang w:bidi="ru-RU"/>
              </w:rPr>
              <w:t>мя</w:t>
            </w:r>
            <w:r w:rsidRPr="003255B5">
              <w:rPr>
                <w:i/>
                <w:lang w:bidi="ru-RU"/>
              </w:rPr>
              <w:t>г</w:t>
            </w:r>
            <w:r w:rsidRPr="003255B5">
              <w:rPr>
                <w:i/>
                <w:lang w:bidi="ru-RU"/>
              </w:rPr>
              <w:t>кой</w:t>
            </w:r>
            <w:r w:rsidRPr="003255B5">
              <w:rPr>
                <w:lang w:bidi="ru-RU"/>
              </w:rPr>
              <w:t xml:space="preserve"> </w:t>
            </w:r>
            <w:r w:rsidRPr="003255B5">
              <w:rPr>
                <w:i/>
                <w:lang w:bidi="ru-RU"/>
              </w:rPr>
              <w:t>стали</w:t>
            </w:r>
            <w:r w:rsidR="008D75A8" w:rsidRPr="00FF3BFD">
              <w:rPr>
                <w:lang w:bidi="ru-RU"/>
              </w:rPr>
              <w:t>»</w:t>
            </w:r>
            <w:r w:rsidRPr="00FF3BFD">
              <w:rPr>
                <w:lang w:bidi="ru-RU"/>
              </w:rPr>
              <w:t>, включенные в</w:t>
            </w:r>
            <w:r w:rsidRPr="003255B5">
              <w:rPr>
                <w:lang w:bidi="ru-RU"/>
              </w:rPr>
              <w:t xml:space="preserve"> раздел 1.2.1.</w:t>
            </w:r>
          </w:p>
        </w:tc>
      </w:tr>
      <w:tr w:rsidR="003255B5" w:rsidRPr="003255B5" w:rsidTr="003255B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3255B5" w:rsidRPr="003255B5" w:rsidRDefault="003255B5" w:rsidP="00FF3BFD">
            <w:pPr>
              <w:pStyle w:val="SingleTxt"/>
              <w:keepNext/>
              <w:keepLines/>
              <w:tabs>
                <w:tab w:val="clear" w:pos="3658"/>
                <w:tab w:val="left" w:pos="3792"/>
              </w:tabs>
              <w:ind w:left="3787" w:hanging="2520"/>
              <w:rPr>
                <w:lang w:bidi="ru-RU"/>
              </w:rPr>
            </w:pPr>
            <w:r w:rsidRPr="003255B5">
              <w:rPr>
                <w:b/>
                <w:lang w:bidi="ru-RU"/>
              </w:rPr>
              <w:lastRenderedPageBreak/>
              <w:t>Справочные документы:</w:t>
            </w:r>
            <w:r w:rsidRPr="003255B5">
              <w:rPr>
                <w:lang w:bidi="ru-RU"/>
              </w:rPr>
              <w:tab/>
            </w:r>
            <w:proofErr w:type="gramStart"/>
            <w:r w:rsidRPr="003255B5">
              <w:rPr>
                <w:lang w:bidi="ru-RU"/>
              </w:rPr>
              <w:t>Неофициальный документ INF.35 (сессия, состоявш</w:t>
            </w:r>
            <w:r w:rsidRPr="003255B5">
              <w:rPr>
                <w:lang w:bidi="ru-RU"/>
              </w:rPr>
              <w:t>а</w:t>
            </w:r>
            <w:r w:rsidRPr="003255B5">
              <w:rPr>
                <w:lang w:bidi="ru-RU"/>
              </w:rPr>
              <w:t>яся в сентябре 2014 года), пункт 8 доклада о работе сессии, состоявшейся в сентябре 2014 года, Рабочей группы Совместного совещания (ECE/TRANS/WP.15/</w:t>
            </w:r>
            <w:r>
              <w:rPr>
                <w:lang w:bidi="ru-RU"/>
              </w:rPr>
              <w:t xml:space="preserve"> </w:t>
            </w:r>
            <w:r w:rsidRPr="003255B5">
              <w:rPr>
                <w:lang w:bidi="ru-RU"/>
              </w:rPr>
              <w:t>AC.1/136/Add.1), неофициальный документ INF.30 о</w:t>
            </w:r>
            <w:r w:rsidR="00FF3BFD">
              <w:rPr>
                <w:lang w:bidi="ru-RU"/>
              </w:rPr>
              <w:t xml:space="preserve"> </w:t>
            </w:r>
            <w:r w:rsidRPr="003255B5">
              <w:rPr>
                <w:lang w:bidi="ru-RU"/>
              </w:rPr>
              <w:t>работе сорок седьмой сессии Подкомитета экспертов по перевозке опасных грузов Организации Объед</w:t>
            </w:r>
            <w:r w:rsidRPr="003255B5">
              <w:rPr>
                <w:lang w:bidi="ru-RU"/>
              </w:rPr>
              <w:t>и</w:t>
            </w:r>
            <w:r w:rsidRPr="003255B5">
              <w:rPr>
                <w:lang w:bidi="ru-RU"/>
              </w:rPr>
              <w:t>ненных Наций (ПКЭПОГ), документы ST/SG/AC.10/</w:t>
            </w:r>
            <w:r>
              <w:rPr>
                <w:lang w:bidi="ru-RU"/>
              </w:rPr>
              <w:t xml:space="preserve"> </w:t>
            </w:r>
            <w:r w:rsidRPr="003255B5">
              <w:rPr>
                <w:lang w:bidi="ru-RU"/>
              </w:rPr>
              <w:t>C.3</w:t>
            </w:r>
            <w:proofErr w:type="gramEnd"/>
            <w:r w:rsidRPr="003255B5">
              <w:rPr>
                <w:lang w:bidi="ru-RU"/>
              </w:rPr>
              <w:t>/2015/44, ST/SG/AC.10/C.3/2015/55 и пункты 99 и</w:t>
            </w:r>
            <w:r w:rsidR="008D75A8">
              <w:rPr>
                <w:lang w:bidi="ru-RU"/>
              </w:rPr>
              <w:t> </w:t>
            </w:r>
            <w:r w:rsidRPr="003255B5">
              <w:rPr>
                <w:lang w:bidi="ru-RU"/>
              </w:rPr>
              <w:t>100 доклада о работе сорок восьмой сессии ПКЭПОГ (ST/SG/AC.10/C.3/96).</w:t>
            </w:r>
          </w:p>
        </w:tc>
      </w:tr>
      <w:tr w:rsidR="003255B5" w:rsidRPr="003255B5" w:rsidTr="003255B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255B5" w:rsidRPr="003255B5" w:rsidRDefault="003255B5" w:rsidP="003255B5">
            <w:pPr>
              <w:pStyle w:val="SingleTxt"/>
              <w:rPr>
                <w:lang w:bidi="ru-RU"/>
              </w:rPr>
            </w:pPr>
          </w:p>
        </w:tc>
      </w:tr>
    </w:tbl>
    <w:p w:rsidR="003255B5" w:rsidRPr="003255B5" w:rsidRDefault="003255B5" w:rsidP="007C64A4">
      <w:pPr>
        <w:pStyle w:val="SingleTxt"/>
        <w:rPr>
          <w:lang w:bidi="ru-RU"/>
        </w:rPr>
      </w:pPr>
    </w:p>
    <w:p w:rsidR="007C64A4" w:rsidRPr="003255B5" w:rsidRDefault="003255B5" w:rsidP="003255B5">
      <w:pPr>
        <w:pStyle w:val="SingleTxt"/>
        <w:spacing w:after="0" w:line="120" w:lineRule="exact"/>
        <w:rPr>
          <w:sz w:val="10"/>
          <w:lang w:bidi="ru-RU"/>
        </w:rPr>
      </w:pPr>
      <w:r w:rsidRPr="003255B5">
        <w:rPr>
          <w:lang w:bidi="ru-RU"/>
        </w:rPr>
        <w:br w:type="page"/>
      </w:r>
    </w:p>
    <w:p w:rsidR="003255B5" w:rsidRPr="003255B5" w:rsidRDefault="003255B5" w:rsidP="008D75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D75A8">
        <w:rPr>
          <w:lang w:bidi="ru-RU"/>
        </w:rPr>
        <w:tab/>
      </w:r>
      <w:r w:rsidRPr="008D75A8">
        <w:rPr>
          <w:lang w:bidi="ru-RU"/>
        </w:rPr>
        <w:tab/>
      </w:r>
      <w:r w:rsidRPr="003255B5">
        <w:rPr>
          <w:lang w:bidi="ru-RU"/>
        </w:rPr>
        <w:t>Введение</w:t>
      </w:r>
    </w:p>
    <w:p w:rsidR="003255B5" w:rsidRPr="003255B5" w:rsidRDefault="003255B5" w:rsidP="003255B5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1.</w:t>
      </w:r>
      <w:r w:rsidRPr="003255B5">
        <w:rPr>
          <w:lang w:bidi="ru-RU"/>
        </w:rPr>
        <w:tab/>
        <w:t>Как предусмотрено в пунктах 99 и 100 доклада о работе сессии, состоя</w:t>
      </w:r>
      <w:r w:rsidRPr="003255B5">
        <w:rPr>
          <w:lang w:bidi="ru-RU"/>
        </w:rPr>
        <w:t>в</w:t>
      </w:r>
      <w:r w:rsidRPr="003255B5">
        <w:rPr>
          <w:lang w:bidi="ru-RU"/>
        </w:rPr>
        <w:t>шейся в декабре 2015 года, Подкомитета экспертов по перевозке опасных грузов:</w:t>
      </w:r>
    </w:p>
    <w:p w:rsidR="003255B5" w:rsidRPr="003255B5" w:rsidRDefault="008D75A8" w:rsidP="003255B5">
      <w:pPr>
        <w:pStyle w:val="SingleTxt"/>
        <w:rPr>
          <w:i/>
          <w:lang w:bidi="ru-RU"/>
        </w:rPr>
      </w:pPr>
      <w:r w:rsidRPr="004F0A6A">
        <w:rPr>
          <w:lang w:bidi="ru-RU"/>
        </w:rPr>
        <w:t>«</w:t>
      </w:r>
      <w:r w:rsidR="003255B5" w:rsidRPr="003255B5">
        <w:rPr>
          <w:i/>
          <w:lang w:bidi="ru-RU"/>
        </w:rPr>
        <w:t>99.</w:t>
      </w:r>
      <w:r w:rsidR="003255B5" w:rsidRPr="003255B5">
        <w:rPr>
          <w:lang w:bidi="ru-RU"/>
        </w:rPr>
        <w:tab/>
      </w:r>
      <w:r w:rsidR="003255B5" w:rsidRPr="003255B5">
        <w:rPr>
          <w:i/>
          <w:lang w:bidi="ru-RU"/>
        </w:rPr>
        <w:t xml:space="preserve">Подкомитет отметил, что в МПОГ и ДОПОГ определения 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>мягкой стали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 xml:space="preserve"> и 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>стандартной стали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 xml:space="preserve"> включены в раздел 1.2.1 и в главу 6.7, в то время как в Типовых правилах они находятся в главе 6.7. Некоторые делегации не хотят п</w:t>
      </w:r>
      <w:r w:rsidR="003255B5" w:rsidRPr="003255B5">
        <w:rPr>
          <w:i/>
          <w:lang w:bidi="ru-RU"/>
        </w:rPr>
        <w:t>е</w:t>
      </w:r>
      <w:r w:rsidR="003255B5" w:rsidRPr="003255B5">
        <w:rPr>
          <w:i/>
          <w:lang w:bidi="ru-RU"/>
        </w:rPr>
        <w:t xml:space="preserve">реноса этих определений в раздел 1.2.1, поскольку определение 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>стандартной стали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 xml:space="preserve"> не является идентичным применительно к КСГМГ, при этом термин 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>мягкая сталь</w:t>
      </w:r>
      <w:r>
        <w:rPr>
          <w:i/>
          <w:lang w:bidi="ru-RU"/>
        </w:rPr>
        <w:t>"</w:t>
      </w:r>
      <w:r w:rsidR="003255B5" w:rsidRPr="003255B5">
        <w:rPr>
          <w:i/>
          <w:lang w:bidi="ru-RU"/>
        </w:rPr>
        <w:t xml:space="preserve"> используется и в других главах, например в главе 6.4. Следует проконсультироваться с экспертами по испытаниям класса 7, с </w:t>
      </w:r>
      <w:proofErr w:type="gramStart"/>
      <w:r w:rsidR="003255B5" w:rsidRPr="003255B5">
        <w:rPr>
          <w:i/>
          <w:lang w:bidi="ru-RU"/>
        </w:rPr>
        <w:t>тем</w:t>
      </w:r>
      <w:proofErr w:type="gramEnd"/>
      <w:r w:rsidR="003255B5" w:rsidRPr="003255B5">
        <w:rPr>
          <w:i/>
          <w:lang w:bidi="ru-RU"/>
        </w:rPr>
        <w:t xml:space="preserve"> чтобы установить, соответствует ли определение в главе 6.7 также контексту гл</w:t>
      </w:r>
      <w:r w:rsidR="003255B5" w:rsidRPr="003255B5">
        <w:rPr>
          <w:i/>
          <w:lang w:bidi="ru-RU"/>
        </w:rPr>
        <w:t>а</w:t>
      </w:r>
      <w:r w:rsidR="003255B5" w:rsidRPr="003255B5">
        <w:rPr>
          <w:i/>
          <w:lang w:bidi="ru-RU"/>
        </w:rPr>
        <w:t>вы</w:t>
      </w:r>
      <w:r>
        <w:rPr>
          <w:i/>
          <w:lang w:bidi="ru-RU"/>
        </w:rPr>
        <w:t> </w:t>
      </w:r>
      <w:r w:rsidR="003255B5" w:rsidRPr="003255B5">
        <w:rPr>
          <w:i/>
          <w:lang w:bidi="ru-RU"/>
        </w:rPr>
        <w:t>6.4.</w:t>
      </w:r>
    </w:p>
    <w:p w:rsidR="003255B5" w:rsidRPr="003255B5" w:rsidRDefault="003255B5" w:rsidP="003255B5">
      <w:pPr>
        <w:pStyle w:val="SingleTxt"/>
        <w:rPr>
          <w:i/>
          <w:lang w:bidi="ru-RU"/>
        </w:rPr>
      </w:pPr>
      <w:r w:rsidRPr="003255B5">
        <w:rPr>
          <w:i/>
          <w:lang w:bidi="ru-RU"/>
        </w:rPr>
        <w:t>100.</w:t>
      </w:r>
      <w:r w:rsidRPr="003255B5">
        <w:rPr>
          <w:lang w:bidi="ru-RU"/>
        </w:rPr>
        <w:tab/>
      </w:r>
      <w:r w:rsidRPr="003255B5">
        <w:rPr>
          <w:i/>
          <w:lang w:bidi="ru-RU"/>
        </w:rPr>
        <w:t>После обсуждения было принято решение на данном этапе предлагаемые изменения не вносить</w:t>
      </w:r>
      <w:r w:rsidR="008D75A8" w:rsidRPr="004F0A6A">
        <w:rPr>
          <w:lang w:bidi="ru-RU"/>
        </w:rPr>
        <w:t>»</w:t>
      </w:r>
      <w:r w:rsidRPr="004F0A6A">
        <w:rPr>
          <w:lang w:bidi="ru-RU"/>
        </w:rPr>
        <w:t>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2.</w:t>
      </w:r>
      <w:r w:rsidRPr="003255B5">
        <w:rPr>
          <w:lang w:bidi="ru-RU"/>
        </w:rPr>
        <w:tab/>
        <w:t>В настоящее время в разделе 1.2.1 МПОГ/ДОПОГ имеются следующие определения:</w:t>
      </w:r>
    </w:p>
    <w:p w:rsidR="003255B5" w:rsidRPr="003255B5" w:rsidRDefault="008D75A8" w:rsidP="003255B5">
      <w:pPr>
        <w:pStyle w:val="SingleTxt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i/>
          <w:lang w:bidi="ru-RU"/>
        </w:rPr>
        <w:t>Стандартная сталь</w:t>
      </w:r>
      <w:r>
        <w:rPr>
          <w:lang w:bidi="ru-RU"/>
        </w:rPr>
        <w:t>»</w:t>
      </w:r>
      <w:r w:rsidR="003255B5" w:rsidRPr="003255B5">
        <w:rPr>
          <w:lang w:bidi="ru-RU"/>
        </w:rPr>
        <w:t xml:space="preserve"> означает сталь с пределом прочности на разрыв 370</w:t>
      </w:r>
      <w:r>
        <w:rPr>
          <w:lang w:bidi="ru-RU"/>
        </w:rPr>
        <w:t> </w:t>
      </w:r>
      <w:r w:rsidR="003255B5" w:rsidRPr="003255B5">
        <w:rPr>
          <w:lang w:bidi="ru-RU"/>
        </w:rPr>
        <w:t>Н/мм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 xml:space="preserve"> и удлинением при разрушении 27%.</w:t>
      </w:r>
    </w:p>
    <w:p w:rsidR="003255B5" w:rsidRPr="003255B5" w:rsidRDefault="008D75A8" w:rsidP="003255B5">
      <w:pPr>
        <w:pStyle w:val="SingleTxt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i/>
          <w:lang w:bidi="ru-RU"/>
        </w:rPr>
        <w:t>Мягкая сталь</w:t>
      </w:r>
      <w:r>
        <w:rPr>
          <w:lang w:bidi="ru-RU"/>
        </w:rPr>
        <w:t>»</w:t>
      </w:r>
      <w:r w:rsidR="003255B5" w:rsidRPr="003255B5">
        <w:rPr>
          <w:lang w:bidi="ru-RU"/>
        </w:rPr>
        <w:t xml:space="preserve"> означает сталь с минимальной прочностью на разрыв </w:t>
      </w:r>
      <w:r w:rsidR="003255B5" w:rsidRPr="003255B5">
        <w:rPr>
          <w:u w:val="single"/>
          <w:lang w:bidi="ru-RU"/>
        </w:rPr>
        <w:t>от</w:t>
      </w:r>
      <w:r w:rsidR="003255B5" w:rsidRPr="003255B5">
        <w:rPr>
          <w:lang w:bidi="ru-RU"/>
        </w:rPr>
        <w:t xml:space="preserve"> 360 </w:t>
      </w:r>
      <w:r w:rsidR="003255B5" w:rsidRPr="003255B5">
        <w:rPr>
          <w:u w:val="single"/>
          <w:lang w:bidi="ru-RU"/>
        </w:rPr>
        <w:t>до</w:t>
      </w:r>
      <w:r w:rsidR="003255B5" w:rsidRPr="003255B5">
        <w:rPr>
          <w:lang w:bidi="ru-RU"/>
        </w:rPr>
        <w:t xml:space="preserve"> 440 Н/мм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>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b/>
          <w:i/>
          <w:lang w:bidi="ru-RU"/>
        </w:rPr>
        <w:t xml:space="preserve">ПРИМЕЧАНИЕ: </w:t>
      </w:r>
      <w:r w:rsidRPr="003255B5">
        <w:rPr>
          <w:i/>
          <w:lang w:bidi="ru-RU"/>
        </w:rPr>
        <w:t>В отношении переносных цистерн см. главу 6.7.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3.</w:t>
      </w:r>
      <w:r w:rsidRPr="003255B5">
        <w:rPr>
          <w:lang w:bidi="ru-RU"/>
        </w:rPr>
        <w:tab/>
        <w:t>В настоящее время в главе 6.7 МПОГ/ДОПОГ имеются следующие опред</w:t>
      </w:r>
      <w:r w:rsidRPr="003255B5">
        <w:rPr>
          <w:lang w:bidi="ru-RU"/>
        </w:rPr>
        <w:t>е</w:t>
      </w:r>
      <w:r w:rsidRPr="003255B5">
        <w:rPr>
          <w:lang w:bidi="ru-RU"/>
        </w:rPr>
        <w:t>ления: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i/>
          <w:lang w:bidi="ru-RU"/>
        </w:rPr>
        <w:t>Стандартная сталь</w:t>
      </w:r>
      <w:r w:rsidRPr="003255B5">
        <w:rPr>
          <w:lang w:bidi="ru-RU"/>
        </w:rPr>
        <w:t xml:space="preserve"> означает сталь с пределом прочности на разрыв 370 Н/мм</w:t>
      </w:r>
      <w:proofErr w:type="gramStart"/>
      <w:r w:rsidRPr="003255B5">
        <w:rPr>
          <w:vertAlign w:val="superscript"/>
          <w:lang w:bidi="ru-RU"/>
        </w:rPr>
        <w:t>2</w:t>
      </w:r>
      <w:proofErr w:type="gramEnd"/>
      <w:r w:rsidRPr="003255B5">
        <w:rPr>
          <w:lang w:bidi="ru-RU"/>
        </w:rPr>
        <w:t xml:space="preserve"> и удлинением при разрушении 27%.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i/>
          <w:lang w:bidi="ru-RU"/>
        </w:rPr>
        <w:t>Мягкая сталь</w:t>
      </w:r>
      <w:r w:rsidRPr="003255B5">
        <w:rPr>
          <w:lang w:bidi="ru-RU"/>
        </w:rPr>
        <w:t xml:space="preserve"> означает сталь с гарантированным минимальным пределом про</w:t>
      </w:r>
      <w:r w:rsidRPr="003255B5">
        <w:rPr>
          <w:lang w:bidi="ru-RU"/>
        </w:rPr>
        <w:t>ч</w:t>
      </w:r>
      <w:r w:rsidRPr="003255B5">
        <w:rPr>
          <w:lang w:bidi="ru-RU"/>
        </w:rPr>
        <w:t>ности на разрыв 360</w:t>
      </w:r>
      <w:r w:rsidR="00A02502">
        <w:rPr>
          <w:lang w:bidi="ru-RU"/>
        </w:rPr>
        <w:t>–</w:t>
      </w:r>
      <w:r w:rsidRPr="003255B5">
        <w:rPr>
          <w:lang w:bidi="ru-RU"/>
        </w:rPr>
        <w:t>440 Н/мм</w:t>
      </w:r>
      <w:proofErr w:type="gramStart"/>
      <w:r w:rsidRPr="003255B5">
        <w:rPr>
          <w:vertAlign w:val="superscript"/>
          <w:lang w:bidi="ru-RU"/>
        </w:rPr>
        <w:t>2</w:t>
      </w:r>
      <w:proofErr w:type="gramEnd"/>
      <w:r w:rsidRPr="003255B5">
        <w:rPr>
          <w:lang w:bidi="ru-RU"/>
        </w:rPr>
        <w:t xml:space="preserve"> и </w:t>
      </w:r>
      <w:r w:rsidRPr="003255B5">
        <w:rPr>
          <w:u w:val="single"/>
          <w:lang w:bidi="ru-RU"/>
        </w:rPr>
        <w:t>гарантированным минимальным</w:t>
      </w:r>
      <w:r w:rsidRPr="003255B5">
        <w:rPr>
          <w:lang w:bidi="ru-RU"/>
        </w:rPr>
        <w:t xml:space="preserve"> удлинением при разрушении, соответствующим требованиям пункта 6.7.</w:t>
      </w:r>
      <w:r w:rsidRPr="003255B5">
        <w:rPr>
          <w:u w:val="single"/>
          <w:lang w:bidi="ru-RU"/>
        </w:rPr>
        <w:t>2</w:t>
      </w:r>
      <w:r w:rsidRPr="003255B5">
        <w:rPr>
          <w:lang w:bidi="ru-RU"/>
        </w:rPr>
        <w:t>.3.3.3.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i/>
          <w:lang w:bidi="ru-RU"/>
        </w:rPr>
        <w:t>Мягкая сталь</w:t>
      </w:r>
      <w:r w:rsidRPr="003255B5">
        <w:rPr>
          <w:lang w:bidi="ru-RU"/>
        </w:rPr>
        <w:t xml:space="preserve"> означает сталь с </w:t>
      </w:r>
      <w:r w:rsidRPr="003255B5">
        <w:rPr>
          <w:u w:val="single"/>
          <w:lang w:bidi="ru-RU"/>
        </w:rPr>
        <w:t>гарантированным минимальным</w:t>
      </w:r>
      <w:r w:rsidRPr="003255B5">
        <w:rPr>
          <w:lang w:bidi="ru-RU"/>
        </w:rPr>
        <w:t xml:space="preserve"> пределом про</w:t>
      </w:r>
      <w:r w:rsidRPr="003255B5">
        <w:rPr>
          <w:lang w:bidi="ru-RU"/>
        </w:rPr>
        <w:t>ч</w:t>
      </w:r>
      <w:r w:rsidRPr="003255B5">
        <w:rPr>
          <w:lang w:bidi="ru-RU"/>
        </w:rPr>
        <w:t>ности на разрыв 360</w:t>
      </w:r>
      <w:r w:rsidR="00A02502">
        <w:rPr>
          <w:lang w:bidi="ru-RU"/>
        </w:rPr>
        <w:t>–</w:t>
      </w:r>
      <w:r w:rsidRPr="003255B5">
        <w:rPr>
          <w:u w:val="single"/>
          <w:lang w:bidi="ru-RU"/>
        </w:rPr>
        <w:t>440</w:t>
      </w:r>
      <w:r w:rsidRPr="003255B5">
        <w:rPr>
          <w:lang w:bidi="ru-RU"/>
        </w:rPr>
        <w:t xml:space="preserve"> Н/мм</w:t>
      </w:r>
      <w:proofErr w:type="gramStart"/>
      <w:r w:rsidRPr="003255B5">
        <w:rPr>
          <w:vertAlign w:val="superscript"/>
          <w:lang w:bidi="ru-RU"/>
        </w:rPr>
        <w:t>2</w:t>
      </w:r>
      <w:proofErr w:type="gramEnd"/>
      <w:r w:rsidRPr="003255B5">
        <w:rPr>
          <w:lang w:bidi="ru-RU"/>
        </w:rPr>
        <w:t xml:space="preserve"> и </w:t>
      </w:r>
      <w:r w:rsidRPr="003255B5">
        <w:rPr>
          <w:u w:val="single"/>
          <w:lang w:bidi="ru-RU"/>
        </w:rPr>
        <w:t>гарантированным минимальным</w:t>
      </w:r>
      <w:r w:rsidRPr="003255B5">
        <w:rPr>
          <w:lang w:bidi="ru-RU"/>
        </w:rPr>
        <w:t xml:space="preserve"> удлинением при разрушении, соответствующим требованиям пункта 6.7.</w:t>
      </w:r>
      <w:r w:rsidRPr="003255B5">
        <w:rPr>
          <w:u w:val="single"/>
          <w:lang w:bidi="ru-RU"/>
        </w:rPr>
        <w:t>3</w:t>
      </w:r>
      <w:r w:rsidRPr="003255B5">
        <w:rPr>
          <w:lang w:bidi="ru-RU"/>
        </w:rPr>
        <w:t>.3.3.3.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При этом текст пунктов 6.7.</w:t>
      </w:r>
      <w:r w:rsidRPr="003255B5">
        <w:rPr>
          <w:u w:val="single"/>
          <w:lang w:bidi="ru-RU"/>
        </w:rPr>
        <w:t>2</w:t>
      </w:r>
      <w:r w:rsidRPr="003255B5">
        <w:rPr>
          <w:lang w:bidi="ru-RU"/>
        </w:rPr>
        <w:t>.3.3.3 и 6.7.</w:t>
      </w:r>
      <w:r w:rsidRPr="003255B5">
        <w:rPr>
          <w:u w:val="single"/>
          <w:lang w:bidi="ru-RU"/>
        </w:rPr>
        <w:t>3</w:t>
      </w:r>
      <w:r w:rsidRPr="003255B5">
        <w:rPr>
          <w:lang w:bidi="ru-RU"/>
        </w:rPr>
        <w:t>.3.3.3 является идентичным, а именно:</w:t>
      </w:r>
    </w:p>
    <w:p w:rsidR="003255B5" w:rsidRPr="003255B5" w:rsidRDefault="008D75A8" w:rsidP="003255B5">
      <w:pPr>
        <w:pStyle w:val="SingleTxt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Значение удлинения при разрыве (</w:t>
      </w:r>
      <w:proofErr w:type="gramStart"/>
      <w:r w:rsidR="003255B5" w:rsidRPr="003255B5">
        <w:rPr>
          <w:lang w:bidi="ru-RU"/>
        </w:rPr>
        <w:t>в</w:t>
      </w:r>
      <w:proofErr w:type="gramEnd"/>
      <w:r w:rsidR="003255B5" w:rsidRPr="003255B5">
        <w:rPr>
          <w:lang w:bidi="ru-RU"/>
        </w:rPr>
        <w:t xml:space="preserve"> %) </w:t>
      </w:r>
      <w:proofErr w:type="gramStart"/>
      <w:r w:rsidR="003255B5" w:rsidRPr="003255B5">
        <w:rPr>
          <w:lang w:bidi="ru-RU"/>
        </w:rPr>
        <w:t>у</w:t>
      </w:r>
      <w:proofErr w:type="gramEnd"/>
      <w:r w:rsidR="003255B5" w:rsidRPr="003255B5">
        <w:rPr>
          <w:lang w:bidi="ru-RU"/>
        </w:rPr>
        <w:t xml:space="preserve"> сталей, используемых для изготовл</w:t>
      </w:r>
      <w:r w:rsidR="003255B5" w:rsidRPr="003255B5">
        <w:rPr>
          <w:lang w:bidi="ru-RU"/>
        </w:rPr>
        <w:t>е</w:t>
      </w:r>
      <w:r w:rsidR="003255B5" w:rsidRPr="003255B5">
        <w:rPr>
          <w:lang w:bidi="ru-RU"/>
        </w:rPr>
        <w:t>ния корпусов, должно составлять не менее 10 000/</w:t>
      </w:r>
      <w:r w:rsidR="003255B5" w:rsidRPr="003255B5">
        <w:rPr>
          <w:lang w:val="en-US" w:bidi="ru-RU"/>
        </w:rPr>
        <w:t>Rm</w:t>
      </w:r>
      <w:r w:rsidR="003255B5" w:rsidRPr="003255B5">
        <w:rPr>
          <w:lang w:bidi="ru-RU"/>
        </w:rPr>
        <w:t xml:space="preserve"> при абсолютном минимуме 16% для мелкозернистой стали и 20% для других сталей</w:t>
      </w:r>
      <w:r>
        <w:rPr>
          <w:lang w:bidi="ru-RU"/>
        </w:rPr>
        <w:t>»</w:t>
      </w:r>
      <w:r w:rsidR="003255B5" w:rsidRPr="003255B5">
        <w:rPr>
          <w:lang w:bidi="ru-RU"/>
        </w:rPr>
        <w:t>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4.</w:t>
      </w:r>
      <w:r w:rsidRPr="003255B5">
        <w:rPr>
          <w:lang w:bidi="ru-RU"/>
        </w:rPr>
        <w:tab/>
        <w:t>Это же условие приводится в пунктах 6.5.5.1.5 и 6.5.5.1</w:t>
      </w:r>
      <w:r w:rsidR="004F0A6A">
        <w:rPr>
          <w:lang w:bidi="ru-RU"/>
        </w:rPr>
        <w:t>.</w:t>
      </w:r>
      <w:r w:rsidRPr="003255B5">
        <w:rPr>
          <w:lang w:bidi="ru-RU"/>
        </w:rPr>
        <w:t xml:space="preserve">6 </w:t>
      </w:r>
      <w:proofErr w:type="gramStart"/>
      <w:r w:rsidRPr="003255B5">
        <w:rPr>
          <w:lang w:bidi="ru-RU"/>
        </w:rPr>
        <w:t>для</w:t>
      </w:r>
      <w:proofErr w:type="gramEnd"/>
      <w:r w:rsidRPr="003255B5">
        <w:rPr>
          <w:lang w:bidi="ru-RU"/>
        </w:rPr>
        <w:t xml:space="preserve"> металлич</w:t>
      </w:r>
      <w:r w:rsidRPr="003255B5">
        <w:rPr>
          <w:lang w:bidi="ru-RU"/>
        </w:rPr>
        <w:t>е</w:t>
      </w:r>
      <w:r w:rsidRPr="003255B5">
        <w:rPr>
          <w:lang w:bidi="ru-RU"/>
        </w:rPr>
        <w:t>ских КСГМГ, а именно:</w:t>
      </w:r>
    </w:p>
    <w:p w:rsid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6.5.5.1.5 Металлические КСГМГ должны изготавливаться из металла, который отвечает следующим требованиям:</w:t>
      </w:r>
    </w:p>
    <w:p w:rsidR="003255B5" w:rsidRPr="003255B5" w:rsidRDefault="002B504B" w:rsidP="002B504B">
      <w:pPr>
        <w:pStyle w:val="SingleTxt"/>
        <w:spacing w:line="240" w:lineRule="auto"/>
        <w:rPr>
          <w:lang w:bidi="ru-RU"/>
        </w:rPr>
      </w:pPr>
      <w:r>
        <w:rPr>
          <w:lang w:bidi="ru-RU"/>
        </w:rPr>
        <w:tab/>
      </w:r>
      <w:r w:rsidR="003255B5" w:rsidRPr="003255B5">
        <w:rPr>
          <w:lang w:bidi="ru-RU"/>
        </w:rPr>
        <w:t>а)</w:t>
      </w:r>
      <w:r>
        <w:rPr>
          <w:lang w:bidi="ru-RU"/>
        </w:rPr>
        <w:tab/>
      </w:r>
      <w:r w:rsidR="003255B5" w:rsidRPr="003255B5">
        <w:rPr>
          <w:u w:val="single"/>
          <w:lang w:bidi="ru-RU"/>
        </w:rPr>
        <w:t>для стали</w:t>
      </w:r>
      <w:r>
        <w:rPr>
          <w:lang w:bidi="ru-RU"/>
        </w:rPr>
        <w:t xml:space="preserve"> </w:t>
      </w:r>
      <w:r w:rsidRPr="002B504B">
        <w:rPr>
          <w:lang w:bidi="ru-RU"/>
        </w:rPr>
        <w:t>–</w:t>
      </w:r>
      <w:r w:rsidR="003255B5" w:rsidRPr="003255B5">
        <w:rPr>
          <w:lang w:bidi="ru-RU"/>
        </w:rPr>
        <w:t xml:space="preserve"> относительное удлинение при разрыве (в %) должно быть не менее </w:t>
      </w:r>
      <w:r>
        <w:rPr>
          <w:noProof/>
          <w:vertAlign w:val="subscript"/>
          <w:lang w:val="en-GB" w:eastAsia="en-GB"/>
        </w:rPr>
        <w:drawing>
          <wp:inline distT="0" distB="0" distL="0" distR="0">
            <wp:extent cx="410210" cy="36322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ru-RU"/>
        </w:rPr>
        <w:t xml:space="preserve"> </w:t>
      </w:r>
      <w:r w:rsidR="003255B5" w:rsidRPr="003255B5">
        <w:rPr>
          <w:lang w:bidi="ru-RU"/>
        </w:rPr>
        <w:t xml:space="preserve">при абсолютном минимуме 20%; где </w:t>
      </w:r>
      <w:r w:rsidR="003255B5" w:rsidRPr="003255B5">
        <w:rPr>
          <w:lang w:val="en-US" w:bidi="ru-RU"/>
        </w:rPr>
        <w:t>Rm</w:t>
      </w:r>
      <w:r w:rsidR="003255B5" w:rsidRPr="003255B5">
        <w:rPr>
          <w:lang w:bidi="ru-RU"/>
        </w:rPr>
        <w:t xml:space="preserve"> = гарантированный минимум прочности на разрыв используемой стали в Н/мм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>.</w:t>
      </w:r>
    </w:p>
    <w:p w:rsidR="003255B5" w:rsidRPr="003255B5" w:rsidRDefault="003255B5" w:rsidP="008D75A8">
      <w:pPr>
        <w:pStyle w:val="SingleTxt"/>
        <w:keepNext/>
        <w:keepLines/>
        <w:rPr>
          <w:lang w:bidi="ru-RU"/>
        </w:rPr>
      </w:pPr>
      <w:r w:rsidRPr="003255B5">
        <w:rPr>
          <w:lang w:bidi="ru-RU"/>
        </w:rPr>
        <w:lastRenderedPageBreak/>
        <w:t>6.5.5.1.6</w:t>
      </w:r>
      <w:r w:rsidR="008D75A8">
        <w:rPr>
          <w:lang w:bidi="ru-RU"/>
        </w:rPr>
        <w:tab/>
      </w:r>
      <w:r w:rsidRPr="003255B5">
        <w:rPr>
          <w:i/>
          <w:lang w:bidi="ru-RU"/>
        </w:rPr>
        <w:t>Минимальная толщина стенки:</w:t>
      </w:r>
    </w:p>
    <w:p w:rsidR="003255B5" w:rsidRPr="003255B5" w:rsidRDefault="002B504B" w:rsidP="008D75A8">
      <w:pPr>
        <w:pStyle w:val="SingleTxt"/>
        <w:keepNext/>
        <w:keepLines/>
        <w:rPr>
          <w:lang w:bidi="ru-RU"/>
        </w:rPr>
      </w:pPr>
      <w:r w:rsidRPr="004F0A6A">
        <w:rPr>
          <w:lang w:bidi="ru-RU"/>
        </w:rPr>
        <w:tab/>
      </w:r>
      <w:r w:rsidR="003255B5" w:rsidRPr="004F0A6A">
        <w:rPr>
          <w:lang w:bidi="ru-RU"/>
        </w:rPr>
        <w:t>а)</w:t>
      </w:r>
      <w:r w:rsidR="003255B5" w:rsidRPr="004F0A6A">
        <w:rPr>
          <w:lang w:bidi="ru-RU"/>
        </w:rPr>
        <w:tab/>
        <w:t xml:space="preserve">для </w:t>
      </w:r>
      <w:r w:rsidR="003255B5" w:rsidRPr="004F0A6A">
        <w:rPr>
          <w:u w:val="single"/>
          <w:lang w:bidi="ru-RU"/>
        </w:rPr>
        <w:t>стандартной стали</w:t>
      </w:r>
      <w:r w:rsidR="003255B5" w:rsidRPr="004F0A6A">
        <w:rPr>
          <w:lang w:bidi="ru-RU"/>
        </w:rPr>
        <w:t xml:space="preserve">, характеризуемой произведением </w:t>
      </w:r>
      <w:r w:rsidR="003255B5" w:rsidRPr="004F0A6A">
        <w:rPr>
          <w:lang w:val="en-US" w:bidi="ru-RU"/>
        </w:rPr>
        <w:t>Rm</w:t>
      </w:r>
      <w:r w:rsidR="003255B5" w:rsidRPr="004F0A6A">
        <w:rPr>
          <w:lang w:bidi="ru-RU"/>
        </w:rPr>
        <w:t xml:space="preserve"> × </w:t>
      </w:r>
      <w:r w:rsidR="003255B5" w:rsidRPr="004F0A6A">
        <w:rPr>
          <w:lang w:val="en-US" w:bidi="ru-RU"/>
        </w:rPr>
        <w:t>A</w:t>
      </w:r>
      <w:r w:rsidR="003255B5" w:rsidRPr="004F0A6A">
        <w:rPr>
          <w:vertAlign w:val="subscript"/>
          <w:lang w:bidi="ru-RU"/>
        </w:rPr>
        <w:t>0</w:t>
      </w:r>
      <w:r w:rsidR="003255B5" w:rsidRPr="004F0A6A">
        <w:rPr>
          <w:lang w:bidi="ru-RU"/>
        </w:rPr>
        <w:t xml:space="preserve"> = 10</w:t>
      </w:r>
      <w:r w:rsidR="004F0A6A" w:rsidRPr="004F0A6A">
        <w:rPr>
          <w:lang w:bidi="ru-RU"/>
        </w:rPr>
        <w:t> </w:t>
      </w:r>
      <w:r w:rsidR="003255B5" w:rsidRPr="004F0A6A">
        <w:rPr>
          <w:lang w:bidi="ru-RU"/>
        </w:rPr>
        <w:t>000</w:t>
      </w:r>
      <w:r w:rsidR="003255B5" w:rsidRPr="002B504B">
        <w:rPr>
          <w:spacing w:val="0"/>
          <w:lang w:bidi="ru-RU"/>
        </w:rPr>
        <w:t xml:space="preserve">, </w:t>
      </w:r>
      <w:r w:rsidR="003255B5" w:rsidRPr="003255B5">
        <w:rPr>
          <w:lang w:bidi="ru-RU"/>
        </w:rPr>
        <w:t xml:space="preserve">толщина стенки не должна быть </w:t>
      </w:r>
      <w:proofErr w:type="gramStart"/>
      <w:r w:rsidR="003255B5" w:rsidRPr="003255B5">
        <w:rPr>
          <w:lang w:bidi="ru-RU"/>
        </w:rPr>
        <w:t>менее указанных</w:t>
      </w:r>
      <w:proofErr w:type="gramEnd"/>
      <w:r w:rsidR="003255B5" w:rsidRPr="003255B5">
        <w:rPr>
          <w:lang w:bidi="ru-RU"/>
        </w:rPr>
        <w:t xml:space="preserve"> ниже величин; где: А</w:t>
      </w:r>
      <w:proofErr w:type="gramStart"/>
      <w:r w:rsidR="003255B5" w:rsidRPr="003255B5">
        <w:rPr>
          <w:vertAlign w:val="subscript"/>
          <w:lang w:bidi="ru-RU"/>
        </w:rPr>
        <w:t>0</w:t>
      </w:r>
      <w:proofErr w:type="gramEnd"/>
      <w:r w:rsidR="003255B5" w:rsidRPr="003255B5">
        <w:rPr>
          <w:lang w:bidi="ru-RU"/>
        </w:rPr>
        <w:t xml:space="preserve"> – минимальное относительное удлинение (в %) используемой стандартной стали при разрушении под разрывным усилием (см. пункт 6.5.5.1.5).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5.</w:t>
      </w:r>
      <w:r w:rsidRPr="003255B5">
        <w:rPr>
          <w:lang w:bidi="ru-RU"/>
        </w:rPr>
        <w:tab/>
        <w:t>Здесь следует также сказать, что стандартная сталь, как она определена в настоящее время, является частным случаем мягкой стали.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6.</w:t>
      </w:r>
      <w:r w:rsidRPr="003255B5">
        <w:rPr>
          <w:lang w:bidi="ru-RU"/>
        </w:rPr>
        <w:tab/>
        <w:t xml:space="preserve">В наших документах, представленных на сорок восьмой сессии ПКЭПОГ, содержались следующие предложения: 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val="en-US" w:bidi="ru-RU"/>
        </w:rPr>
        <w:t>ST</w:t>
      </w:r>
      <w:r w:rsidRPr="003255B5">
        <w:rPr>
          <w:lang w:bidi="ru-RU"/>
        </w:rPr>
        <w:t>/</w:t>
      </w:r>
      <w:r w:rsidRPr="003255B5">
        <w:rPr>
          <w:lang w:val="en-US" w:bidi="ru-RU"/>
        </w:rPr>
        <w:t>SG</w:t>
      </w:r>
      <w:r w:rsidRPr="003255B5">
        <w:rPr>
          <w:lang w:bidi="ru-RU"/>
        </w:rPr>
        <w:t>/</w:t>
      </w:r>
      <w:r w:rsidRPr="003255B5">
        <w:rPr>
          <w:lang w:val="en-US" w:bidi="ru-RU"/>
        </w:rPr>
        <w:t>AC</w:t>
      </w:r>
      <w:r w:rsidRPr="003255B5">
        <w:rPr>
          <w:lang w:bidi="ru-RU"/>
        </w:rPr>
        <w:t>.10/</w:t>
      </w:r>
      <w:r w:rsidRPr="003255B5">
        <w:rPr>
          <w:lang w:val="en-US" w:bidi="ru-RU"/>
        </w:rPr>
        <w:t>C</w:t>
      </w:r>
      <w:r w:rsidRPr="003255B5">
        <w:rPr>
          <w:lang w:bidi="ru-RU"/>
        </w:rPr>
        <w:t xml:space="preserve">.3/2015/44: </w:t>
      </w:r>
    </w:p>
    <w:p w:rsidR="003255B5" w:rsidRPr="003255B5" w:rsidRDefault="003255B5" w:rsidP="004F0A6A">
      <w:pPr>
        <w:pStyle w:val="SingleTxt"/>
        <w:ind w:left="1742"/>
        <w:rPr>
          <w:lang w:bidi="ru-RU"/>
        </w:rPr>
      </w:pPr>
      <w:r w:rsidRPr="003255B5">
        <w:rPr>
          <w:lang w:bidi="ru-RU"/>
        </w:rPr>
        <w:t xml:space="preserve">Включить в раздел 1.2.1 следующее  определение </w:t>
      </w:r>
      <w:r w:rsidR="008D75A8">
        <w:rPr>
          <w:lang w:bidi="ru-RU"/>
        </w:rPr>
        <w:t>«</w:t>
      </w:r>
      <w:r w:rsidRPr="003255B5">
        <w:rPr>
          <w:lang w:bidi="ru-RU"/>
        </w:rPr>
        <w:t>стандартной стали</w:t>
      </w:r>
      <w:r w:rsidR="008D75A8">
        <w:rPr>
          <w:lang w:bidi="ru-RU"/>
        </w:rPr>
        <w:t>»</w:t>
      </w:r>
      <w:r w:rsidRPr="003255B5">
        <w:rPr>
          <w:lang w:bidi="ru-RU"/>
        </w:rPr>
        <w:t xml:space="preserve">: </w:t>
      </w:r>
    </w:p>
    <w:p w:rsidR="003255B5" w:rsidRPr="003255B5" w:rsidRDefault="008D75A8" w:rsidP="002B504B">
      <w:pPr>
        <w:pStyle w:val="SingleTxt"/>
        <w:ind w:left="1742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Стандартная сталь</w:t>
      </w:r>
      <w:r>
        <w:rPr>
          <w:lang w:bidi="ru-RU"/>
        </w:rPr>
        <w:t>»</w:t>
      </w:r>
      <w:r w:rsidR="003255B5" w:rsidRPr="003255B5">
        <w:rPr>
          <w:lang w:bidi="ru-RU"/>
        </w:rPr>
        <w:t xml:space="preserve"> означает сталь с пределом прочности на разрыв </w:t>
      </w:r>
      <w:r w:rsidR="002B504B">
        <w:rPr>
          <w:lang w:bidi="ru-RU"/>
        </w:rPr>
        <w:br/>
      </w:r>
      <w:r w:rsidR="003255B5" w:rsidRPr="003255B5">
        <w:rPr>
          <w:lang w:bidi="ru-RU"/>
        </w:rPr>
        <w:t xml:space="preserve">370 </w:t>
      </w:r>
      <w:r w:rsidR="003255B5" w:rsidRPr="003255B5">
        <w:rPr>
          <w:lang w:val="en-US" w:bidi="ru-RU"/>
        </w:rPr>
        <w:t>H</w:t>
      </w:r>
      <w:r w:rsidR="003255B5" w:rsidRPr="003255B5">
        <w:rPr>
          <w:lang w:bidi="ru-RU"/>
        </w:rPr>
        <w:t>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 xml:space="preserve"> и удлинением при разрушении 27%</w:t>
      </w:r>
      <w:r>
        <w:rPr>
          <w:lang w:bidi="ru-RU"/>
        </w:rPr>
        <w:t>»</w:t>
      </w:r>
      <w:r w:rsidR="003255B5" w:rsidRPr="003255B5">
        <w:rPr>
          <w:lang w:bidi="ru-RU"/>
        </w:rPr>
        <w:t>.</w:t>
      </w:r>
    </w:p>
    <w:p w:rsidR="003255B5" w:rsidRPr="003255B5" w:rsidRDefault="003255B5" w:rsidP="002B504B">
      <w:pPr>
        <w:pStyle w:val="SingleTxt"/>
        <w:ind w:left="1742"/>
        <w:rPr>
          <w:lang w:bidi="ru-RU"/>
        </w:rPr>
      </w:pPr>
      <w:r w:rsidRPr="003255B5">
        <w:rPr>
          <w:lang w:bidi="ru-RU"/>
        </w:rPr>
        <w:t>П</w:t>
      </w:r>
      <w:r w:rsidR="004F0A6A">
        <w:rPr>
          <w:lang w:bidi="ru-RU"/>
        </w:rPr>
        <w:t>римечание</w:t>
      </w:r>
      <w:r w:rsidRPr="003255B5">
        <w:rPr>
          <w:lang w:bidi="ru-RU"/>
        </w:rPr>
        <w:t>:</w:t>
      </w:r>
      <w:r w:rsidR="00AD10BB">
        <w:rPr>
          <w:lang w:bidi="ru-RU"/>
        </w:rPr>
        <w:t xml:space="preserve">  </w:t>
      </w:r>
      <w:r w:rsidRPr="003255B5">
        <w:rPr>
          <w:lang w:bidi="ru-RU"/>
        </w:rPr>
        <w:t xml:space="preserve">Для </w:t>
      </w:r>
      <w:proofErr w:type="gramStart"/>
      <w:r w:rsidRPr="003255B5">
        <w:rPr>
          <w:lang w:bidi="ru-RU"/>
        </w:rPr>
        <w:t>металлических</w:t>
      </w:r>
      <w:proofErr w:type="gramEnd"/>
      <w:r w:rsidRPr="003255B5">
        <w:rPr>
          <w:lang w:bidi="ru-RU"/>
        </w:rPr>
        <w:t xml:space="preserve"> КСГМГ см. подраздел 6.5.5.1.</w:t>
      </w:r>
    </w:p>
    <w:p w:rsidR="003255B5" w:rsidRPr="003255B5" w:rsidRDefault="003255B5" w:rsidP="002B504B">
      <w:pPr>
        <w:pStyle w:val="SingleTxt"/>
        <w:ind w:left="1742"/>
        <w:rPr>
          <w:lang w:bidi="ru-RU"/>
        </w:rPr>
      </w:pPr>
      <w:r w:rsidRPr="003255B5">
        <w:rPr>
          <w:lang w:bidi="ru-RU"/>
        </w:rPr>
        <w:t xml:space="preserve">Исключить определение </w:t>
      </w:r>
      <w:r w:rsidR="008D75A8">
        <w:rPr>
          <w:lang w:bidi="ru-RU"/>
        </w:rPr>
        <w:t>«</w:t>
      </w:r>
      <w:r w:rsidRPr="003255B5">
        <w:rPr>
          <w:lang w:bidi="ru-RU"/>
        </w:rPr>
        <w:t>стандартной стали</w:t>
      </w:r>
      <w:r w:rsidR="008D75A8">
        <w:rPr>
          <w:lang w:bidi="ru-RU"/>
        </w:rPr>
        <w:t>»</w:t>
      </w:r>
      <w:r w:rsidRPr="003255B5">
        <w:rPr>
          <w:lang w:bidi="ru-RU"/>
        </w:rPr>
        <w:t xml:space="preserve"> из подразделов 6.7.2.1, 6.7.3.1 и 6.7.4.1.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val="en-US" w:bidi="ru-RU"/>
        </w:rPr>
        <w:t>ST</w:t>
      </w:r>
      <w:r w:rsidRPr="003255B5">
        <w:rPr>
          <w:lang w:bidi="ru-RU"/>
        </w:rPr>
        <w:t>/</w:t>
      </w:r>
      <w:r w:rsidRPr="003255B5">
        <w:rPr>
          <w:lang w:val="en-US" w:bidi="ru-RU"/>
        </w:rPr>
        <w:t>SG</w:t>
      </w:r>
      <w:r w:rsidRPr="003255B5">
        <w:rPr>
          <w:lang w:bidi="ru-RU"/>
        </w:rPr>
        <w:t>/</w:t>
      </w:r>
      <w:r w:rsidRPr="003255B5">
        <w:rPr>
          <w:lang w:val="en-US" w:bidi="ru-RU"/>
        </w:rPr>
        <w:t>AC</w:t>
      </w:r>
      <w:r w:rsidRPr="003255B5">
        <w:rPr>
          <w:lang w:bidi="ru-RU"/>
        </w:rPr>
        <w:t>.10/</w:t>
      </w:r>
      <w:r w:rsidRPr="003255B5">
        <w:rPr>
          <w:lang w:val="en-US" w:bidi="ru-RU"/>
        </w:rPr>
        <w:t>C</w:t>
      </w:r>
      <w:r w:rsidRPr="003255B5">
        <w:rPr>
          <w:lang w:bidi="ru-RU"/>
        </w:rPr>
        <w:t xml:space="preserve">.3/2015/55: </w:t>
      </w:r>
    </w:p>
    <w:p w:rsidR="003255B5" w:rsidRPr="003255B5" w:rsidRDefault="003255B5" w:rsidP="002B504B">
      <w:pPr>
        <w:pStyle w:val="SingleTxt"/>
        <w:ind w:left="1742"/>
        <w:rPr>
          <w:lang w:bidi="ru-RU"/>
        </w:rPr>
      </w:pPr>
      <w:r w:rsidRPr="003255B5">
        <w:rPr>
          <w:lang w:bidi="ru-RU"/>
        </w:rPr>
        <w:t xml:space="preserve">Включить в раздел 1.2.1 следующее определение </w:t>
      </w:r>
      <w:r w:rsidR="008D75A8">
        <w:rPr>
          <w:lang w:bidi="ru-RU"/>
        </w:rPr>
        <w:t>«</w:t>
      </w:r>
      <w:r w:rsidRPr="003255B5">
        <w:rPr>
          <w:lang w:bidi="ru-RU"/>
        </w:rPr>
        <w:t>мягкой стали</w:t>
      </w:r>
      <w:r w:rsidR="008D75A8">
        <w:rPr>
          <w:lang w:bidi="ru-RU"/>
        </w:rPr>
        <w:t>»</w:t>
      </w:r>
      <w:r w:rsidRPr="003255B5">
        <w:rPr>
          <w:lang w:bidi="ru-RU"/>
        </w:rPr>
        <w:t>:</w:t>
      </w:r>
    </w:p>
    <w:p w:rsidR="003255B5" w:rsidRPr="003255B5" w:rsidRDefault="008D75A8" w:rsidP="002B504B">
      <w:pPr>
        <w:pStyle w:val="SingleTxt"/>
        <w:ind w:left="1742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Мягкая сталь</w:t>
      </w:r>
      <w:r w:rsidR="004F0A6A">
        <w:rPr>
          <w:lang w:bidi="ru-RU"/>
        </w:rPr>
        <w:t>»</w:t>
      </w:r>
      <w:r w:rsidR="003255B5" w:rsidRPr="003255B5">
        <w:rPr>
          <w:lang w:bidi="ru-RU"/>
        </w:rPr>
        <w:t xml:space="preserve"> означает сталь с минимальной прочностью на разрыв </w:t>
      </w:r>
      <w:r w:rsidR="002B504B">
        <w:rPr>
          <w:lang w:bidi="ru-RU"/>
        </w:rPr>
        <w:br/>
      </w:r>
      <w:r w:rsidR="003255B5" w:rsidRPr="003255B5">
        <w:rPr>
          <w:lang w:bidi="ru-RU"/>
        </w:rPr>
        <w:t>от 360 до 440 Н/мм</w:t>
      </w:r>
      <w:proofErr w:type="gramStart"/>
      <w:r w:rsidR="003255B5" w:rsidRPr="004F0A6A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>.</w:t>
      </w:r>
    </w:p>
    <w:p w:rsidR="003255B5" w:rsidRPr="003255B5" w:rsidRDefault="003255B5" w:rsidP="002B504B">
      <w:pPr>
        <w:pStyle w:val="SingleTxt"/>
        <w:ind w:left="1742"/>
        <w:rPr>
          <w:lang w:bidi="ru-RU"/>
        </w:rPr>
      </w:pPr>
      <w:r w:rsidRPr="003255B5">
        <w:rPr>
          <w:lang w:bidi="ru-RU"/>
        </w:rPr>
        <w:t xml:space="preserve">Исключить определение </w:t>
      </w:r>
      <w:r w:rsidR="008D75A8">
        <w:rPr>
          <w:lang w:bidi="ru-RU"/>
        </w:rPr>
        <w:t>«</w:t>
      </w:r>
      <w:r w:rsidRPr="003255B5">
        <w:rPr>
          <w:lang w:bidi="ru-RU"/>
        </w:rPr>
        <w:t>мягкой стали</w:t>
      </w:r>
      <w:r w:rsidR="008D75A8">
        <w:rPr>
          <w:lang w:bidi="ru-RU"/>
        </w:rPr>
        <w:t>»</w:t>
      </w:r>
      <w:r w:rsidRPr="003255B5">
        <w:rPr>
          <w:lang w:bidi="ru-RU"/>
        </w:rPr>
        <w:t xml:space="preserve"> из подразделов 6.7.2.1 и 6.7.3.1.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255B5">
        <w:rPr>
          <w:lang w:bidi="ru-RU"/>
        </w:rPr>
        <w:tab/>
      </w:r>
      <w:r w:rsidRPr="003255B5">
        <w:rPr>
          <w:lang w:bidi="ru-RU"/>
        </w:rPr>
        <w:tab/>
        <w:t>Стандартная сталь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7.</w:t>
      </w:r>
      <w:r w:rsidRPr="003255B5">
        <w:rPr>
          <w:lang w:bidi="ru-RU"/>
        </w:rPr>
        <w:tab/>
        <w:t>Для соответствующей определению стандартной стали произведение про</w:t>
      </w:r>
      <w:r w:rsidRPr="003255B5">
        <w:rPr>
          <w:lang w:bidi="ru-RU"/>
        </w:rPr>
        <w:t>ч</w:t>
      </w:r>
      <w:r w:rsidRPr="003255B5">
        <w:rPr>
          <w:lang w:bidi="ru-RU"/>
        </w:rPr>
        <w:t>ности на разрыв (370 Н/мм</w:t>
      </w:r>
      <w:proofErr w:type="gramStart"/>
      <w:r w:rsidRPr="003255B5">
        <w:rPr>
          <w:vertAlign w:val="superscript"/>
          <w:lang w:bidi="ru-RU"/>
        </w:rPr>
        <w:t>2</w:t>
      </w:r>
      <w:proofErr w:type="gramEnd"/>
      <w:r w:rsidRPr="003255B5">
        <w:rPr>
          <w:lang w:bidi="ru-RU"/>
        </w:rPr>
        <w:t>) и удлинения при разрушении (27%) равно 9</w:t>
      </w:r>
      <w:r w:rsidR="00A02502">
        <w:rPr>
          <w:lang w:bidi="ru-RU"/>
        </w:rPr>
        <w:t> </w:t>
      </w:r>
      <w:r w:rsidRPr="003255B5">
        <w:rPr>
          <w:lang w:bidi="ru-RU"/>
        </w:rPr>
        <w:t xml:space="preserve">990 </w:t>
      </w:r>
      <w:r w:rsidR="002B504B">
        <w:rPr>
          <w:lang w:bidi="ru-RU"/>
        </w:rPr>
        <w:br/>
      </w:r>
      <w:r w:rsidRPr="003255B5">
        <w:rPr>
          <w:lang w:bidi="ru-RU"/>
        </w:rPr>
        <w:t>(370 х 27 = 9</w:t>
      </w:r>
      <w:r w:rsidR="00A02502">
        <w:rPr>
          <w:lang w:bidi="ru-RU"/>
        </w:rPr>
        <w:t> </w:t>
      </w:r>
      <w:r w:rsidRPr="003255B5">
        <w:rPr>
          <w:lang w:bidi="ru-RU"/>
        </w:rPr>
        <w:t>990) и отличается от 10</w:t>
      </w:r>
      <w:r w:rsidR="00A02502">
        <w:rPr>
          <w:lang w:bidi="ru-RU"/>
        </w:rPr>
        <w:t> </w:t>
      </w:r>
      <w:r w:rsidRPr="003255B5">
        <w:rPr>
          <w:lang w:bidi="ru-RU"/>
        </w:rPr>
        <w:t>000 на 0,1%, что соответствует допускам (пределам отклонения) любых характеристик стали.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8.</w:t>
      </w:r>
      <w:r w:rsidRPr="003255B5">
        <w:rPr>
          <w:lang w:bidi="ru-RU"/>
        </w:rPr>
        <w:tab/>
        <w:t>В ходе обсуждения был поднят вопрос о том, может ли определение ста</w:t>
      </w:r>
      <w:r w:rsidRPr="003255B5">
        <w:rPr>
          <w:lang w:bidi="ru-RU"/>
        </w:rPr>
        <w:t>н</w:t>
      </w:r>
      <w:r w:rsidRPr="003255B5">
        <w:rPr>
          <w:lang w:bidi="ru-RU"/>
        </w:rPr>
        <w:t>дартной стали охватывать металлические КСГМГ.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9.</w:t>
      </w:r>
      <w:r w:rsidRPr="003255B5">
        <w:rPr>
          <w:lang w:bidi="ru-RU"/>
        </w:rPr>
        <w:tab/>
        <w:t xml:space="preserve">В данном случае существует различие, которое заключается в том, что в разделе 1.2.1 и главе 6.7 стандартная сталь определяется как индивидуальная сталь, в то время как в пункте 6.5.5.1.6 приводится формула для выбора </w:t>
      </w:r>
      <w:r w:rsidRPr="003255B5">
        <w:rPr>
          <w:u w:val="single"/>
          <w:lang w:bidi="ru-RU"/>
        </w:rPr>
        <w:t>одного вида</w:t>
      </w:r>
      <w:r w:rsidRPr="003255B5">
        <w:rPr>
          <w:lang w:bidi="ru-RU"/>
        </w:rPr>
        <w:t xml:space="preserve"> стандартной стали (для </w:t>
      </w:r>
      <w:proofErr w:type="gramStart"/>
      <w:r w:rsidRPr="003255B5">
        <w:rPr>
          <w:lang w:bidi="ru-RU"/>
        </w:rPr>
        <w:t>металлических</w:t>
      </w:r>
      <w:proofErr w:type="gramEnd"/>
      <w:r w:rsidRPr="003255B5">
        <w:rPr>
          <w:lang w:bidi="ru-RU"/>
        </w:rPr>
        <w:t xml:space="preserve"> КСГМГ). 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255B5">
        <w:rPr>
          <w:lang w:bidi="ru-RU"/>
        </w:rPr>
        <w:tab/>
      </w:r>
      <w:r w:rsidRPr="003255B5">
        <w:rPr>
          <w:lang w:bidi="ru-RU"/>
        </w:rPr>
        <w:tab/>
        <w:t>Предложение 1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10.</w:t>
      </w:r>
      <w:r w:rsidRPr="003255B5">
        <w:rPr>
          <w:lang w:bidi="ru-RU"/>
        </w:rPr>
        <w:tab/>
        <w:t>Исходя из этих элементов, мы предлагаем проанализировать соответству</w:t>
      </w:r>
      <w:r w:rsidRPr="003255B5">
        <w:rPr>
          <w:lang w:bidi="ru-RU"/>
        </w:rPr>
        <w:t>ю</w:t>
      </w:r>
      <w:r w:rsidRPr="003255B5">
        <w:rPr>
          <w:lang w:bidi="ru-RU"/>
        </w:rPr>
        <w:t xml:space="preserve">щие меры, с </w:t>
      </w:r>
      <w:proofErr w:type="gramStart"/>
      <w:r w:rsidRPr="003255B5">
        <w:rPr>
          <w:lang w:bidi="ru-RU"/>
        </w:rPr>
        <w:t>тем</w:t>
      </w:r>
      <w:proofErr w:type="gramEnd"/>
      <w:r w:rsidRPr="003255B5">
        <w:rPr>
          <w:lang w:bidi="ru-RU"/>
        </w:rPr>
        <w:t xml:space="preserve"> чтобы расширить определение стандартной стали для включ</w:t>
      </w:r>
      <w:r w:rsidRPr="003255B5">
        <w:rPr>
          <w:lang w:bidi="ru-RU"/>
        </w:rPr>
        <w:t>е</w:t>
      </w:r>
      <w:r w:rsidRPr="003255B5">
        <w:rPr>
          <w:lang w:bidi="ru-RU"/>
        </w:rPr>
        <w:t xml:space="preserve">ния в него металлических КСГМГ. 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11.</w:t>
      </w:r>
      <w:r w:rsidRPr="003255B5">
        <w:rPr>
          <w:lang w:bidi="ru-RU"/>
        </w:rPr>
        <w:tab/>
        <w:t>В виде решения можно было бы предложить дать определение стандартной стали на основе формулы из пункта 6.5.5.1.6, указав переносные цистерны в к</w:t>
      </w:r>
      <w:r w:rsidRPr="003255B5">
        <w:rPr>
          <w:lang w:bidi="ru-RU"/>
        </w:rPr>
        <w:t>а</w:t>
      </w:r>
      <w:r w:rsidRPr="003255B5">
        <w:rPr>
          <w:lang w:bidi="ru-RU"/>
        </w:rPr>
        <w:t>честве конкретного случая. В этом контексте определение может быть следу</w:t>
      </w:r>
      <w:r w:rsidRPr="003255B5">
        <w:rPr>
          <w:lang w:bidi="ru-RU"/>
        </w:rPr>
        <w:t>ю</w:t>
      </w:r>
      <w:r w:rsidRPr="003255B5">
        <w:rPr>
          <w:lang w:bidi="ru-RU"/>
        </w:rPr>
        <w:t>щим:</w:t>
      </w:r>
    </w:p>
    <w:p w:rsidR="003255B5" w:rsidRPr="003255B5" w:rsidRDefault="008D75A8" w:rsidP="003255B5">
      <w:pPr>
        <w:pStyle w:val="SingleTxt"/>
        <w:rPr>
          <w:lang w:bidi="ru-RU"/>
        </w:rPr>
      </w:pPr>
      <w:r>
        <w:rPr>
          <w:i/>
          <w:lang w:bidi="ru-RU"/>
        </w:rPr>
        <w:lastRenderedPageBreak/>
        <w:t>«</w:t>
      </w:r>
      <w:r w:rsidR="003255B5" w:rsidRPr="003255B5">
        <w:rPr>
          <w:i/>
          <w:lang w:bidi="ru-RU"/>
        </w:rPr>
        <w:t>Стандартная сталь</w:t>
      </w:r>
      <w:r>
        <w:rPr>
          <w:i/>
          <w:lang w:bidi="ru-RU"/>
        </w:rPr>
        <w:t>»</w:t>
      </w:r>
      <w:r w:rsidR="003255B5" w:rsidRPr="003255B5">
        <w:rPr>
          <w:lang w:bidi="ru-RU"/>
        </w:rPr>
        <w:t xml:space="preserve"> означает сталь, для которой произведение прочности на разрыв (в Н/мм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 xml:space="preserve">) и удлинения при разрыве (в %) равно 10 000. Для переносных цистерн </w:t>
      </w:r>
      <w:r w:rsidR="003255B5" w:rsidRPr="003255B5">
        <w:rPr>
          <w:i/>
          <w:lang w:bidi="ru-RU"/>
        </w:rPr>
        <w:t>стандартная сталь</w:t>
      </w:r>
      <w:r w:rsidR="003255B5" w:rsidRPr="003255B5">
        <w:rPr>
          <w:lang w:bidi="ru-RU"/>
        </w:rPr>
        <w:t xml:space="preserve"> означает сталь с пределом прочности на разрыв </w:t>
      </w:r>
      <w:r w:rsidR="002B504B">
        <w:rPr>
          <w:lang w:bidi="ru-RU"/>
        </w:rPr>
        <w:br/>
      </w:r>
      <w:r w:rsidR="003255B5" w:rsidRPr="003255B5">
        <w:rPr>
          <w:lang w:bidi="ru-RU"/>
        </w:rPr>
        <w:t>370 Н/мм</w:t>
      </w:r>
      <w:proofErr w:type="gramStart"/>
      <w:r w:rsidR="003255B5" w:rsidRPr="003255B5">
        <w:rPr>
          <w:vertAlign w:val="superscript"/>
          <w:lang w:bidi="ru-RU"/>
        </w:rPr>
        <w:t>2</w:t>
      </w:r>
      <w:proofErr w:type="gramEnd"/>
      <w:r w:rsidR="003255B5" w:rsidRPr="003255B5">
        <w:rPr>
          <w:lang w:bidi="ru-RU"/>
        </w:rPr>
        <w:t xml:space="preserve"> и удлинением при разрушении 27%.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255B5">
        <w:rPr>
          <w:lang w:bidi="ru-RU"/>
        </w:rPr>
        <w:tab/>
      </w:r>
      <w:r w:rsidRPr="003255B5">
        <w:rPr>
          <w:lang w:bidi="ru-RU"/>
        </w:rPr>
        <w:tab/>
        <w:t>Мягкая сталь</w:t>
      </w:r>
      <w:r w:rsidRPr="003255B5">
        <w:rPr>
          <w:lang w:bidi="ru-RU"/>
        </w:rPr>
        <w:tab/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12.</w:t>
      </w:r>
      <w:r w:rsidRPr="003255B5">
        <w:rPr>
          <w:lang w:bidi="ru-RU"/>
        </w:rPr>
        <w:tab/>
        <w:t>Эксперт, принявший  участие в работе сорок восьмой сессии ПКЭПОГ, в</w:t>
      </w:r>
      <w:r w:rsidRPr="003255B5">
        <w:rPr>
          <w:lang w:bidi="ru-RU"/>
        </w:rPr>
        <w:t>ы</w:t>
      </w:r>
      <w:r w:rsidRPr="003255B5">
        <w:rPr>
          <w:lang w:bidi="ru-RU"/>
        </w:rPr>
        <w:t>разил мнение, что необходимо сохранить термины, используемые для определ</w:t>
      </w:r>
      <w:r w:rsidRPr="003255B5">
        <w:rPr>
          <w:lang w:bidi="ru-RU"/>
        </w:rPr>
        <w:t>е</w:t>
      </w:r>
      <w:r w:rsidRPr="003255B5">
        <w:rPr>
          <w:lang w:bidi="ru-RU"/>
        </w:rPr>
        <w:t xml:space="preserve">ния мягкой стали, в главе 6.7: </w:t>
      </w:r>
      <w:r w:rsidR="008D75A8">
        <w:rPr>
          <w:i/>
          <w:lang w:bidi="ru-RU"/>
        </w:rPr>
        <w:t>«</w:t>
      </w:r>
      <w:r w:rsidRPr="004F0A6A">
        <w:rPr>
          <w:i/>
          <w:u w:val="single"/>
          <w:lang w:bidi="ru-RU"/>
        </w:rPr>
        <w:t>гарантированный минимум</w:t>
      </w:r>
      <w:r w:rsidRPr="004F0A6A">
        <w:rPr>
          <w:i/>
          <w:lang w:bidi="ru-RU"/>
        </w:rPr>
        <w:t xml:space="preserve"> прочности</w:t>
      </w:r>
      <w:r w:rsidRPr="003255B5">
        <w:rPr>
          <w:lang w:bidi="ru-RU"/>
        </w:rPr>
        <w:t xml:space="preserve"> </w:t>
      </w:r>
      <w:r w:rsidRPr="003255B5">
        <w:rPr>
          <w:i/>
          <w:lang w:bidi="ru-RU"/>
        </w:rPr>
        <w:t>на ра</w:t>
      </w:r>
      <w:r w:rsidRPr="003255B5">
        <w:rPr>
          <w:i/>
          <w:lang w:bidi="ru-RU"/>
        </w:rPr>
        <w:t>з</w:t>
      </w:r>
      <w:r w:rsidRPr="003255B5">
        <w:rPr>
          <w:i/>
          <w:lang w:bidi="ru-RU"/>
        </w:rPr>
        <w:t>рыв</w:t>
      </w:r>
      <w:r w:rsidR="008D75A8">
        <w:rPr>
          <w:i/>
          <w:lang w:bidi="ru-RU"/>
        </w:rPr>
        <w:t>»</w:t>
      </w:r>
      <w:r w:rsidRPr="003255B5">
        <w:rPr>
          <w:lang w:bidi="ru-RU"/>
        </w:rPr>
        <w:t xml:space="preserve"> и </w:t>
      </w:r>
      <w:r w:rsidR="008D75A8" w:rsidRPr="004F0A6A">
        <w:rPr>
          <w:lang w:bidi="ru-RU"/>
        </w:rPr>
        <w:t>«</w:t>
      </w:r>
      <w:r w:rsidRPr="004F0A6A">
        <w:rPr>
          <w:i/>
          <w:u w:val="single"/>
          <w:lang w:bidi="ru-RU"/>
        </w:rPr>
        <w:t>гарантированное минимальное</w:t>
      </w:r>
      <w:r w:rsidRPr="004F0A6A">
        <w:rPr>
          <w:i/>
          <w:lang w:bidi="ru-RU"/>
        </w:rPr>
        <w:t xml:space="preserve"> </w:t>
      </w:r>
      <w:r w:rsidRPr="003255B5">
        <w:rPr>
          <w:i/>
          <w:lang w:bidi="ru-RU"/>
        </w:rPr>
        <w:t>удлинение</w:t>
      </w:r>
      <w:r w:rsidRPr="003255B5">
        <w:rPr>
          <w:lang w:bidi="ru-RU"/>
        </w:rPr>
        <w:t xml:space="preserve"> </w:t>
      </w:r>
      <w:r w:rsidRPr="003255B5">
        <w:rPr>
          <w:i/>
          <w:lang w:bidi="ru-RU"/>
        </w:rPr>
        <w:t>при</w:t>
      </w:r>
      <w:r w:rsidRPr="003255B5">
        <w:rPr>
          <w:lang w:bidi="ru-RU"/>
        </w:rPr>
        <w:t xml:space="preserve"> </w:t>
      </w:r>
      <w:r w:rsidRPr="003255B5">
        <w:rPr>
          <w:i/>
          <w:lang w:bidi="ru-RU"/>
        </w:rPr>
        <w:t>разрушении</w:t>
      </w:r>
      <w:r w:rsidR="008D75A8">
        <w:rPr>
          <w:lang w:bidi="ru-RU"/>
        </w:rPr>
        <w:t>»</w:t>
      </w:r>
      <w:r w:rsidRPr="003255B5">
        <w:rPr>
          <w:lang w:bidi="ru-RU"/>
        </w:rPr>
        <w:t>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13.</w:t>
      </w:r>
      <w:r w:rsidRPr="003255B5">
        <w:rPr>
          <w:lang w:bidi="ru-RU"/>
        </w:rPr>
        <w:tab/>
        <w:t xml:space="preserve">Анализ определения </w:t>
      </w:r>
      <w:r w:rsidRPr="003255B5">
        <w:rPr>
          <w:i/>
          <w:lang w:bidi="ru-RU"/>
        </w:rPr>
        <w:t>мягкой стали</w:t>
      </w:r>
      <w:r w:rsidRPr="003255B5">
        <w:rPr>
          <w:lang w:bidi="ru-RU"/>
        </w:rPr>
        <w:t xml:space="preserve"> должен также включать различия в пр</w:t>
      </w:r>
      <w:r w:rsidRPr="003255B5">
        <w:rPr>
          <w:lang w:bidi="ru-RU"/>
        </w:rPr>
        <w:t>е</w:t>
      </w:r>
      <w:r w:rsidRPr="003255B5">
        <w:rPr>
          <w:lang w:bidi="ru-RU"/>
        </w:rPr>
        <w:t xml:space="preserve">делах прочности на разрыв, используемых в разных определениях (раздел 1.2.1, глава 6.7 и глава 6.8). 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14.</w:t>
      </w:r>
      <w:r w:rsidRPr="003255B5">
        <w:rPr>
          <w:lang w:bidi="ru-RU"/>
        </w:rPr>
        <w:tab/>
        <w:t>Использование ссылки на пункт в определении, как это делается в опред</w:t>
      </w:r>
      <w:r w:rsidRPr="003255B5">
        <w:rPr>
          <w:lang w:bidi="ru-RU"/>
        </w:rPr>
        <w:t>е</w:t>
      </w:r>
      <w:r w:rsidRPr="003255B5">
        <w:rPr>
          <w:lang w:bidi="ru-RU"/>
        </w:rPr>
        <w:t xml:space="preserve">лении </w:t>
      </w:r>
      <w:r w:rsidRPr="003255B5">
        <w:rPr>
          <w:i/>
          <w:lang w:bidi="ru-RU"/>
        </w:rPr>
        <w:t>мягкой стали</w:t>
      </w:r>
      <w:r w:rsidRPr="003255B5">
        <w:rPr>
          <w:lang w:bidi="ru-RU"/>
        </w:rPr>
        <w:t xml:space="preserve"> в главах 6.7 и 6.8, не является вполне корректным (напр</w:t>
      </w:r>
      <w:r w:rsidRPr="003255B5">
        <w:rPr>
          <w:lang w:bidi="ru-RU"/>
        </w:rPr>
        <w:t>и</w:t>
      </w:r>
      <w:r w:rsidRPr="003255B5">
        <w:rPr>
          <w:lang w:bidi="ru-RU"/>
        </w:rPr>
        <w:t>мер, в пунктах 6.7.</w:t>
      </w:r>
      <w:r w:rsidRPr="003255B5">
        <w:rPr>
          <w:u w:val="single"/>
          <w:lang w:bidi="ru-RU"/>
        </w:rPr>
        <w:t>2</w:t>
      </w:r>
      <w:r w:rsidRPr="003255B5">
        <w:rPr>
          <w:lang w:bidi="ru-RU"/>
        </w:rPr>
        <w:t>.3.3.3, 6.7.</w:t>
      </w:r>
      <w:r w:rsidRPr="003255B5">
        <w:rPr>
          <w:u w:val="single"/>
          <w:lang w:bidi="ru-RU"/>
        </w:rPr>
        <w:t>3</w:t>
      </w:r>
      <w:r w:rsidRPr="003255B5">
        <w:rPr>
          <w:lang w:bidi="ru-RU"/>
        </w:rPr>
        <w:t>.3.3.3 и 6.8.2.1.12).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255B5">
        <w:rPr>
          <w:lang w:bidi="ru-RU"/>
        </w:rPr>
        <w:tab/>
      </w:r>
      <w:r w:rsidRPr="003255B5">
        <w:rPr>
          <w:lang w:bidi="ru-RU"/>
        </w:rPr>
        <w:tab/>
        <w:t xml:space="preserve">Последствия включения определения мягкой стали </w:t>
      </w:r>
      <w:r w:rsidR="002B504B">
        <w:rPr>
          <w:lang w:bidi="ru-RU"/>
        </w:rPr>
        <w:br/>
      </w:r>
      <w:r w:rsidRPr="003255B5">
        <w:rPr>
          <w:lang w:bidi="ru-RU"/>
        </w:rPr>
        <w:t>для испытаний класса 7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15.</w:t>
      </w:r>
      <w:r w:rsidRPr="003255B5">
        <w:rPr>
          <w:lang w:bidi="ru-RU"/>
        </w:rPr>
        <w:tab/>
        <w:t>Другой вопрос, который был рассмотрен экспертами, касался последствий применения определения мягкой стали для испытаний класса 7 (пун</w:t>
      </w:r>
      <w:r w:rsidRPr="003255B5">
        <w:rPr>
          <w:lang w:bidi="ru-RU"/>
        </w:rPr>
        <w:t>к</w:t>
      </w:r>
      <w:r w:rsidRPr="003255B5">
        <w:rPr>
          <w:lang w:bidi="ru-RU"/>
        </w:rPr>
        <w:t>ты</w:t>
      </w:r>
      <w:r w:rsidR="002B504B">
        <w:rPr>
          <w:lang w:bidi="ru-RU"/>
        </w:rPr>
        <w:t> </w:t>
      </w:r>
      <w:r w:rsidRPr="003255B5">
        <w:rPr>
          <w:lang w:bidi="ru-RU"/>
        </w:rPr>
        <w:t>2.2.7.2.3.3.5, 6.4.17.2 и 6.4.20.2). Используемые в ходе этого испытания стал</w:t>
      </w:r>
      <w:r w:rsidRPr="003255B5">
        <w:rPr>
          <w:lang w:bidi="ru-RU"/>
        </w:rPr>
        <w:t>ь</w:t>
      </w:r>
      <w:r w:rsidRPr="003255B5">
        <w:rPr>
          <w:lang w:bidi="ru-RU"/>
        </w:rPr>
        <w:t>ная пластина, сбрасываемая на образец с высоты 9 метров, или штырь, сбрасыв</w:t>
      </w:r>
      <w:r w:rsidRPr="003255B5">
        <w:rPr>
          <w:lang w:bidi="ru-RU"/>
        </w:rPr>
        <w:t>а</w:t>
      </w:r>
      <w:r w:rsidRPr="003255B5">
        <w:rPr>
          <w:lang w:bidi="ru-RU"/>
        </w:rPr>
        <w:t>емый на образец с высоты 3 метров, и цилиндрический стержень, который бьет по образцу или падает на образец, изготовлены из мягкой стали.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>16.</w:t>
      </w:r>
      <w:r w:rsidRPr="003255B5">
        <w:rPr>
          <w:lang w:bidi="ru-RU"/>
        </w:rPr>
        <w:tab/>
        <w:t>В нашем понимании изготовленные из мягкой стали предметы (пластины и</w:t>
      </w:r>
      <w:r w:rsidR="002B504B">
        <w:rPr>
          <w:lang w:bidi="ru-RU"/>
        </w:rPr>
        <w:t> </w:t>
      </w:r>
      <w:r w:rsidRPr="003255B5">
        <w:rPr>
          <w:lang w:bidi="ru-RU"/>
        </w:rPr>
        <w:t xml:space="preserve">стержни), используемые для испытаний, описанных в пункте 2.2.7.2.3.3.5 и разделах 6.4.17 и 6.4.20, должны </w:t>
      </w:r>
      <w:proofErr w:type="gramStart"/>
      <w:r w:rsidRPr="003255B5">
        <w:rPr>
          <w:lang w:bidi="ru-RU"/>
        </w:rPr>
        <w:t>быть</w:t>
      </w:r>
      <w:proofErr w:type="gramEnd"/>
      <w:r w:rsidRPr="003255B5">
        <w:rPr>
          <w:lang w:bidi="ru-RU"/>
        </w:rPr>
        <w:t xml:space="preserve"> прежде всего твердыми. Эта точка зрения будет доведена до сведения Подкомитета экспертов по перевозке опасных грузов.</w:t>
      </w:r>
    </w:p>
    <w:p w:rsidR="003255B5" w:rsidRPr="003255B5" w:rsidRDefault="003255B5" w:rsidP="003255B5">
      <w:pPr>
        <w:pStyle w:val="SingleTxt"/>
        <w:rPr>
          <w:lang w:bidi="ru-RU"/>
        </w:rPr>
      </w:pPr>
      <w:r w:rsidRPr="003255B5">
        <w:rPr>
          <w:lang w:bidi="ru-RU"/>
        </w:rPr>
        <w:t xml:space="preserve">В ходе анализа мы использовали положения </w:t>
      </w:r>
      <w:r w:rsidR="008D75A8">
        <w:rPr>
          <w:lang w:bidi="ru-RU"/>
        </w:rPr>
        <w:t>«</w:t>
      </w:r>
      <w:r w:rsidRPr="003255B5">
        <w:rPr>
          <w:lang w:bidi="ru-RU"/>
        </w:rPr>
        <w:t>Правил безопасной перевозки р</w:t>
      </w:r>
      <w:r w:rsidRPr="003255B5">
        <w:rPr>
          <w:lang w:bidi="ru-RU"/>
        </w:rPr>
        <w:t>а</w:t>
      </w:r>
      <w:r w:rsidRPr="003255B5">
        <w:rPr>
          <w:lang w:bidi="ru-RU"/>
        </w:rPr>
        <w:t>диоактивных материалов</w:t>
      </w:r>
      <w:r w:rsidR="008D75A8">
        <w:rPr>
          <w:lang w:bidi="ru-RU"/>
        </w:rPr>
        <w:t>»</w:t>
      </w:r>
      <w:r w:rsidRPr="003255B5">
        <w:rPr>
          <w:lang w:bidi="ru-RU"/>
        </w:rPr>
        <w:t xml:space="preserve"> (издание 2012 года), серия SSR-6, дополнив их рук</w:t>
      </w:r>
      <w:r w:rsidRPr="003255B5">
        <w:rPr>
          <w:lang w:bidi="ru-RU"/>
        </w:rPr>
        <w:t>о</w:t>
      </w:r>
      <w:r w:rsidRPr="003255B5">
        <w:rPr>
          <w:lang w:bidi="ru-RU"/>
        </w:rPr>
        <w:t>водствами по безопасности разной степени значимости, включая:</w:t>
      </w:r>
    </w:p>
    <w:p w:rsidR="003255B5" w:rsidRPr="003255B5" w:rsidRDefault="008D75A8" w:rsidP="004F0A6A">
      <w:pPr>
        <w:pStyle w:val="Bullet1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Справочный материал к Правилам МАГАТЭ по безопасной перевозке р</w:t>
      </w:r>
      <w:r w:rsidR="003255B5" w:rsidRPr="003255B5">
        <w:rPr>
          <w:lang w:bidi="ru-RU"/>
        </w:rPr>
        <w:t>а</w:t>
      </w:r>
      <w:r w:rsidR="003255B5" w:rsidRPr="003255B5">
        <w:rPr>
          <w:lang w:bidi="ru-RU"/>
        </w:rPr>
        <w:t>диоактивных материалов</w:t>
      </w:r>
      <w:r>
        <w:rPr>
          <w:lang w:bidi="ru-RU"/>
        </w:rPr>
        <w:t>»</w:t>
      </w:r>
      <w:r w:rsidR="003255B5" w:rsidRPr="003255B5">
        <w:rPr>
          <w:lang w:bidi="ru-RU"/>
        </w:rPr>
        <w:t xml:space="preserve">, Серия норм МАГАТЭ по безопасности, </w:t>
      </w:r>
      <w:r w:rsidR="00A02502">
        <w:rPr>
          <w:lang w:bidi="ru-RU"/>
        </w:rPr>
        <w:br/>
      </w:r>
      <w:r w:rsidR="003255B5" w:rsidRPr="003255B5">
        <w:rPr>
          <w:lang w:bidi="ru-RU"/>
        </w:rPr>
        <w:t>№ TS-G-1.1 (Rev.1);</w:t>
      </w:r>
    </w:p>
    <w:p w:rsidR="003255B5" w:rsidRPr="003255B5" w:rsidRDefault="008D75A8" w:rsidP="004F0A6A">
      <w:pPr>
        <w:pStyle w:val="Bullet1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Планирование и готовность к аварийному реагированию при транспор</w:t>
      </w:r>
      <w:r w:rsidR="003255B5" w:rsidRPr="003255B5">
        <w:rPr>
          <w:lang w:bidi="ru-RU"/>
        </w:rPr>
        <w:t>т</w:t>
      </w:r>
      <w:r w:rsidR="003255B5" w:rsidRPr="003255B5">
        <w:rPr>
          <w:lang w:bidi="ru-RU"/>
        </w:rPr>
        <w:t>ных авариях, связанных с радиоактивными материалами</w:t>
      </w:r>
      <w:r>
        <w:rPr>
          <w:lang w:bidi="ru-RU"/>
        </w:rPr>
        <w:t>»</w:t>
      </w:r>
      <w:r w:rsidR="003255B5" w:rsidRPr="003255B5">
        <w:rPr>
          <w:lang w:bidi="ru-RU"/>
        </w:rPr>
        <w:t>, Серия норм МАГАТЭ по безопасности, № TS-G-1.2 (ST-3);</w:t>
      </w:r>
    </w:p>
    <w:p w:rsidR="003255B5" w:rsidRPr="003255B5" w:rsidRDefault="008D75A8" w:rsidP="004F0A6A">
      <w:pPr>
        <w:pStyle w:val="Bullet1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Обеспечение соблюдения правил безопасной перевозки радиоактивных материалов</w:t>
      </w:r>
      <w:r>
        <w:rPr>
          <w:lang w:bidi="ru-RU"/>
        </w:rPr>
        <w:t>»</w:t>
      </w:r>
      <w:r w:rsidR="003255B5" w:rsidRPr="003255B5">
        <w:rPr>
          <w:lang w:bidi="ru-RU"/>
        </w:rPr>
        <w:t>, Серия норм МАГАТЭ по безопасности № TS-G-1.5;</w:t>
      </w:r>
    </w:p>
    <w:p w:rsidR="003255B5" w:rsidRPr="003255B5" w:rsidRDefault="008D75A8" w:rsidP="004F0A6A">
      <w:pPr>
        <w:pStyle w:val="Bullet1"/>
        <w:rPr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Система управления для безопасной перевозки радиоактивных матери</w:t>
      </w:r>
      <w:r w:rsidR="003255B5" w:rsidRPr="003255B5">
        <w:rPr>
          <w:lang w:bidi="ru-RU"/>
        </w:rPr>
        <w:t>а</w:t>
      </w:r>
      <w:r w:rsidR="003255B5" w:rsidRPr="003255B5">
        <w:rPr>
          <w:lang w:bidi="ru-RU"/>
        </w:rPr>
        <w:t>лов</w:t>
      </w:r>
      <w:r>
        <w:rPr>
          <w:lang w:bidi="ru-RU"/>
        </w:rPr>
        <w:t>»</w:t>
      </w:r>
      <w:r w:rsidR="003255B5" w:rsidRPr="003255B5">
        <w:rPr>
          <w:lang w:bidi="ru-RU"/>
        </w:rPr>
        <w:t>, Серия норм МАГАТЭ по безопасности, № TS-G-1.4;</w:t>
      </w:r>
      <w:r w:rsidR="00A02502">
        <w:rPr>
          <w:lang w:bidi="ru-RU"/>
        </w:rPr>
        <w:t xml:space="preserve"> и</w:t>
      </w:r>
    </w:p>
    <w:p w:rsidR="003255B5" w:rsidRPr="003255B5" w:rsidRDefault="008D75A8" w:rsidP="003255B5">
      <w:pPr>
        <w:pStyle w:val="SingleTxt"/>
        <w:rPr>
          <w:b/>
          <w:lang w:bidi="ru-RU"/>
        </w:rPr>
      </w:pPr>
      <w:r>
        <w:rPr>
          <w:lang w:bidi="ru-RU"/>
        </w:rPr>
        <w:t>«</w:t>
      </w:r>
      <w:r w:rsidR="003255B5" w:rsidRPr="003255B5">
        <w:rPr>
          <w:lang w:bidi="ru-RU"/>
        </w:rPr>
        <w:t>Программы радиационной защиты при перевозке радиоактивных материалов</w:t>
      </w:r>
      <w:r>
        <w:rPr>
          <w:lang w:bidi="ru-RU"/>
        </w:rPr>
        <w:t>»</w:t>
      </w:r>
      <w:r w:rsidR="003255B5" w:rsidRPr="003255B5">
        <w:rPr>
          <w:lang w:bidi="ru-RU"/>
        </w:rPr>
        <w:t xml:space="preserve">, Серия норм МАГАТЭ по безопасности, № </w:t>
      </w:r>
      <w:r w:rsidR="003255B5" w:rsidRPr="003255B5">
        <w:rPr>
          <w:lang w:val="en-US" w:bidi="ru-RU"/>
        </w:rPr>
        <w:t>TS</w:t>
      </w:r>
      <w:r w:rsidR="003255B5" w:rsidRPr="003255B5">
        <w:rPr>
          <w:lang w:bidi="ru-RU"/>
        </w:rPr>
        <w:t>-</w:t>
      </w:r>
      <w:r w:rsidR="003255B5" w:rsidRPr="003255B5">
        <w:rPr>
          <w:lang w:val="en-US" w:bidi="ru-RU"/>
        </w:rPr>
        <w:t>G</w:t>
      </w:r>
      <w:r w:rsidR="003255B5" w:rsidRPr="003255B5">
        <w:rPr>
          <w:lang w:bidi="ru-RU"/>
        </w:rPr>
        <w:t>-1.3.</w:t>
      </w: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3255B5">
        <w:rPr>
          <w:lang w:bidi="ru-RU"/>
        </w:rPr>
        <w:lastRenderedPageBreak/>
        <w:tab/>
      </w:r>
      <w:r w:rsidRPr="003255B5">
        <w:rPr>
          <w:lang w:bidi="ru-RU"/>
        </w:rPr>
        <w:tab/>
        <w:t>Предложение 2</w:t>
      </w:r>
    </w:p>
    <w:p w:rsidR="008D75A8" w:rsidRPr="003255B5" w:rsidRDefault="008D75A8" w:rsidP="008D75A8">
      <w:pPr>
        <w:pStyle w:val="SingleTxt"/>
        <w:keepNext/>
        <w:keepLines/>
        <w:spacing w:after="0" w:line="120" w:lineRule="exact"/>
        <w:rPr>
          <w:sz w:val="10"/>
          <w:lang w:bidi="ru-RU"/>
        </w:rPr>
      </w:pPr>
    </w:p>
    <w:p w:rsidR="008D75A8" w:rsidRPr="003255B5" w:rsidRDefault="008D75A8" w:rsidP="008D75A8">
      <w:pPr>
        <w:pStyle w:val="SingleTxt"/>
        <w:keepNext/>
        <w:keepLines/>
        <w:spacing w:after="0" w:line="120" w:lineRule="exact"/>
        <w:rPr>
          <w:sz w:val="10"/>
          <w:lang w:bidi="ru-RU"/>
        </w:rPr>
      </w:pPr>
    </w:p>
    <w:p w:rsidR="003255B5" w:rsidRPr="003255B5" w:rsidRDefault="003255B5" w:rsidP="008D75A8">
      <w:pPr>
        <w:pStyle w:val="SingleTxt"/>
        <w:keepNext/>
        <w:keepLines/>
        <w:rPr>
          <w:lang w:bidi="ru-RU"/>
        </w:rPr>
      </w:pPr>
      <w:r w:rsidRPr="003255B5">
        <w:rPr>
          <w:lang w:bidi="ru-RU"/>
        </w:rPr>
        <w:t>17.</w:t>
      </w:r>
      <w:r w:rsidRPr="003255B5">
        <w:rPr>
          <w:b/>
          <w:lang w:bidi="ru-RU"/>
        </w:rPr>
        <w:tab/>
      </w:r>
      <w:r w:rsidRPr="003255B5">
        <w:rPr>
          <w:lang w:bidi="ru-RU"/>
        </w:rPr>
        <w:t>С целью улучшить определение мягкой стали мы предлагаем проанализир</w:t>
      </w:r>
      <w:r w:rsidRPr="003255B5">
        <w:rPr>
          <w:lang w:bidi="ru-RU"/>
        </w:rPr>
        <w:t>о</w:t>
      </w:r>
      <w:r w:rsidRPr="003255B5">
        <w:rPr>
          <w:lang w:bidi="ru-RU"/>
        </w:rPr>
        <w:t>вать следующее:</w:t>
      </w:r>
    </w:p>
    <w:p w:rsidR="003255B5" w:rsidRPr="003255B5" w:rsidRDefault="003255B5" w:rsidP="00F3789C">
      <w:pPr>
        <w:pStyle w:val="Bullet1"/>
        <w:rPr>
          <w:lang w:bidi="ru-RU"/>
        </w:rPr>
      </w:pPr>
      <w:r w:rsidRPr="003255B5">
        <w:rPr>
          <w:lang w:bidi="ru-RU"/>
        </w:rPr>
        <w:t>охватывают ли пределы прочности на растяжение мягкой стали положения глав 2.7, 6.4, 6.7 и 6.8 МПОГ/ДОПОГ;</w:t>
      </w:r>
    </w:p>
    <w:p w:rsidR="003255B5" w:rsidRPr="003255B5" w:rsidRDefault="003255B5" w:rsidP="00F3789C">
      <w:pPr>
        <w:pStyle w:val="Bullet1"/>
        <w:rPr>
          <w:lang w:bidi="ru-RU"/>
        </w:rPr>
      </w:pPr>
      <w:r w:rsidRPr="003255B5">
        <w:rPr>
          <w:lang w:bidi="ru-RU"/>
        </w:rPr>
        <w:t>важно ли включить вторую часть определения из главы 6.7 или же ее, где необходимо, можно сохранить в качестве независимого положения;</w:t>
      </w:r>
    </w:p>
    <w:p w:rsidR="003255B5" w:rsidRPr="003255B5" w:rsidRDefault="003255B5" w:rsidP="00F3789C">
      <w:pPr>
        <w:pStyle w:val="Bullet1"/>
        <w:rPr>
          <w:lang w:bidi="ru-RU"/>
        </w:rPr>
      </w:pPr>
      <w:r w:rsidRPr="003255B5">
        <w:rPr>
          <w:lang w:bidi="ru-RU"/>
        </w:rPr>
        <w:t xml:space="preserve">можно ли вместо различных терминов </w:t>
      </w:r>
      <w:r w:rsidRPr="003255B5">
        <w:rPr>
          <w:i/>
          <w:lang w:bidi="ru-RU"/>
        </w:rPr>
        <w:t>прочности на разрыв</w:t>
      </w:r>
      <w:r w:rsidRPr="003255B5">
        <w:rPr>
          <w:lang w:bidi="ru-RU"/>
        </w:rPr>
        <w:t xml:space="preserve"> и </w:t>
      </w:r>
      <w:r w:rsidRPr="003255B5">
        <w:rPr>
          <w:i/>
          <w:lang w:bidi="ru-RU"/>
        </w:rPr>
        <w:t>удлинения при разрыве</w:t>
      </w:r>
      <w:r w:rsidRPr="003255B5">
        <w:rPr>
          <w:lang w:bidi="ru-RU"/>
        </w:rPr>
        <w:t xml:space="preserve"> применять общую терминологию (например, в пун</w:t>
      </w:r>
      <w:r w:rsidRPr="003255B5">
        <w:rPr>
          <w:lang w:bidi="ru-RU"/>
        </w:rPr>
        <w:t>к</w:t>
      </w:r>
      <w:r w:rsidRPr="003255B5">
        <w:rPr>
          <w:lang w:bidi="ru-RU"/>
        </w:rPr>
        <w:t>те</w:t>
      </w:r>
      <w:r w:rsidR="00F3789C">
        <w:rPr>
          <w:lang w:bidi="ru-RU"/>
        </w:rPr>
        <w:t> </w:t>
      </w:r>
      <w:r w:rsidRPr="003255B5">
        <w:rPr>
          <w:lang w:bidi="ru-RU"/>
        </w:rPr>
        <w:t xml:space="preserve">6.8.2.1.12 используется термин </w:t>
      </w:r>
      <w:r w:rsidRPr="003255B5">
        <w:rPr>
          <w:i/>
          <w:lang w:bidi="ru-RU"/>
        </w:rPr>
        <w:t>установленная прочность на разрыв).</w:t>
      </w:r>
    </w:p>
    <w:p w:rsidR="007C64A4" w:rsidRPr="008D75A8" w:rsidRDefault="008D75A8" w:rsidP="008D75A8">
      <w:pPr>
        <w:pStyle w:val="SingleTxt"/>
        <w:spacing w:after="0" w:line="240" w:lineRule="auto"/>
        <w:rPr>
          <w:lang w:bidi="ru-RU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C64A4" w:rsidRPr="008D75A8" w:rsidSect="00B5579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27T10:16:00Z" w:initials="Start">
    <w:p w:rsidR="00B55797" w:rsidRPr="007C64A4" w:rsidRDefault="00B55797">
      <w:pPr>
        <w:pStyle w:val="CommentText"/>
        <w:rPr>
          <w:lang w:val="en-US"/>
        </w:rPr>
      </w:pPr>
      <w:r>
        <w:fldChar w:fldCharType="begin"/>
      </w:r>
      <w:r w:rsidRPr="007C64A4">
        <w:rPr>
          <w:rStyle w:val="CommentReference"/>
          <w:lang w:val="en-US"/>
        </w:rPr>
        <w:instrText xml:space="preserve"> </w:instrText>
      </w:r>
      <w:r w:rsidRPr="007C64A4">
        <w:rPr>
          <w:lang w:val="en-US"/>
        </w:rPr>
        <w:instrText>PAGE \# "'Page: '#'</w:instrText>
      </w:r>
      <w:r w:rsidRPr="007C64A4">
        <w:rPr>
          <w:lang w:val="en-US"/>
        </w:rPr>
        <w:br/>
        <w:instrText>'"</w:instrText>
      </w:r>
      <w:r w:rsidRPr="007C64A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C64A4">
        <w:rPr>
          <w:lang w:val="en-US"/>
        </w:rPr>
        <w:t>&lt;&lt;ODS JOB NO&gt;&gt;N1529075R&lt;&lt;ODS JOB NO&gt;&gt;</w:t>
      </w:r>
    </w:p>
    <w:p w:rsidR="00B55797" w:rsidRDefault="00B55797">
      <w:pPr>
        <w:pStyle w:val="CommentText"/>
      </w:pPr>
      <w:r>
        <w:t>&lt;&lt;ODS DOC SYMBOL1&gt;&gt;ECE/TRANS/WP.15/AC.1/2016/10&lt;&lt;ODS DOC SYMBOL1&gt;&gt;</w:t>
      </w:r>
    </w:p>
    <w:p w:rsidR="00B55797" w:rsidRDefault="00B5579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BD" w:rsidRDefault="00926ABD" w:rsidP="008A1A7A">
      <w:pPr>
        <w:spacing w:line="240" w:lineRule="auto"/>
      </w:pPr>
      <w:r>
        <w:separator/>
      </w:r>
    </w:p>
  </w:endnote>
  <w:endnote w:type="continuationSeparator" w:id="0">
    <w:p w:rsidR="00926ABD" w:rsidRDefault="00926AB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55797" w:rsidTr="00B5579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1491">
            <w:rPr>
              <w:noProof/>
            </w:rPr>
            <w:t>6</w:t>
          </w:r>
          <w:r>
            <w:fldChar w:fldCharType="end"/>
          </w:r>
          <w:r>
            <w:t>/</w:t>
          </w:r>
          <w:r w:rsidR="00BB1491">
            <w:fldChar w:fldCharType="begin"/>
          </w:r>
          <w:r w:rsidR="00BB1491">
            <w:instrText xml:space="preserve"> NUMPAGES  \* Arabic  \* MERGEFORMAT </w:instrText>
          </w:r>
          <w:r w:rsidR="00BB1491">
            <w:fldChar w:fldCharType="separate"/>
          </w:r>
          <w:r w:rsidR="00BB1491">
            <w:rPr>
              <w:noProof/>
            </w:rPr>
            <w:t>6</w:t>
          </w:r>
          <w:r w:rsidR="00BB149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1491">
            <w:rPr>
              <w:b w:val="0"/>
              <w:color w:val="000000"/>
              <w:sz w:val="14"/>
            </w:rPr>
            <w:t>GE.15-22774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55797" w:rsidRPr="00B55797" w:rsidRDefault="00B55797" w:rsidP="00B55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55797" w:rsidTr="00B5579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1491">
            <w:rPr>
              <w:b w:val="0"/>
              <w:color w:val="000000"/>
              <w:sz w:val="14"/>
            </w:rPr>
            <w:t>GE.15-22774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1491">
            <w:rPr>
              <w:noProof/>
            </w:rPr>
            <w:t>5</w:t>
          </w:r>
          <w:r>
            <w:fldChar w:fldCharType="end"/>
          </w:r>
          <w:r>
            <w:t>/</w:t>
          </w:r>
          <w:r w:rsidR="00BB1491">
            <w:fldChar w:fldCharType="begin"/>
          </w:r>
          <w:r w:rsidR="00BB1491">
            <w:instrText xml:space="preserve"> NUMPAGES  \* Arabic  \* MERGEFORMAT </w:instrText>
          </w:r>
          <w:r w:rsidR="00BB1491">
            <w:fldChar w:fldCharType="separate"/>
          </w:r>
          <w:r w:rsidR="00BB1491">
            <w:rPr>
              <w:noProof/>
            </w:rPr>
            <w:t>6</w:t>
          </w:r>
          <w:r w:rsidR="00BB1491">
            <w:rPr>
              <w:noProof/>
            </w:rPr>
            <w:fldChar w:fldCharType="end"/>
          </w:r>
        </w:p>
      </w:tc>
    </w:tr>
  </w:tbl>
  <w:p w:rsidR="00B55797" w:rsidRPr="00B55797" w:rsidRDefault="00B55797" w:rsidP="00B557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55797" w:rsidTr="00B55797">
      <w:tc>
        <w:tcPr>
          <w:tcW w:w="3873" w:type="dxa"/>
        </w:tcPr>
        <w:p w:rsidR="00B55797" w:rsidRDefault="00B55797" w:rsidP="00B5579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A3C1207" wp14:editId="7D8C69C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GE.15-22774 (R)</w:t>
          </w:r>
          <w:r>
            <w:rPr>
              <w:color w:val="010000"/>
            </w:rPr>
            <w:t xml:space="preserve">    2</w:t>
          </w:r>
          <w:r w:rsidR="007C64A4">
            <w:rPr>
              <w:color w:val="010000"/>
              <w:lang w:val="en-US"/>
            </w:rPr>
            <w:t>6</w:t>
          </w:r>
          <w:r>
            <w:rPr>
              <w:color w:val="010000"/>
            </w:rPr>
            <w:t>0116    270116</w:t>
          </w:r>
        </w:p>
        <w:p w:rsidR="00B55797" w:rsidRPr="00B55797" w:rsidRDefault="00B55797" w:rsidP="00B5579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*1522774*</w:t>
          </w:r>
        </w:p>
      </w:tc>
      <w:tc>
        <w:tcPr>
          <w:tcW w:w="5127" w:type="dxa"/>
        </w:tcPr>
        <w:p w:rsidR="00B55797" w:rsidRDefault="00B55797" w:rsidP="00B5579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C33CA8" wp14:editId="72FABD7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5797" w:rsidRPr="00B55797" w:rsidRDefault="00B55797" w:rsidP="00B5579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BD" w:rsidRPr="007C64A4" w:rsidRDefault="007C64A4" w:rsidP="007C64A4">
      <w:pPr>
        <w:pStyle w:val="Footer"/>
        <w:spacing w:after="80"/>
        <w:ind w:left="792"/>
        <w:rPr>
          <w:sz w:val="16"/>
        </w:rPr>
      </w:pPr>
      <w:r w:rsidRPr="007C64A4">
        <w:rPr>
          <w:sz w:val="16"/>
        </w:rPr>
        <w:t>__________________</w:t>
      </w:r>
    </w:p>
  </w:footnote>
  <w:footnote w:type="continuationSeparator" w:id="0">
    <w:p w:rsidR="00926ABD" w:rsidRPr="007C64A4" w:rsidRDefault="007C64A4" w:rsidP="007C64A4">
      <w:pPr>
        <w:pStyle w:val="Footer"/>
        <w:spacing w:after="80"/>
        <w:ind w:left="792"/>
        <w:rPr>
          <w:sz w:val="16"/>
        </w:rPr>
      </w:pPr>
      <w:r w:rsidRPr="007C64A4">
        <w:rPr>
          <w:sz w:val="16"/>
        </w:rPr>
        <w:t>__________________</w:t>
      </w:r>
    </w:p>
  </w:footnote>
  <w:footnote w:type="continuationNotice" w:id="1">
    <w:p w:rsidR="007C64A4" w:rsidRPr="007C64A4" w:rsidRDefault="007C64A4" w:rsidP="007C64A4">
      <w:pPr>
        <w:pStyle w:val="Footer"/>
      </w:pPr>
    </w:p>
  </w:footnote>
  <w:footnote w:id="2">
    <w:p w:rsidR="007C64A4" w:rsidRDefault="007C64A4" w:rsidP="007C64A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7C64A4">
        <w:t>В соответствии с проектом программы работы Комитета по внутреннему транспорту на 2016</w:t>
      </w:r>
      <w:r>
        <w:t>–</w:t>
      </w:r>
      <w:r w:rsidRPr="007C64A4">
        <w:t>2017 годы (ECE/TRANS/WP.15/2015/19 (9.2)).</w:t>
      </w:r>
    </w:p>
  </w:footnote>
  <w:footnote w:id="3">
    <w:p w:rsidR="007C64A4" w:rsidRPr="007C64A4" w:rsidRDefault="007C64A4" w:rsidP="007C64A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ab/>
      </w:r>
      <w:r w:rsidRPr="007C64A4">
        <w:t xml:space="preserve">Распространено Межправительственной организацией по международным железнодорожным перевозкам (ОТИФ) под символом </w:t>
      </w:r>
      <w:r w:rsidRPr="007C64A4">
        <w:rPr>
          <w:lang w:val="en-US"/>
        </w:rPr>
        <w:t>OTIF</w:t>
      </w:r>
      <w:r w:rsidRPr="007C64A4">
        <w:t>/</w:t>
      </w:r>
      <w:r w:rsidRPr="007C64A4">
        <w:rPr>
          <w:lang w:val="en-US"/>
        </w:rPr>
        <w:t>RID</w:t>
      </w:r>
      <w:r w:rsidRPr="007C64A4">
        <w:t>/</w:t>
      </w:r>
      <w:r w:rsidRPr="007C64A4">
        <w:rPr>
          <w:lang w:val="en-US"/>
        </w:rPr>
        <w:t>RC</w:t>
      </w:r>
      <w:r w:rsidRPr="007C64A4">
        <w:t>/2016/10.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55797" w:rsidTr="00B5579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1491">
            <w:rPr>
              <w:b/>
            </w:rPr>
            <w:t>ECE/TRANS/WP.15/AC.1/2016/10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55797" w:rsidRDefault="00B55797" w:rsidP="00B55797">
          <w:pPr>
            <w:pStyle w:val="Header"/>
          </w:pPr>
        </w:p>
      </w:tc>
    </w:tr>
  </w:tbl>
  <w:p w:rsidR="00B55797" w:rsidRPr="00B55797" w:rsidRDefault="00B55797" w:rsidP="00B55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55797" w:rsidTr="00B5579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55797" w:rsidRDefault="00B55797" w:rsidP="00B5579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55797" w:rsidRPr="00B55797" w:rsidRDefault="00B55797" w:rsidP="00B5579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1491">
            <w:rPr>
              <w:b/>
            </w:rPr>
            <w:t>ECE/TRANS/WP.15/AC.1/2016/10</w:t>
          </w:r>
          <w:r>
            <w:rPr>
              <w:b/>
            </w:rPr>
            <w:fldChar w:fldCharType="end"/>
          </w:r>
        </w:p>
      </w:tc>
    </w:tr>
  </w:tbl>
  <w:p w:rsidR="00B55797" w:rsidRPr="00B55797" w:rsidRDefault="00B55797" w:rsidP="00B55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55797" w:rsidTr="00B5579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55797" w:rsidRPr="00B55797" w:rsidRDefault="00B55797" w:rsidP="00B5579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5797" w:rsidRDefault="00B55797" w:rsidP="00B5579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55797" w:rsidRPr="00B55797" w:rsidRDefault="00B55797" w:rsidP="00B5579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/TRANS/WP.15/AC.1/2016/10</w:t>
          </w:r>
        </w:p>
      </w:tc>
    </w:tr>
    <w:tr w:rsidR="00B55797" w:rsidRPr="00F70018" w:rsidTr="00B5579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5797" w:rsidRPr="00B55797" w:rsidRDefault="00B55797" w:rsidP="00B5579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CB1E961" wp14:editId="4052F98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5797" w:rsidRPr="00B55797" w:rsidRDefault="00B55797" w:rsidP="00B5579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5797" w:rsidRPr="00B55797" w:rsidRDefault="00B55797" w:rsidP="00B5579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5797" w:rsidRPr="007C64A4" w:rsidRDefault="00B55797" w:rsidP="00B55797">
          <w:pPr>
            <w:pStyle w:val="Distribution"/>
            <w:rPr>
              <w:color w:val="000000"/>
              <w:lang w:val="en-US"/>
            </w:rPr>
          </w:pPr>
          <w:r w:rsidRPr="007C64A4">
            <w:rPr>
              <w:color w:val="000000"/>
              <w:lang w:val="en-US"/>
            </w:rPr>
            <w:t>Distr.: General</w:t>
          </w:r>
        </w:p>
        <w:p w:rsidR="00B55797" w:rsidRPr="007C64A4" w:rsidRDefault="00B55797" w:rsidP="007C64A4">
          <w:pPr>
            <w:pStyle w:val="Publication"/>
            <w:rPr>
              <w:color w:val="000000"/>
              <w:lang w:val="en-US"/>
            </w:rPr>
          </w:pPr>
          <w:r w:rsidRPr="007C64A4">
            <w:rPr>
              <w:color w:val="000000"/>
              <w:lang w:val="en-US"/>
            </w:rPr>
            <w:t>23 December 2015</w:t>
          </w:r>
        </w:p>
        <w:p w:rsidR="00B55797" w:rsidRPr="007C64A4" w:rsidRDefault="00B55797" w:rsidP="00B55797">
          <w:pPr>
            <w:rPr>
              <w:color w:val="000000"/>
              <w:lang w:val="en-US"/>
            </w:rPr>
          </w:pPr>
          <w:r w:rsidRPr="007C64A4">
            <w:rPr>
              <w:color w:val="000000"/>
              <w:lang w:val="en-US"/>
            </w:rPr>
            <w:t>Russian</w:t>
          </w:r>
        </w:p>
        <w:p w:rsidR="00B55797" w:rsidRPr="007C64A4" w:rsidRDefault="00B55797" w:rsidP="00B55797">
          <w:pPr>
            <w:pStyle w:val="Original"/>
            <w:rPr>
              <w:color w:val="000000"/>
              <w:lang w:val="en-US"/>
            </w:rPr>
          </w:pPr>
          <w:r w:rsidRPr="007C64A4">
            <w:rPr>
              <w:color w:val="000000"/>
              <w:lang w:val="en-US"/>
            </w:rPr>
            <w:t>Original: English</w:t>
          </w:r>
        </w:p>
        <w:p w:rsidR="00B55797" w:rsidRPr="007C64A4" w:rsidRDefault="00B55797" w:rsidP="00B55797">
          <w:pPr>
            <w:rPr>
              <w:lang w:val="en-US"/>
            </w:rPr>
          </w:pPr>
        </w:p>
      </w:tc>
    </w:tr>
  </w:tbl>
  <w:p w:rsidR="00B55797" w:rsidRPr="007C64A4" w:rsidRDefault="00B55797" w:rsidP="00B5579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66751"/>
    <w:multiLevelType w:val="hybridMultilevel"/>
    <w:tmpl w:val="CB923C00"/>
    <w:lvl w:ilvl="0" w:tplc="6A3AAC2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74*"/>
    <w:docVar w:name="CreationDt" w:val="1/27/2016 10:16 AM"/>
    <w:docVar w:name="DocCategory" w:val="Doc"/>
    <w:docVar w:name="DocType" w:val="Final"/>
    <w:docVar w:name="DutyStation" w:val="Geneva"/>
    <w:docVar w:name="FooterJN" w:val="GE.15-22774"/>
    <w:docVar w:name="jobn" w:val="GE.15-22774 (R)"/>
    <w:docVar w:name="jobnDT" w:val="GE.15-22774 (R)   270116"/>
    <w:docVar w:name="jobnDTDT" w:val="GE.15-22774 (R)   270116   270116"/>
    <w:docVar w:name="JobNo" w:val="GE.1522774R"/>
    <w:docVar w:name="JobNo2" w:val="1529075R"/>
    <w:docVar w:name="LocalDrive" w:val="0"/>
    <w:docVar w:name="OandT" w:val=" "/>
    <w:docVar w:name="PaperSize" w:val="A4"/>
    <w:docVar w:name="sss1" w:val="ECE/TRANS/WP.15/AC.1/2016/10"/>
    <w:docVar w:name="sss2" w:val="-"/>
    <w:docVar w:name="Symbol1" w:val="ECE/TRANS/WP.15/AC.1/2016/10"/>
    <w:docVar w:name="Symbol2" w:val="-"/>
  </w:docVars>
  <w:rsids>
    <w:rsidRoot w:val="00926AB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2EA2"/>
    <w:rsid w:val="00167FE9"/>
    <w:rsid w:val="00171F41"/>
    <w:rsid w:val="001726A4"/>
    <w:rsid w:val="001744B4"/>
    <w:rsid w:val="00175AC4"/>
    <w:rsid w:val="00176DB7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5117"/>
    <w:rsid w:val="001D60ED"/>
    <w:rsid w:val="001E21CE"/>
    <w:rsid w:val="001E25A2"/>
    <w:rsid w:val="001E61AD"/>
    <w:rsid w:val="001E639C"/>
    <w:rsid w:val="001F1B08"/>
    <w:rsid w:val="001F4353"/>
    <w:rsid w:val="001F639D"/>
    <w:rsid w:val="002039D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504B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5B5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2E66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0A6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2B57"/>
    <w:rsid w:val="00723115"/>
    <w:rsid w:val="00723A18"/>
    <w:rsid w:val="00724550"/>
    <w:rsid w:val="00726A54"/>
    <w:rsid w:val="00730859"/>
    <w:rsid w:val="00731830"/>
    <w:rsid w:val="00736A19"/>
    <w:rsid w:val="00741772"/>
    <w:rsid w:val="00743C8D"/>
    <w:rsid w:val="00745258"/>
    <w:rsid w:val="0074599E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64A4"/>
    <w:rsid w:val="007C706F"/>
    <w:rsid w:val="007C7320"/>
    <w:rsid w:val="007D01FF"/>
    <w:rsid w:val="007E0E39"/>
    <w:rsid w:val="007E2B60"/>
    <w:rsid w:val="007E5E30"/>
    <w:rsid w:val="007F0E54"/>
    <w:rsid w:val="007F5107"/>
    <w:rsid w:val="00800F4E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75A8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6ABD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6D09"/>
    <w:rsid w:val="00A02502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0B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5797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491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3DFC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3789C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0018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9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9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5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9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9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1812-AB24-490E-AD16-BEA546A3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barrio-champeau</cp:lastModifiedBy>
  <cp:revision>4</cp:revision>
  <cp:lastPrinted>2016-02-15T10:40:00Z</cp:lastPrinted>
  <dcterms:created xsi:type="dcterms:W3CDTF">2016-02-15T10:40:00Z</dcterms:created>
  <dcterms:modified xsi:type="dcterms:W3CDTF">2016-02-15T10:40:00Z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1522774R</vt:lpwstr>
  </property>
  <property fmtid="{D5CDD505-2E9C-101B-9397-08002B2CF9AE}" pid="3" name="ODSRefJobNo">
    <vt:lpwstr>1529075R</vt:lpwstr>
  </property>
  <property fmtid="{D5CDD505-2E9C-101B-9397-08002B2CF9AE}" pid="4" name="Symbol1">
    <vt:lpwstr>ECE/TRANS/WP.15/AC.1/2016/10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270116</vt:lpwstr>
  </property>
</Properties>
</file>